
<file path=[Content_Types].xml><?xml version="1.0" encoding="utf-8"?>
<Types xmlns="http://schemas.openxmlformats.org/package/2006/content-types">
  <Default Extension="xml" ContentType="application/xml"/>
  <Default Extension="gif" ContentType="image/gi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6EADB4">
      <w:pPr>
        <w:widowControl w:val="0"/>
        <w:shd w:val="clear" w:color="auto" w:fill="FFFFFF"/>
        <w:overflowPunct w:val="0"/>
        <w:autoSpaceDE w:val="0"/>
        <w:autoSpaceDN w:val="0"/>
        <w:adjustRightInd w:val="0"/>
        <w:spacing w:after="0" w:line="240" w:lineRule="auto"/>
        <w:ind w:left="7"/>
        <w:jc w:val="center"/>
        <w:rPr>
          <w:rFonts w:ascii="Times New Roman" w:hAnsi="Times New Roman" w:eastAsia="Times New Roman" w:cs="Times New Roman"/>
          <w:b/>
          <w:bCs/>
          <w:kern w:val="28"/>
          <w:sz w:val="28"/>
          <w:szCs w:val="28"/>
          <w:lang w:val="ru-RU" w:eastAsia="lv-LV"/>
        </w:rPr>
      </w:pPr>
      <w:bookmarkStart w:id="1" w:name="_GoBack"/>
      <w:bookmarkEnd w:id="1"/>
    </w:p>
    <w:p w14:paraId="0C6A0604">
      <w:pPr>
        <w:widowControl w:val="0"/>
        <w:shd w:val="clear" w:color="auto" w:fill="FFFFFF"/>
        <w:overflowPunct w:val="0"/>
        <w:autoSpaceDE w:val="0"/>
        <w:autoSpaceDN w:val="0"/>
        <w:adjustRightInd w:val="0"/>
        <w:spacing w:after="0" w:line="240" w:lineRule="auto"/>
        <w:ind w:left="7"/>
        <w:jc w:val="center"/>
        <w:rPr>
          <w:rFonts w:ascii="Times New Roman" w:hAnsi="Times New Roman" w:eastAsia="Times New Roman" w:cs="Times New Roman"/>
          <w:b/>
          <w:bCs/>
          <w:kern w:val="28"/>
          <w:sz w:val="28"/>
          <w:szCs w:val="28"/>
          <w:lang w:eastAsia="lv-LV"/>
        </w:rPr>
      </w:pPr>
    </w:p>
    <w:p w14:paraId="667B7F55">
      <w:pPr>
        <w:widowControl w:val="0"/>
        <w:shd w:val="clear" w:color="auto" w:fill="FFFFFF"/>
        <w:overflowPunct w:val="0"/>
        <w:autoSpaceDE w:val="0"/>
        <w:autoSpaceDN w:val="0"/>
        <w:adjustRightInd w:val="0"/>
        <w:spacing w:after="0" w:line="240" w:lineRule="auto"/>
        <w:ind w:left="7"/>
        <w:jc w:val="center"/>
        <w:rPr>
          <w:rFonts w:ascii="Times New Roman" w:hAnsi="Times New Roman" w:eastAsia="Times New Roman" w:cs="Times New Roman"/>
          <w:b/>
          <w:bCs/>
          <w:kern w:val="28"/>
          <w:sz w:val="28"/>
          <w:szCs w:val="28"/>
          <w:lang w:eastAsia="lv-LV"/>
        </w:rPr>
      </w:pPr>
    </w:p>
    <w:tbl>
      <w:tblPr>
        <w:tblStyle w:val="10"/>
        <w:tblW w:w="0" w:type="auto"/>
        <w:tblInd w:w="0" w:type="dxa"/>
        <w:tblBorders>
          <w:top w:val="none" w:color="auto" w:sz="0" w:space="0"/>
          <w:left w:val="none" w:color="auto" w:sz="0" w:space="0"/>
          <w:bottom w:val="thickThinSmallGap" w:color="auto" w:sz="2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71"/>
      </w:tblGrid>
      <w:tr w14:paraId="2A8D5113">
        <w:tblPrEx>
          <w:tblBorders>
            <w:top w:val="none" w:color="auto" w:sz="0" w:space="0"/>
            <w:left w:val="none" w:color="auto" w:sz="0" w:space="0"/>
            <w:bottom w:val="thickThinSmallGap" w:color="auto" w:sz="2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7" w:hRule="atLeast"/>
        </w:trPr>
        <w:tc>
          <w:tcPr>
            <w:tcW w:w="9071" w:type="dxa"/>
          </w:tcPr>
          <w:p w14:paraId="5E75C99C">
            <w:pPr>
              <w:widowControl w:val="0"/>
              <w:tabs>
                <w:tab w:val="left" w:pos="8041"/>
              </w:tabs>
              <w:suppressAutoHyphens/>
              <w:overflowPunct w:val="0"/>
              <w:autoSpaceDE w:val="0"/>
              <w:spacing w:after="0" w:line="240" w:lineRule="auto"/>
              <w:outlineLvl w:val="0"/>
              <w:rPr>
                <w:rFonts w:ascii="Times New Roman" w:hAnsi="Times New Roman" w:eastAsia="Times New Roman" w:cs="Calibri"/>
                <w:b/>
                <w:kern w:val="1"/>
                <w:sz w:val="20"/>
                <w:szCs w:val="20"/>
                <w:lang w:eastAsia="ar-SA"/>
              </w:rPr>
            </w:pPr>
            <w:r>
              <w:rPr>
                <w:rFonts w:ascii="Times New Roman" w:hAnsi="Times New Roman" w:eastAsia="Times New Roman" w:cs="Times New Roman"/>
                <w:sz w:val="20"/>
                <w:szCs w:val="20"/>
                <w:lang w:val="ru-RU" w:eastAsia="ru-RU"/>
              </w:rPr>
              <w:drawing>
                <wp:anchor distT="0" distB="0" distL="114300" distR="114300" simplePos="0" relativeHeight="251659264" behindDoc="0" locked="0" layoutInCell="1" allowOverlap="1">
                  <wp:simplePos x="0" y="0"/>
                  <wp:positionH relativeFrom="column">
                    <wp:posOffset>188595</wp:posOffset>
                  </wp:positionH>
                  <wp:positionV relativeFrom="paragraph">
                    <wp:posOffset>-9525</wp:posOffset>
                  </wp:positionV>
                  <wp:extent cx="1562100" cy="488315"/>
                  <wp:effectExtent l="0" t="0" r="0" b="6985"/>
                  <wp:wrapSquare wrapText="bothSides"/>
                  <wp:docPr id="2" name="Рисунок 2" descr="C:\Users\admin\Desktop\1581946640l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admin\Desktop\1581946640lo.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562100" cy="488315"/>
                          </a:xfrm>
                          <a:prstGeom prst="rect">
                            <a:avLst/>
                          </a:prstGeom>
                          <a:noFill/>
                          <a:ln>
                            <a:noFill/>
                          </a:ln>
                        </pic:spPr>
                      </pic:pic>
                    </a:graphicData>
                  </a:graphic>
                </wp:anchor>
              </w:drawing>
            </w:r>
            <w:r>
              <w:rPr>
                <w:rFonts w:ascii="Times New Roman" w:hAnsi="Times New Roman" w:eastAsia="Times New Roman" w:cs="Calibri"/>
                <w:b/>
                <w:kern w:val="1"/>
                <w:sz w:val="20"/>
                <w:szCs w:val="20"/>
                <w:lang w:eastAsia="ar-SA"/>
              </w:rPr>
              <w:t xml:space="preserve">          Sabiedrība ar ierobežotu atbildību</w:t>
            </w:r>
          </w:p>
          <w:p w14:paraId="67C457C9">
            <w:pPr>
              <w:widowControl w:val="0"/>
              <w:suppressAutoHyphens/>
              <w:overflowPunct w:val="0"/>
              <w:autoSpaceDE w:val="0"/>
              <w:spacing w:after="0" w:line="240" w:lineRule="auto"/>
              <w:rPr>
                <w:rFonts w:ascii="Times New Roman" w:hAnsi="Times New Roman" w:eastAsia="Times New Roman" w:cs="Calibri"/>
                <w:b/>
                <w:kern w:val="1"/>
                <w:sz w:val="28"/>
                <w:szCs w:val="28"/>
                <w:lang w:eastAsia="ar-SA"/>
              </w:rPr>
            </w:pPr>
            <w:r>
              <w:rPr>
                <w:rFonts w:ascii="Times New Roman" w:hAnsi="Times New Roman" w:eastAsia="Times New Roman" w:cs="Calibri"/>
                <w:b/>
                <w:kern w:val="1"/>
                <w:sz w:val="28"/>
                <w:szCs w:val="28"/>
                <w:lang w:eastAsia="ar-SA"/>
              </w:rPr>
              <w:t xml:space="preserve">       “PREIĻU SAIMNIEKS”</w:t>
            </w:r>
          </w:p>
          <w:p w14:paraId="7268AC5B">
            <w:pPr>
              <w:widowControl w:val="0"/>
              <w:tabs>
                <w:tab w:val="left" w:pos="8041"/>
              </w:tabs>
              <w:suppressAutoHyphens/>
              <w:overflowPunct w:val="0"/>
              <w:autoSpaceDE w:val="0"/>
              <w:spacing w:after="0" w:line="240" w:lineRule="auto"/>
              <w:rPr>
                <w:rFonts w:ascii="Times New Roman" w:hAnsi="Times New Roman" w:eastAsia="Times New Roman" w:cs="Calibri"/>
                <w:kern w:val="1"/>
                <w:sz w:val="18"/>
                <w:szCs w:val="18"/>
                <w:lang w:eastAsia="ar-SA"/>
              </w:rPr>
            </w:pPr>
            <w:r>
              <w:rPr>
                <w:rFonts w:ascii="Times New Roman" w:hAnsi="Times New Roman" w:eastAsia="Times New Roman" w:cs="Calibri"/>
                <w:kern w:val="1"/>
                <w:sz w:val="18"/>
                <w:szCs w:val="18"/>
                <w:lang w:eastAsia="ar-SA"/>
              </w:rPr>
              <w:t>Reģistrācijas Nr. 47703001720, Liepu iela 2, Preiļi, Preiļu novads, LV-5301</w:t>
            </w:r>
          </w:p>
          <w:p w14:paraId="34A9264E">
            <w:pPr>
              <w:widowControl w:val="0"/>
              <w:tabs>
                <w:tab w:val="left" w:pos="8041"/>
              </w:tabs>
              <w:suppressAutoHyphens/>
              <w:overflowPunct w:val="0"/>
              <w:autoSpaceDE w:val="0"/>
              <w:spacing w:after="0" w:line="240" w:lineRule="auto"/>
              <w:rPr>
                <w:rFonts w:ascii="Times New Roman" w:hAnsi="Times New Roman" w:eastAsia="Times New Roman" w:cs="Calibri"/>
                <w:kern w:val="1"/>
                <w:sz w:val="18"/>
                <w:szCs w:val="18"/>
                <w:lang w:eastAsia="ar-SA"/>
              </w:rPr>
            </w:pPr>
            <w:r>
              <w:rPr>
                <w:rFonts w:ascii="Times New Roman" w:hAnsi="Times New Roman" w:eastAsia="Times New Roman" w:cs="Calibri"/>
                <w:kern w:val="1"/>
                <w:sz w:val="18"/>
                <w:szCs w:val="18"/>
                <w:lang w:eastAsia="ar-SA"/>
              </w:rPr>
              <w:t xml:space="preserve">Tālrunis 22047474,  e-pasts: </w:t>
            </w:r>
            <w:r>
              <w:fldChar w:fldCharType="begin"/>
            </w:r>
            <w:r>
              <w:instrText xml:space="preserve"> HYPERLINK "mailto:psaimnieks@preili.lv" </w:instrText>
            </w:r>
            <w:r>
              <w:fldChar w:fldCharType="separate"/>
            </w:r>
            <w:r>
              <w:rPr>
                <w:rFonts w:ascii="Times New Roman" w:hAnsi="Times New Roman" w:eastAsia="Times New Roman" w:cs="Calibri"/>
                <w:color w:val="0000FF"/>
                <w:kern w:val="1"/>
                <w:sz w:val="18"/>
                <w:szCs w:val="18"/>
                <w:u w:val="single"/>
                <w:lang w:eastAsia="ar-SA"/>
              </w:rPr>
              <w:t>psaimnieks@preili.lv</w:t>
            </w:r>
            <w:r>
              <w:rPr>
                <w:rFonts w:ascii="Times New Roman" w:hAnsi="Times New Roman" w:eastAsia="Times New Roman" w:cs="Calibri"/>
                <w:color w:val="0000FF"/>
                <w:kern w:val="1"/>
                <w:sz w:val="18"/>
                <w:szCs w:val="18"/>
                <w:u w:val="single"/>
                <w:lang w:eastAsia="ar-SA"/>
              </w:rPr>
              <w:fldChar w:fldCharType="end"/>
            </w:r>
            <w:r>
              <w:rPr>
                <w:rFonts w:ascii="Times New Roman" w:hAnsi="Times New Roman" w:eastAsia="Times New Roman" w:cs="Calibri"/>
                <w:kern w:val="1"/>
                <w:sz w:val="18"/>
                <w:szCs w:val="18"/>
                <w:lang w:eastAsia="ar-SA"/>
              </w:rPr>
              <w:t xml:space="preserve">, </w:t>
            </w:r>
            <w:r>
              <w:fldChar w:fldCharType="begin"/>
            </w:r>
            <w:r>
              <w:instrText xml:space="preserve"> HYPERLINK "http://www." </w:instrText>
            </w:r>
            <w:r>
              <w:fldChar w:fldCharType="separate"/>
            </w:r>
            <w:r>
              <w:rPr>
                <w:rFonts w:ascii="Times New Roman" w:hAnsi="Times New Roman" w:eastAsia="Times New Roman" w:cs="Calibri"/>
                <w:color w:val="0000FF"/>
                <w:kern w:val="1"/>
                <w:sz w:val="18"/>
                <w:szCs w:val="18"/>
                <w:u w:val="single"/>
                <w:lang w:eastAsia="ar-SA"/>
              </w:rPr>
              <w:t>www.</w:t>
            </w:r>
            <w:r>
              <w:rPr>
                <w:rFonts w:ascii="Times New Roman" w:hAnsi="Times New Roman" w:eastAsia="Times New Roman" w:cs="Calibri"/>
                <w:color w:val="0000FF"/>
                <w:kern w:val="1"/>
                <w:sz w:val="18"/>
                <w:szCs w:val="18"/>
                <w:u w:val="single"/>
                <w:lang w:eastAsia="ar-SA"/>
              </w:rPr>
              <w:fldChar w:fldCharType="end"/>
            </w:r>
            <w:r>
              <w:rPr>
                <w:rFonts w:ascii="Times New Roman" w:hAnsi="Times New Roman" w:eastAsia="Times New Roman" w:cs="Calibri"/>
                <w:color w:val="0000FF"/>
                <w:kern w:val="1"/>
                <w:sz w:val="18"/>
                <w:szCs w:val="18"/>
                <w:u w:val="single"/>
                <w:lang w:eastAsia="ar-SA"/>
              </w:rPr>
              <w:t>preilusaimnieks.lv</w:t>
            </w:r>
          </w:p>
          <w:p w14:paraId="582F52EE">
            <w:pPr>
              <w:shd w:val="clear" w:color="auto" w:fill="FFFFFF"/>
              <w:autoSpaceDE w:val="0"/>
              <w:autoSpaceDN w:val="0"/>
              <w:adjustRightInd w:val="0"/>
              <w:spacing w:after="0" w:line="240" w:lineRule="auto"/>
              <w:jc w:val="center"/>
              <w:rPr>
                <w:rFonts w:ascii="Cambria" w:hAnsi="Cambria" w:eastAsia="Times New Roman" w:cs="Times New Roman"/>
                <w:b/>
                <w:bCs/>
                <w:i/>
                <w:iCs/>
                <w:sz w:val="26"/>
                <w:szCs w:val="26"/>
              </w:rPr>
            </w:pPr>
          </w:p>
        </w:tc>
      </w:tr>
    </w:tbl>
    <w:p w14:paraId="4108C8C9">
      <w:pPr>
        <w:widowControl w:val="0"/>
        <w:shd w:val="clear" w:color="auto" w:fill="FFFFFF"/>
        <w:overflowPunct w:val="0"/>
        <w:autoSpaceDE w:val="0"/>
        <w:autoSpaceDN w:val="0"/>
        <w:adjustRightInd w:val="0"/>
        <w:spacing w:after="0" w:line="240" w:lineRule="auto"/>
        <w:rPr>
          <w:rFonts w:ascii="Times New Roman" w:hAnsi="Times New Roman" w:eastAsia="Times New Roman" w:cs="Times New Roman"/>
          <w:b/>
          <w:bCs/>
          <w:kern w:val="28"/>
          <w:sz w:val="28"/>
          <w:szCs w:val="28"/>
          <w:lang w:eastAsia="lv-LV"/>
        </w:rPr>
      </w:pPr>
    </w:p>
    <w:p w14:paraId="1C60BE08">
      <w:pPr>
        <w:widowControl w:val="0"/>
        <w:shd w:val="clear" w:color="auto" w:fill="FFFFFF"/>
        <w:overflowPunct w:val="0"/>
        <w:autoSpaceDE w:val="0"/>
        <w:autoSpaceDN w:val="0"/>
        <w:adjustRightInd w:val="0"/>
        <w:spacing w:after="0" w:line="240" w:lineRule="auto"/>
        <w:ind w:left="7"/>
        <w:jc w:val="center"/>
        <w:rPr>
          <w:rFonts w:ascii="Times New Roman" w:hAnsi="Times New Roman" w:eastAsia="Times New Roman" w:cs="Times New Roman"/>
          <w:b/>
          <w:bCs/>
          <w:kern w:val="28"/>
          <w:sz w:val="28"/>
          <w:szCs w:val="28"/>
          <w:lang w:eastAsia="lv-LV"/>
        </w:rPr>
      </w:pPr>
    </w:p>
    <w:p w14:paraId="19DA6F5A">
      <w:pPr>
        <w:widowControl w:val="0"/>
        <w:shd w:val="clear" w:color="auto" w:fill="FFFFFF"/>
        <w:overflowPunct w:val="0"/>
        <w:autoSpaceDE w:val="0"/>
        <w:autoSpaceDN w:val="0"/>
        <w:adjustRightInd w:val="0"/>
        <w:spacing w:after="0" w:line="240" w:lineRule="auto"/>
        <w:ind w:left="7"/>
        <w:jc w:val="center"/>
        <w:rPr>
          <w:rFonts w:ascii="Times New Roman" w:hAnsi="Times New Roman" w:eastAsia="Times New Roman" w:cs="Times New Roman"/>
          <w:b/>
          <w:bCs/>
          <w:kern w:val="28"/>
          <w:sz w:val="28"/>
          <w:szCs w:val="28"/>
          <w:lang w:eastAsia="lv-LV"/>
        </w:rPr>
      </w:pPr>
      <w:r>
        <w:rPr>
          <w:rFonts w:ascii="Times New Roman" w:hAnsi="Times New Roman" w:eastAsia="Times New Roman" w:cs="Times New Roman"/>
          <w:b/>
          <w:bCs/>
          <w:kern w:val="28"/>
          <w:sz w:val="28"/>
          <w:szCs w:val="28"/>
          <w:lang w:eastAsia="lv-LV"/>
        </w:rPr>
        <w:t>PIEGĀDES LĪGUMS Nr.25/3.5/108</w:t>
      </w:r>
    </w:p>
    <w:p w14:paraId="6DAF02A0">
      <w:pPr>
        <w:widowControl w:val="0"/>
        <w:shd w:val="clear" w:color="auto" w:fill="FFFFFF"/>
        <w:overflowPunct w:val="0"/>
        <w:autoSpaceDE w:val="0"/>
        <w:autoSpaceDN w:val="0"/>
        <w:adjustRightInd w:val="0"/>
        <w:spacing w:after="0" w:line="240" w:lineRule="auto"/>
        <w:ind w:left="7"/>
        <w:jc w:val="center"/>
        <w:rPr>
          <w:rFonts w:ascii="Times New Roman" w:hAnsi="Times New Roman" w:eastAsia="Times New Roman" w:cs="Times New Roman"/>
          <w:b/>
          <w:bCs/>
          <w:kern w:val="28"/>
          <w:sz w:val="28"/>
          <w:szCs w:val="28"/>
          <w:lang w:eastAsia="lv-LV"/>
        </w:rPr>
      </w:pPr>
    </w:p>
    <w:p w14:paraId="6BEE802C">
      <w:pPr>
        <w:spacing w:after="0" w:line="240" w:lineRule="auto"/>
        <w:jc w:val="center"/>
        <w:rPr>
          <w:rFonts w:ascii="Times New Roman" w:hAnsi="Times New Roman" w:eastAsia="Times New Roman" w:cs="Times New Roman"/>
          <w:bCs/>
          <w:i/>
          <w:iCs/>
          <w:sz w:val="24"/>
          <w:szCs w:val="24"/>
        </w:rPr>
      </w:pPr>
      <w:r>
        <w:rPr>
          <w:rFonts w:ascii="Times New Roman" w:hAnsi="Times New Roman" w:eastAsia="Times New Roman" w:cs="Times New Roman"/>
          <w:bCs/>
          <w:i/>
          <w:iCs/>
          <w:sz w:val="24"/>
          <w:szCs w:val="24"/>
        </w:rPr>
        <w:t xml:space="preserve">(par komunālo  mašīnu </w:t>
      </w:r>
      <w:r>
        <w:rPr>
          <w:rFonts w:ascii="Times New Roman" w:hAnsi="Times New Roman" w:eastAsia="Times New Roman" w:cs="Times New Roman"/>
          <w:b/>
          <w:i/>
          <w:iCs/>
          <w:sz w:val="24"/>
          <w:szCs w:val="24"/>
        </w:rPr>
        <w:t>EGHOLM CITY RANGER  2260, ar papildaprīkojumu</w:t>
      </w:r>
      <w:r>
        <w:rPr>
          <w:rFonts w:ascii="Times New Roman" w:hAnsi="Times New Roman" w:eastAsia="Times New Roman" w:cs="Times New Roman"/>
          <w:bCs/>
          <w:i/>
          <w:iCs/>
          <w:sz w:val="24"/>
          <w:szCs w:val="24"/>
        </w:rPr>
        <w:t xml:space="preserve"> (</w:t>
      </w:r>
      <w:r>
        <w:rPr>
          <w:rFonts w:ascii="Times New Roman" w:hAnsi="Times New Roman" w:eastAsia="Times New Roman" w:cs="Times New Roman"/>
          <w:b/>
          <w:i/>
          <w:iCs/>
          <w:sz w:val="24"/>
          <w:szCs w:val="24"/>
        </w:rPr>
        <w:t>2 daļa</w:t>
      </w:r>
      <w:r>
        <w:rPr>
          <w:rFonts w:ascii="Times New Roman" w:hAnsi="Times New Roman" w:eastAsia="Times New Roman" w:cs="Times New Roman"/>
          <w:bCs/>
          <w:i/>
          <w:iCs/>
          <w:sz w:val="24"/>
          <w:szCs w:val="24"/>
        </w:rPr>
        <w:t>) piegādi. Iepirkuma Nr. SIA PS 1.20/2025.11)</w:t>
      </w:r>
    </w:p>
    <w:p w14:paraId="37B805D5">
      <w:pPr>
        <w:spacing w:after="0" w:line="240" w:lineRule="auto"/>
        <w:jc w:val="center"/>
        <w:rPr>
          <w:rFonts w:ascii="Times New Roman" w:hAnsi="Times New Roman" w:eastAsia="Times New Roman" w:cs="Times New Roman"/>
          <w:bCs/>
          <w:sz w:val="24"/>
          <w:szCs w:val="24"/>
        </w:rPr>
      </w:pPr>
    </w:p>
    <w:p w14:paraId="29C47AF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Preiļos                                                                                            </w:t>
      </w:r>
      <w:r>
        <w:rPr>
          <w:rFonts w:ascii="Times New Roman" w:hAnsi="Times New Roman" w:eastAsia="Times New Roman" w:cs="Times New Roman"/>
          <w:i/>
          <w:iCs/>
          <w:sz w:val="24"/>
          <w:szCs w:val="24"/>
        </w:rPr>
        <w:t>Datums skatāms laika zīmogā</w:t>
      </w:r>
    </w:p>
    <w:p w14:paraId="71AD6316">
      <w:pPr>
        <w:spacing w:after="0" w:line="240" w:lineRule="auto"/>
        <w:jc w:val="both"/>
        <w:rPr>
          <w:rFonts w:ascii="Times New Roman" w:hAnsi="Times New Roman" w:eastAsia="Times New Roman" w:cs="Times New Roman"/>
          <w:sz w:val="24"/>
          <w:szCs w:val="24"/>
        </w:rPr>
      </w:pPr>
    </w:p>
    <w:p w14:paraId="26F64BB2">
      <w:pPr>
        <w:spacing w:after="0" w:line="240" w:lineRule="auto"/>
        <w:jc w:val="both"/>
        <w:rPr>
          <w:rFonts w:ascii="Times New Roman" w:hAnsi="Times New Roman" w:eastAsia="Calibri" w:cs="Times New Roman"/>
          <w:sz w:val="24"/>
          <w:szCs w:val="24"/>
        </w:rPr>
      </w:pPr>
      <w:r>
        <w:rPr>
          <w:rFonts w:ascii="Times New Roman" w:hAnsi="Times New Roman" w:eastAsia="Times New Roman" w:cs="Times New Roman"/>
          <w:b/>
          <w:sz w:val="24"/>
          <w:szCs w:val="24"/>
        </w:rPr>
        <w:t>Sabiedrība ar ierobežotu atbildību “PREIĻU SAIMNIEKS”</w:t>
      </w:r>
      <w:r>
        <w:rPr>
          <w:rFonts w:ascii="Times New Roman" w:hAnsi="Times New Roman" w:eastAsia="Times New Roman" w:cs="Times New Roman"/>
          <w:bCs/>
          <w:sz w:val="24"/>
          <w:szCs w:val="24"/>
        </w:rPr>
        <w:t>, vienotais reģistrācijas Nr. 47703001720</w:t>
      </w:r>
      <w:r>
        <w:rPr>
          <w:rFonts w:ascii="Times New Roman" w:hAnsi="Times New Roman" w:eastAsia="Times New Roman" w:cs="Times New Roman"/>
          <w:sz w:val="24"/>
          <w:szCs w:val="24"/>
        </w:rPr>
        <w:t>, juridiskā adrese Liepu iela 2, Preiļi, Preiļu novads, LV-5301, tās valdes locekles Skaidrītes Žukovas personā, kura rīkojas uz SIA “Preiļu saimnieks” Statūtu pamata, turpmāk tekstā - “Pasūtītājs” no vienas puses</w:t>
      </w:r>
      <w:r>
        <w:rPr>
          <w:rFonts w:ascii="Times New Roman" w:hAnsi="Times New Roman" w:eastAsia="Times New Roman" w:cs="Times New Roman"/>
          <w:kern w:val="28"/>
          <w:sz w:val="24"/>
          <w:szCs w:val="24"/>
          <w:lang w:eastAsia="lv-LV"/>
        </w:rPr>
        <w:t xml:space="preserve">, </w:t>
      </w:r>
      <w:r>
        <w:rPr>
          <w:rFonts w:ascii="Times New Roman" w:hAnsi="Times New Roman" w:eastAsia="Times New Roman" w:cs="Times New Roman"/>
          <w:sz w:val="24"/>
          <w:szCs w:val="24"/>
          <w:lang w:eastAsia="ru-RU"/>
        </w:rPr>
        <w:t xml:space="preserve">turpmāk tekstā – </w:t>
      </w:r>
      <w:r>
        <w:rPr>
          <w:rFonts w:ascii="Times New Roman" w:hAnsi="Times New Roman" w:eastAsia="Times New Roman" w:cs="Times New Roman"/>
          <w:b/>
          <w:sz w:val="24"/>
          <w:szCs w:val="24"/>
          <w:lang w:eastAsia="ru-RU"/>
        </w:rPr>
        <w:t>Pasūtītājs</w:t>
      </w:r>
      <w:r>
        <w:rPr>
          <w:rFonts w:ascii="Times New Roman" w:hAnsi="Times New Roman" w:eastAsia="Times New Roman" w:cs="Times New Roman"/>
          <w:sz w:val="24"/>
          <w:szCs w:val="24"/>
          <w:lang w:eastAsia="ru-RU"/>
        </w:rPr>
        <w:t xml:space="preserve">, no vienas puses, un </w:t>
      </w:r>
      <w:r>
        <w:rPr>
          <w:rFonts w:ascii="Times New Roman" w:hAnsi="Times New Roman" w:eastAsia="Times New Roman" w:cs="Times New Roman"/>
          <w:b/>
          <w:bCs/>
          <w:sz w:val="24"/>
          <w:szCs w:val="24"/>
          <w:lang w:eastAsia="ru-RU"/>
        </w:rPr>
        <w:t>Smart Forxx SIA</w:t>
      </w:r>
      <w:r>
        <w:rPr>
          <w:rFonts w:ascii="Times New Roman" w:hAnsi="Times New Roman" w:eastAsia="Calibri" w:cs="Times New Roman"/>
          <w:bCs/>
          <w:sz w:val="24"/>
          <w:szCs w:val="24"/>
        </w:rPr>
        <w:t xml:space="preserve">, </w:t>
      </w:r>
      <w:r>
        <w:rPr>
          <w:rFonts w:ascii="Times New Roman" w:hAnsi="Times New Roman" w:eastAsia="Calibri" w:cs="Times New Roman"/>
          <w:sz w:val="24"/>
          <w:szCs w:val="24"/>
        </w:rPr>
        <w:t xml:space="preserve">Reģ.Nr.40203049613, juridiskā adrese Ziemeļu iela 4, Lidosta Rīga, Mārupes nov.,  LV-1053, ko saskaņā ar statūtiem pārstāv Marianna Beļajeva, turpmāk tekstā – </w:t>
      </w:r>
      <w:r>
        <w:rPr>
          <w:rFonts w:ascii="Times New Roman" w:hAnsi="Times New Roman" w:eastAsia="Calibri" w:cs="Times New Roman"/>
          <w:b/>
          <w:sz w:val="24"/>
          <w:szCs w:val="24"/>
        </w:rPr>
        <w:t>Piegādātājs,</w:t>
      </w:r>
      <w:r>
        <w:rPr>
          <w:rFonts w:ascii="Times New Roman" w:hAnsi="Times New Roman" w:eastAsia="Calibri" w:cs="Times New Roman"/>
          <w:sz w:val="24"/>
          <w:szCs w:val="24"/>
        </w:rPr>
        <w:t xml:space="preserve"> no otras puses,</w:t>
      </w:r>
    </w:p>
    <w:p w14:paraId="51C2BF5C">
      <w:pPr>
        <w:spacing w:after="0" w:line="240" w:lineRule="auto"/>
        <w:jc w:val="both"/>
        <w:rPr>
          <w:rFonts w:ascii="Times New Roman" w:hAnsi="Times New Roman" w:eastAsia="Calibri" w:cs="Times New Roman"/>
          <w:sz w:val="24"/>
          <w:szCs w:val="24"/>
        </w:rPr>
      </w:pPr>
    </w:p>
    <w:p w14:paraId="37340224">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abi kopā, turpmāk tekstā – Puses, bet atsevišķi – Puse, pamatojoties uz atklātā konkursa </w:t>
      </w:r>
      <w:r>
        <w:rPr>
          <w:rFonts w:ascii="Times New Roman" w:hAnsi="Times New Roman" w:eastAsia="Calibri" w:cs="Times New Roman"/>
          <w:b/>
          <w:bCs/>
          <w:sz w:val="24"/>
          <w:szCs w:val="24"/>
        </w:rPr>
        <w:t>“Komunālo daudzfunkcionālo traktoru ar papildaprīkojumu iegāde” ID Nr.; SIA PS 1.20/2025/11</w:t>
      </w:r>
      <w:r>
        <w:rPr>
          <w:rFonts w:ascii="Times New Roman" w:hAnsi="Times New Roman" w:eastAsia="Calibri" w:cs="Times New Roman"/>
          <w:sz w:val="24"/>
          <w:szCs w:val="24"/>
        </w:rPr>
        <w:t xml:space="preserve">, </w:t>
      </w:r>
      <w:r>
        <w:rPr>
          <w:rFonts w:ascii="Times New Roman" w:hAnsi="Times New Roman" w:eastAsia="Calibri" w:cs="Times New Roman"/>
          <w:b/>
          <w:bCs/>
          <w:sz w:val="24"/>
          <w:szCs w:val="24"/>
        </w:rPr>
        <w:t>2 daļa</w:t>
      </w:r>
      <w:r>
        <w:rPr>
          <w:rFonts w:ascii="Times New Roman" w:hAnsi="Times New Roman" w:eastAsia="Calibri" w:cs="Times New Roman"/>
          <w:sz w:val="24"/>
          <w:szCs w:val="24"/>
        </w:rPr>
        <w:t xml:space="preserve"> rezultātiem, turpmāk tekstā – Iepirkums, un SMART FORXX SIA iesniegto piedāvājumu iepirkuma priekšmeta “Komunālo daudzfunkcionālo traktoru ar papildaprīkojumu iegāde”, izsakot savu brīvo gribu bez viltus, spaidiem un maldības, noslēdz šāda satura līgumu, turpmāk tekstā – Līgums:</w:t>
      </w:r>
    </w:p>
    <w:p w14:paraId="6142F11F">
      <w:pPr>
        <w:spacing w:after="0" w:line="240" w:lineRule="auto"/>
        <w:jc w:val="both"/>
        <w:rPr>
          <w:rFonts w:ascii="Times New Roman" w:hAnsi="Times New Roman" w:eastAsia="Calibri" w:cs="Times New Roman"/>
          <w:sz w:val="24"/>
          <w:szCs w:val="24"/>
        </w:rPr>
      </w:pPr>
    </w:p>
    <w:p w14:paraId="20381118">
      <w:pPr>
        <w:pStyle w:val="38"/>
        <w:numPr>
          <w:ilvl w:val="0"/>
          <w:numId w:val="4"/>
        </w:numPr>
        <w:spacing w:after="0" w:line="240" w:lineRule="auto"/>
        <w:ind w:left="426" w:hanging="426"/>
        <w:jc w:val="center"/>
        <w:rPr>
          <w:rFonts w:ascii="Times New Roman" w:hAnsi="Times New Roman" w:eastAsia="Calibri" w:cs="Times New Roman"/>
          <w:b/>
          <w:sz w:val="24"/>
          <w:szCs w:val="24"/>
        </w:rPr>
      </w:pPr>
      <w:bookmarkStart w:id="0" w:name="bookmark2"/>
      <w:r>
        <w:rPr>
          <w:rFonts w:ascii="Times New Roman" w:hAnsi="Times New Roman" w:eastAsia="Calibri" w:cs="Times New Roman"/>
          <w:b/>
          <w:sz w:val="24"/>
          <w:szCs w:val="24"/>
        </w:rPr>
        <w:t>Līguma priekšmets</w:t>
      </w:r>
    </w:p>
    <w:bookmarkEnd w:id="0"/>
    <w:p w14:paraId="1AD9881C">
      <w:pPr>
        <w:pStyle w:val="27"/>
        <w:widowControl/>
        <w:numPr>
          <w:ilvl w:val="1"/>
          <w:numId w:val="4"/>
        </w:numPr>
        <w:suppressAutoHyphens w:val="0"/>
        <w:spacing w:before="0"/>
        <w:jc w:val="both"/>
        <w:rPr>
          <w:color w:val="auto"/>
          <w:lang w:val="lv-LV"/>
        </w:rPr>
      </w:pPr>
      <w:r>
        <w:rPr>
          <w:lang w:val="lv-LV"/>
        </w:rPr>
        <w:t xml:space="preserve">Pasūtītājs uzdod un Piegādātājs apņemas, šajā Līgumā noteiktajā termiņā, apjomā un kvalitātē, piegādāt komunālās mašīnas </w:t>
      </w:r>
      <w:r>
        <w:rPr>
          <w:b/>
          <w:bCs/>
          <w:lang w:val="lv-LV"/>
        </w:rPr>
        <w:t xml:space="preserve">EGHOLM CITY RANGER 2260 ar </w:t>
      </w:r>
      <w:r>
        <w:rPr>
          <w:b/>
          <w:bCs/>
          <w:color w:val="auto"/>
          <w:lang w:val="lv-LV"/>
        </w:rPr>
        <w:t>papildaprīkojumu</w:t>
      </w:r>
      <w:r>
        <w:rPr>
          <w:color w:val="auto"/>
          <w:lang w:val="lv-LV"/>
        </w:rPr>
        <w:t xml:space="preserve">, turpmāk tekstā – Prece, </w:t>
      </w:r>
      <w:r>
        <w:rPr>
          <w:color w:val="auto"/>
          <w:lang w:val="lv-LV" w:eastAsia="lv-LV"/>
        </w:rPr>
        <w:t xml:space="preserve">iepirkuma priekšmeta </w:t>
      </w:r>
      <w:r>
        <w:rPr>
          <w:b/>
          <w:bCs/>
          <w:color w:val="auto"/>
          <w:lang w:val="lv-LV" w:eastAsia="lv-LV"/>
        </w:rPr>
        <w:t>2 daļa</w:t>
      </w:r>
      <w:r>
        <w:rPr>
          <w:color w:val="auto"/>
          <w:lang w:val="lv-LV" w:eastAsia="lv-LV"/>
        </w:rPr>
        <w:t xml:space="preserve"> “Komunālo daudzfunkcionālo traktoru ar papildaprīkojumu iegāde”, </w:t>
      </w:r>
      <w:r>
        <w:rPr>
          <w:color w:val="auto"/>
          <w:lang w:val="lv-LV"/>
        </w:rPr>
        <w:t>atbilstoši Piegādātāja iesniegtajam tehniskajam piedāvājumam (Līguma 1.pielikums) un finanšu piedāvājumam (Līguma 2.pielikums).</w:t>
      </w:r>
    </w:p>
    <w:p w14:paraId="3AD1A539">
      <w:pPr>
        <w:pStyle w:val="27"/>
        <w:widowControl/>
        <w:numPr>
          <w:ilvl w:val="1"/>
          <w:numId w:val="4"/>
        </w:numPr>
        <w:suppressAutoHyphens w:val="0"/>
        <w:spacing w:before="0"/>
        <w:ind w:left="426" w:hanging="426"/>
        <w:jc w:val="both"/>
        <w:rPr>
          <w:lang w:val="lv-LV"/>
        </w:rPr>
      </w:pPr>
      <w:r>
        <w:rPr>
          <w:bCs/>
          <w:lang w:val="lv-LV"/>
        </w:rPr>
        <w:t xml:space="preserve">Preces piegādes vieta –  Liepu ielā 2, Preiļos, Preiļu novads, LV-5301. </w:t>
      </w:r>
    </w:p>
    <w:p w14:paraId="17BC6176">
      <w:pPr>
        <w:spacing w:after="0" w:line="240" w:lineRule="auto"/>
        <w:jc w:val="both"/>
        <w:rPr>
          <w:rFonts w:ascii="Times New Roman" w:hAnsi="Times New Roman" w:cs="Times New Roman"/>
          <w:bCs/>
          <w:iCs/>
          <w:sz w:val="24"/>
          <w:szCs w:val="24"/>
        </w:rPr>
      </w:pPr>
    </w:p>
    <w:p w14:paraId="30F3B8F8">
      <w:pPr>
        <w:pStyle w:val="38"/>
        <w:numPr>
          <w:ilvl w:val="0"/>
          <w:numId w:val="5"/>
        </w:numPr>
        <w:spacing w:after="0" w:line="240" w:lineRule="auto"/>
        <w:ind w:left="426" w:hanging="426"/>
        <w:jc w:val="center"/>
        <w:rPr>
          <w:rFonts w:ascii="Times New Roman" w:hAnsi="Times New Roman" w:cs="Times New Roman"/>
          <w:b/>
          <w:iCs/>
          <w:sz w:val="24"/>
          <w:szCs w:val="24"/>
        </w:rPr>
      </w:pPr>
      <w:r>
        <w:rPr>
          <w:rFonts w:ascii="Times New Roman" w:hAnsi="Times New Roman" w:cs="Times New Roman"/>
          <w:b/>
          <w:iCs/>
          <w:sz w:val="24"/>
          <w:szCs w:val="24"/>
        </w:rPr>
        <w:t>Līguma cena un norēķinu kārtība</w:t>
      </w:r>
    </w:p>
    <w:p w14:paraId="4C1A9BF1">
      <w:pPr>
        <w:pStyle w:val="38"/>
        <w:numPr>
          <w:ilvl w:val="1"/>
          <w:numId w:val="5"/>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Līguma kopējā summa sastāda </w:t>
      </w:r>
      <w:r>
        <w:rPr>
          <w:rFonts w:ascii="Times New Roman" w:hAnsi="Times New Roman" w:cs="Times New Roman"/>
          <w:b/>
          <w:bCs/>
          <w:sz w:val="24"/>
          <w:szCs w:val="24"/>
        </w:rPr>
        <w:t xml:space="preserve">EUR 90222.00 (Divdesmit tūkstoši divi simti divdesmit divi </w:t>
      </w:r>
      <w:r>
        <w:rPr>
          <w:rFonts w:ascii="Times New Roman" w:hAnsi="Times New Roman" w:cs="Times New Roman"/>
          <w:b/>
          <w:bCs/>
          <w:i/>
          <w:iCs/>
          <w:sz w:val="24"/>
          <w:szCs w:val="24"/>
        </w:rPr>
        <w:t>euro</w:t>
      </w:r>
      <w:r>
        <w:rPr>
          <w:rFonts w:ascii="Times New Roman" w:hAnsi="Times New Roman" w:cs="Times New Roman"/>
          <w:b/>
          <w:bCs/>
          <w:sz w:val="24"/>
          <w:szCs w:val="24"/>
        </w:rPr>
        <w:t>, 00 centi)</w:t>
      </w:r>
      <w:r>
        <w:rPr>
          <w:rFonts w:ascii="Times New Roman" w:hAnsi="Times New Roman" w:cs="Times New Roman"/>
          <w:sz w:val="24"/>
          <w:szCs w:val="24"/>
        </w:rPr>
        <w:t xml:space="preserve"> </w:t>
      </w:r>
      <w:r>
        <w:rPr>
          <w:rFonts w:ascii="Times New Roman" w:hAnsi="Times New Roman" w:eastAsia="Calibri" w:cs="Times New Roman"/>
          <w:sz w:val="24"/>
          <w:szCs w:val="24"/>
          <w:lang w:eastAsia="zh-CN"/>
        </w:rPr>
        <w:t>bez pievienotās vērtības nodokļa, turpmāk tekstā – PVN,</w:t>
      </w:r>
      <w:r>
        <w:rPr>
          <w:rFonts w:ascii="Times New Roman" w:hAnsi="Times New Roman" w:cs="Times New Roman"/>
          <w:sz w:val="24"/>
          <w:szCs w:val="24"/>
        </w:rPr>
        <w:t xml:space="preserve"> </w:t>
      </w:r>
      <w:r>
        <w:rPr>
          <w:rFonts w:ascii="Times New Roman" w:hAnsi="Times New Roman" w:eastAsia="Calibri" w:cs="Times New Roman"/>
          <w:sz w:val="24"/>
          <w:szCs w:val="24"/>
          <w:lang w:eastAsia="zh-CN"/>
        </w:rPr>
        <w:t xml:space="preserve">PVN 21 % </w:t>
      </w:r>
      <w:r>
        <w:rPr>
          <w:rFonts w:ascii="Times New Roman" w:hAnsi="Times New Roman" w:cs="Times New Roman"/>
          <w:sz w:val="24"/>
          <w:szCs w:val="24"/>
        </w:rPr>
        <w:t xml:space="preserve">EUR 18946,62 (Astoņpadsmit tūkstoši deviņi simti četrdesmit seši  </w:t>
      </w:r>
      <w:r>
        <w:rPr>
          <w:rFonts w:ascii="Times New Roman" w:hAnsi="Times New Roman" w:cs="Times New Roman"/>
          <w:i/>
          <w:iCs/>
          <w:sz w:val="24"/>
          <w:szCs w:val="24"/>
        </w:rPr>
        <w:t>euro</w:t>
      </w:r>
      <w:r>
        <w:rPr>
          <w:rFonts w:ascii="Times New Roman" w:hAnsi="Times New Roman" w:cs="Times New Roman"/>
          <w:sz w:val="24"/>
          <w:szCs w:val="24"/>
        </w:rPr>
        <w:t xml:space="preserve">, 62 centi), un kopā EUR 109168,62 (Viens simts deviņi tūkstoši simtusešdesmit astoņi </w:t>
      </w:r>
      <w:r>
        <w:rPr>
          <w:rFonts w:ascii="Times New Roman" w:hAnsi="Times New Roman" w:cs="Times New Roman"/>
          <w:i/>
          <w:iCs/>
          <w:sz w:val="24"/>
          <w:szCs w:val="24"/>
        </w:rPr>
        <w:t>euro</w:t>
      </w:r>
      <w:r>
        <w:rPr>
          <w:rFonts w:ascii="Times New Roman" w:hAnsi="Times New Roman" w:cs="Times New Roman"/>
          <w:sz w:val="24"/>
          <w:szCs w:val="24"/>
        </w:rPr>
        <w:t>, 62 centi), turpmāk tekstā – Līguma summa.</w:t>
      </w:r>
    </w:p>
    <w:p w14:paraId="6F8B0B08">
      <w:pPr>
        <w:pStyle w:val="38"/>
        <w:numPr>
          <w:ilvl w:val="1"/>
          <w:numId w:val="5"/>
        </w:numPr>
        <w:jc w:val="both"/>
        <w:rPr>
          <w:rFonts w:ascii="Times New Roman" w:hAnsi="Times New Roman" w:cs="Times New Roman"/>
          <w:sz w:val="24"/>
          <w:szCs w:val="24"/>
        </w:rPr>
      </w:pPr>
      <w:r>
        <w:rPr>
          <w:rFonts w:ascii="Times New Roman" w:hAnsi="Times New Roman" w:cs="Times New Roman"/>
          <w:bCs/>
          <w:sz w:val="24"/>
          <w:szCs w:val="24"/>
        </w:rPr>
        <w:t>P</w:t>
      </w:r>
      <w:r>
        <w:rPr>
          <w:rFonts w:ascii="Times New Roman" w:hAnsi="Times New Roman" w:cs="Times New Roman"/>
          <w:sz w:val="24"/>
          <w:szCs w:val="24"/>
        </w:rPr>
        <w:t xml:space="preserve">riekšapmaksa 10% apmērā no līgumā norādītās kopējās summas, kas sastāda 10916,86 EUR (Desmitt tūkstoši deviņi simti sešpadsmit euro un 86 cents) PVN 21% iekļauts, </w:t>
      </w:r>
      <w:r>
        <w:rPr>
          <w:rFonts w:ascii="Times New Roman" w:hAnsi="Times New Roman" w:eastAsia="Times New Roman" w:cs="Times New Roman"/>
          <w:b/>
          <w:sz w:val="24"/>
          <w:szCs w:val="24"/>
          <w:lang w:eastAsia="ru-RU"/>
        </w:rPr>
        <w:t>Pasūtītājs</w:t>
      </w:r>
      <w:r>
        <w:rPr>
          <w:rFonts w:ascii="Times New Roman" w:hAnsi="Times New Roman" w:cs="Times New Roman"/>
          <w:sz w:val="24"/>
          <w:szCs w:val="24"/>
        </w:rPr>
        <w:t xml:space="preserve"> maksā 10 dienu laikā no rēķina saņemšanas brīža, pārskaitot šo summu uz </w:t>
      </w:r>
      <w:r>
        <w:rPr>
          <w:rFonts w:ascii="Times New Roman" w:hAnsi="Times New Roman" w:eastAsia="Calibri" w:cs="Times New Roman"/>
          <w:b/>
          <w:sz w:val="24"/>
          <w:szCs w:val="24"/>
        </w:rPr>
        <w:t>Piegādātājs</w:t>
      </w:r>
      <w:r>
        <w:rPr>
          <w:rFonts w:ascii="Times New Roman" w:hAnsi="Times New Roman" w:cs="Times New Roman"/>
          <w:sz w:val="24"/>
          <w:szCs w:val="24"/>
        </w:rPr>
        <w:t xml:space="preserve"> bankas kontu.</w:t>
      </w:r>
    </w:p>
    <w:p w14:paraId="44332E36">
      <w:pPr>
        <w:pStyle w:val="38"/>
        <w:numPr>
          <w:ilvl w:val="1"/>
          <w:numId w:val="5"/>
        </w:numPr>
        <w:jc w:val="both"/>
        <w:rPr>
          <w:rFonts w:ascii="Times New Roman" w:hAnsi="Times New Roman" w:cs="Times New Roman"/>
          <w:sz w:val="24"/>
          <w:szCs w:val="24"/>
        </w:rPr>
      </w:pPr>
      <w:r>
        <w:rPr>
          <w:rFonts w:ascii="Times New Roman" w:hAnsi="Times New Roman" w:cs="Times New Roman"/>
          <w:sz w:val="24"/>
          <w:szCs w:val="24"/>
        </w:rPr>
        <w:t>Atlikušo summu 90%</w:t>
      </w:r>
      <w:r>
        <w:rPr>
          <w:rFonts w:ascii="Times New Roman" w:hAnsi="Times New Roman" w:cs="Times New Roman"/>
          <w:b/>
          <w:sz w:val="24"/>
          <w:szCs w:val="24"/>
        </w:rPr>
        <w:t xml:space="preserve"> </w:t>
      </w:r>
      <w:r>
        <w:rPr>
          <w:rFonts w:ascii="Times New Roman" w:hAnsi="Times New Roman" w:cs="Times New Roman"/>
          <w:sz w:val="24"/>
          <w:szCs w:val="24"/>
        </w:rPr>
        <w:t xml:space="preserve">apmērā no līgumā norādītās kopējās summas, kas sastāda 98251,76 EUR (Deviņdesmit astoņi tūkstoši divi simti piecdesmit viens eiro un 76 centi) PVN 21% iekļauts, </w:t>
      </w:r>
      <w:r>
        <w:rPr>
          <w:rFonts w:ascii="Times New Roman" w:hAnsi="Times New Roman" w:eastAsia="Times New Roman" w:cs="Times New Roman"/>
          <w:b/>
          <w:sz w:val="24"/>
          <w:szCs w:val="24"/>
          <w:lang w:eastAsia="ru-RU"/>
        </w:rPr>
        <w:t>Pasūtītājs</w:t>
      </w:r>
      <w:r>
        <w:rPr>
          <w:rFonts w:ascii="Times New Roman" w:hAnsi="Times New Roman" w:cs="Times New Roman"/>
          <w:sz w:val="24"/>
          <w:szCs w:val="24"/>
        </w:rPr>
        <w:t xml:space="preserve"> maksā  ar līzinga starpniecību, pēc tam kad būs parakstīti līzinga līguma dokumenti, un kad tehnika būs piegādāta (parakstīts tehnikas pieņemšanas/nodošanas akts) un piereģistrēta VTUA uz Swedbank līzings vārda  ar turētāju.</w:t>
      </w:r>
    </w:p>
    <w:p w14:paraId="7CE73DA9">
      <w:pPr>
        <w:pStyle w:val="38"/>
        <w:numPr>
          <w:ilvl w:val="1"/>
          <w:numId w:val="5"/>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Piedāvājuma cenā ir iekļauti visi ar Līguma izpildi saistītie izdevumi, t.sk., visi nodokļi, nodevas, administratīvās izmaksas, transporta izdevumi,</w:t>
      </w:r>
      <w:r>
        <w:rPr>
          <w:rFonts w:ascii="Times New Roman" w:hAnsi="Times New Roman" w:eastAsia="Times New Roman" w:cs="Times New Roman"/>
          <w:bCs/>
          <w:color w:val="000000"/>
          <w:sz w:val="24"/>
          <w:szCs w:val="24"/>
        </w:rPr>
        <w:t xml:space="preserve"> </w:t>
      </w:r>
      <w:r>
        <w:rPr>
          <w:rFonts w:ascii="Times New Roman" w:hAnsi="Times New Roman" w:cs="Times New Roman"/>
          <w:sz w:val="24"/>
          <w:szCs w:val="24"/>
        </w:rPr>
        <w:t>iespējamie sadārdzinājumi</w:t>
      </w:r>
      <w:r>
        <w:rPr>
          <w:rFonts w:ascii="Times New Roman" w:hAnsi="Times New Roman" w:cs="Times New Roman"/>
          <w:color w:val="000000"/>
          <w:sz w:val="24"/>
          <w:szCs w:val="24"/>
        </w:rPr>
        <w:t xml:space="preserve"> u.c. cenu izmaiņas</w:t>
      </w:r>
      <w:r>
        <w:rPr>
          <w:rFonts w:ascii="Times New Roman" w:hAnsi="Times New Roman" w:cs="Times New Roman"/>
          <w:sz w:val="24"/>
          <w:szCs w:val="24"/>
        </w:rPr>
        <w:t>, kā arī tādas Pakalpojuma izmaksas, kas nav minētas, bet bez kurām nebūtu iespējama kvalitatīva un normatīviem aktiem atbilstoša Līguma izpilde.</w:t>
      </w:r>
    </w:p>
    <w:p w14:paraId="410140B1">
      <w:pPr>
        <w:pStyle w:val="38"/>
        <w:spacing w:after="0" w:line="240" w:lineRule="auto"/>
        <w:ind w:left="426"/>
        <w:jc w:val="both"/>
        <w:rPr>
          <w:rFonts w:ascii="Times New Roman" w:hAnsi="Times New Roman" w:cs="Times New Roman"/>
          <w:sz w:val="24"/>
          <w:szCs w:val="24"/>
        </w:rPr>
      </w:pPr>
    </w:p>
    <w:p w14:paraId="4E3585BD">
      <w:pPr>
        <w:spacing w:after="0" w:line="240" w:lineRule="auto"/>
        <w:jc w:val="both"/>
        <w:rPr>
          <w:rFonts w:ascii="Times New Roman" w:hAnsi="Times New Roman" w:cs="Times New Roman"/>
          <w:sz w:val="24"/>
          <w:szCs w:val="24"/>
        </w:rPr>
      </w:pPr>
    </w:p>
    <w:p w14:paraId="76587B8C">
      <w:pPr>
        <w:pStyle w:val="38"/>
        <w:numPr>
          <w:ilvl w:val="0"/>
          <w:numId w:val="6"/>
        </w:numPr>
        <w:spacing w:after="0" w:line="240" w:lineRule="auto"/>
        <w:ind w:left="426" w:hanging="426"/>
        <w:jc w:val="center"/>
        <w:rPr>
          <w:rFonts w:ascii="Times New Roman" w:hAnsi="Times New Roman" w:cs="Times New Roman"/>
          <w:b/>
          <w:sz w:val="24"/>
          <w:szCs w:val="24"/>
        </w:rPr>
      </w:pPr>
      <w:r>
        <w:rPr>
          <w:rFonts w:ascii="Times New Roman" w:hAnsi="Times New Roman" w:cs="Times New Roman"/>
          <w:b/>
          <w:sz w:val="24"/>
          <w:szCs w:val="24"/>
        </w:rPr>
        <w:t>Līguma izpildes termiņš</w:t>
      </w:r>
    </w:p>
    <w:p w14:paraId="3B88AC89">
      <w:pPr>
        <w:pStyle w:val="26"/>
        <w:rPr>
          <w:highlight w:val="yellow"/>
        </w:rPr>
      </w:pPr>
      <w:r>
        <w:t>3.1.Preces piegādes termiņš – 2 (divi) mēneši no līguma parakstīšanas dienas.</w:t>
      </w:r>
      <w:r>
        <w:br w:type="textWrapping"/>
      </w:r>
    </w:p>
    <w:p w14:paraId="054FD538">
      <w:pPr>
        <w:pStyle w:val="26"/>
        <w:ind w:left="0" w:firstLine="0"/>
        <w:jc w:val="both"/>
      </w:pPr>
    </w:p>
    <w:p w14:paraId="62B389D4">
      <w:pPr>
        <w:pStyle w:val="27"/>
        <w:numPr>
          <w:ilvl w:val="0"/>
          <w:numId w:val="7"/>
        </w:numPr>
        <w:spacing w:before="0"/>
        <w:jc w:val="center"/>
        <w:rPr>
          <w:lang w:val="lv-LV"/>
        </w:rPr>
      </w:pPr>
      <w:r>
        <w:rPr>
          <w:b/>
          <w:bCs/>
          <w:lang w:val="lv-LV"/>
        </w:rPr>
        <w:t>Piegādātāja saistības</w:t>
      </w:r>
    </w:p>
    <w:p w14:paraId="1CBB649B">
      <w:pPr>
        <w:pStyle w:val="38"/>
        <w:numPr>
          <w:ilvl w:val="1"/>
          <w:numId w:val="7"/>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Piegādātāja tiesības:</w:t>
      </w:r>
    </w:p>
    <w:p w14:paraId="17345B07">
      <w:pPr>
        <w:pStyle w:val="38"/>
        <w:numPr>
          <w:ilvl w:val="2"/>
          <w:numId w:val="7"/>
        </w:num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Līgumā noteiktajā laikā un apmērā saņemt atlīdzību par piegādāto Preci;</w:t>
      </w:r>
    </w:p>
    <w:p w14:paraId="53D3C5BB">
      <w:pPr>
        <w:pStyle w:val="38"/>
        <w:numPr>
          <w:ilvl w:val="2"/>
          <w:numId w:val="7"/>
        </w:num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citas tiesības, kas izriet no attiecīgajiem normatīvajiem aktiem vai Līguma.</w:t>
      </w:r>
    </w:p>
    <w:p w14:paraId="7E5568E7">
      <w:pPr>
        <w:pStyle w:val="38"/>
        <w:numPr>
          <w:ilvl w:val="1"/>
          <w:numId w:val="7"/>
        </w:numPr>
        <w:spacing w:after="0" w:line="240" w:lineRule="auto"/>
        <w:ind w:left="426" w:hanging="426"/>
        <w:jc w:val="both"/>
        <w:rPr>
          <w:rFonts w:asciiTheme="majorBidi" w:hAnsiTheme="majorBidi" w:cstheme="majorBidi"/>
          <w:sz w:val="24"/>
          <w:szCs w:val="24"/>
        </w:rPr>
      </w:pPr>
      <w:r>
        <w:rPr>
          <w:rFonts w:asciiTheme="majorBidi" w:hAnsiTheme="majorBidi" w:cstheme="majorBidi"/>
          <w:sz w:val="24"/>
          <w:szCs w:val="24"/>
        </w:rPr>
        <w:t>Piegādātāja pienākumi:</w:t>
      </w:r>
    </w:p>
    <w:p w14:paraId="41447770">
      <w:pPr>
        <w:pStyle w:val="38"/>
        <w:numPr>
          <w:ilvl w:val="2"/>
          <w:numId w:val="7"/>
        </w:numPr>
        <w:spacing w:after="0" w:line="240" w:lineRule="auto"/>
        <w:ind w:left="709"/>
        <w:jc w:val="both"/>
        <w:rPr>
          <w:rFonts w:asciiTheme="majorBidi" w:hAnsiTheme="majorBidi" w:cstheme="majorBidi"/>
          <w:sz w:val="24"/>
          <w:szCs w:val="24"/>
        </w:rPr>
      </w:pPr>
      <w:r>
        <w:rPr>
          <w:rFonts w:asciiTheme="majorBidi" w:hAnsiTheme="majorBidi" w:cstheme="majorBidi"/>
          <w:sz w:val="24"/>
          <w:szCs w:val="24"/>
        </w:rPr>
        <w:t>nodrošināt kvalitatīvas Preces piegādi Līguma 3.1.punktā paredzētajā termiņā;</w:t>
      </w:r>
    </w:p>
    <w:p w14:paraId="7305EF33">
      <w:pPr>
        <w:pStyle w:val="38"/>
        <w:numPr>
          <w:ilvl w:val="2"/>
          <w:numId w:val="7"/>
        </w:numPr>
        <w:spacing w:after="0" w:line="240" w:lineRule="auto"/>
        <w:ind w:left="709"/>
        <w:jc w:val="both"/>
        <w:rPr>
          <w:rFonts w:asciiTheme="majorBidi" w:hAnsiTheme="majorBidi" w:cstheme="majorBidi"/>
          <w:sz w:val="24"/>
          <w:szCs w:val="24"/>
        </w:rPr>
      </w:pPr>
      <w:r>
        <w:rPr>
          <w:rFonts w:asciiTheme="majorBidi" w:hAnsiTheme="majorBidi" w:cstheme="majorBidi"/>
          <w:sz w:val="24"/>
          <w:szCs w:val="24"/>
        </w:rPr>
        <w:t>pēc Pasūtītāja pieprasījuma, sniegt visu nepieciešamo informāciju/ dokumentus saistībā ar Preces piegādi;</w:t>
      </w:r>
    </w:p>
    <w:p w14:paraId="17F66228">
      <w:pPr>
        <w:pStyle w:val="38"/>
        <w:numPr>
          <w:ilvl w:val="2"/>
          <w:numId w:val="7"/>
        </w:numPr>
        <w:spacing w:after="0" w:line="240" w:lineRule="auto"/>
        <w:ind w:left="709"/>
        <w:jc w:val="both"/>
        <w:rPr>
          <w:rFonts w:asciiTheme="majorBidi" w:hAnsiTheme="majorBidi" w:cstheme="majorBidi"/>
          <w:sz w:val="24"/>
          <w:szCs w:val="24"/>
        </w:rPr>
      </w:pPr>
      <w:r>
        <w:rPr>
          <w:rFonts w:eastAsia="Calibri" w:asciiTheme="majorBidi" w:hAnsiTheme="majorBidi" w:cstheme="majorBidi"/>
          <w:sz w:val="24"/>
          <w:szCs w:val="24"/>
        </w:rPr>
        <w:t>nodrošināt, lai Preces piegādes laikā, Piegādātāja darbinieki nepieļautu patvaļīgas atkāpes no Līguma noteikumiem, piegādes termiņiem un finanšu izlietojuma;</w:t>
      </w:r>
    </w:p>
    <w:p w14:paraId="43523FD9">
      <w:pPr>
        <w:pStyle w:val="38"/>
        <w:numPr>
          <w:ilvl w:val="2"/>
          <w:numId w:val="7"/>
        </w:numPr>
        <w:spacing w:after="0" w:line="240" w:lineRule="auto"/>
        <w:ind w:left="709"/>
        <w:jc w:val="both"/>
        <w:rPr>
          <w:rFonts w:asciiTheme="majorBidi" w:hAnsiTheme="majorBidi" w:cstheme="majorBidi"/>
          <w:sz w:val="24"/>
          <w:szCs w:val="24"/>
        </w:rPr>
      </w:pPr>
      <w:r>
        <w:rPr>
          <w:rFonts w:eastAsia="Calibri" w:asciiTheme="majorBidi" w:hAnsiTheme="majorBidi" w:cstheme="majorBidi"/>
          <w:sz w:val="24"/>
          <w:szCs w:val="24"/>
          <w:lang w:eastAsia="zh-CN"/>
        </w:rPr>
        <w:t>apņemties par saviem līdzekļiem novērst visus trūkumus un defektus, kas radušies Preces piegādes laikā;</w:t>
      </w:r>
    </w:p>
    <w:p w14:paraId="07DD91B8">
      <w:pPr>
        <w:pStyle w:val="38"/>
        <w:numPr>
          <w:ilvl w:val="2"/>
          <w:numId w:val="7"/>
        </w:numPr>
        <w:spacing w:after="0" w:line="240" w:lineRule="auto"/>
        <w:ind w:left="709"/>
        <w:jc w:val="both"/>
        <w:rPr>
          <w:rFonts w:asciiTheme="majorBidi" w:hAnsiTheme="majorBidi" w:cstheme="majorBidi"/>
          <w:sz w:val="24"/>
          <w:szCs w:val="24"/>
        </w:rPr>
      </w:pPr>
      <w:r>
        <w:rPr>
          <w:rFonts w:eastAsia="Calibri" w:asciiTheme="majorBidi" w:hAnsiTheme="majorBidi" w:cstheme="majorBidi"/>
          <w:sz w:val="24"/>
          <w:szCs w:val="24"/>
          <w:lang w:eastAsia="zh-CN"/>
        </w:rPr>
        <w:t>apņemties, Līguma prasībām neatbilstošas Preces piegādes gadījumā, apmainīt to pret jaunu, Līguma prasībām atbilstošu Preci;</w:t>
      </w:r>
    </w:p>
    <w:p w14:paraId="7DC6B206">
      <w:pPr>
        <w:pStyle w:val="38"/>
        <w:numPr>
          <w:ilvl w:val="2"/>
          <w:numId w:val="7"/>
        </w:numPr>
        <w:spacing w:after="0" w:line="240" w:lineRule="auto"/>
        <w:ind w:left="709"/>
        <w:jc w:val="both"/>
        <w:rPr>
          <w:rFonts w:asciiTheme="majorBidi" w:hAnsiTheme="majorBidi" w:cstheme="majorBidi"/>
          <w:sz w:val="24"/>
          <w:szCs w:val="24"/>
        </w:rPr>
      </w:pPr>
      <w:r>
        <w:rPr>
          <w:rFonts w:asciiTheme="majorBidi" w:hAnsiTheme="majorBidi" w:cstheme="majorBidi"/>
          <w:sz w:val="24"/>
          <w:szCs w:val="24"/>
        </w:rPr>
        <w:t>savlaicīgi informēt Pasūtītāju par objektīviem apstākļiem, kas radušies un kavē saistību izpildi, saskaņojot tālāko rīcību;</w:t>
      </w:r>
    </w:p>
    <w:p w14:paraId="5672A69D">
      <w:pPr>
        <w:pStyle w:val="38"/>
        <w:numPr>
          <w:ilvl w:val="2"/>
          <w:numId w:val="7"/>
        </w:numPr>
        <w:spacing w:after="0" w:line="240" w:lineRule="auto"/>
        <w:ind w:left="709"/>
        <w:jc w:val="both"/>
        <w:rPr>
          <w:rFonts w:asciiTheme="majorBidi" w:hAnsiTheme="majorBidi" w:cstheme="majorBidi"/>
          <w:sz w:val="24"/>
          <w:szCs w:val="24"/>
        </w:rPr>
      </w:pPr>
      <w:r>
        <w:rPr>
          <w:rFonts w:asciiTheme="majorBidi" w:hAnsiTheme="majorBidi" w:cstheme="majorBidi"/>
          <w:sz w:val="24"/>
          <w:szCs w:val="24"/>
        </w:rPr>
        <w:t>nodrošināt visas nepieciešamās dokumentācijas un informācijas savlaicīgu nodošanu Pasūtītājam;</w:t>
      </w:r>
    </w:p>
    <w:p w14:paraId="10F4C887">
      <w:pPr>
        <w:pStyle w:val="38"/>
        <w:numPr>
          <w:ilvl w:val="2"/>
          <w:numId w:val="7"/>
        </w:numPr>
        <w:spacing w:after="0" w:line="240" w:lineRule="auto"/>
        <w:ind w:left="709"/>
        <w:jc w:val="both"/>
        <w:rPr>
          <w:rFonts w:asciiTheme="majorBidi" w:hAnsiTheme="majorBidi" w:cstheme="majorBidi"/>
          <w:sz w:val="24"/>
          <w:szCs w:val="24"/>
        </w:rPr>
      </w:pPr>
      <w:r>
        <w:rPr>
          <w:rFonts w:asciiTheme="majorBidi" w:hAnsiTheme="majorBidi" w:cstheme="majorBidi"/>
          <w:sz w:val="24"/>
          <w:szCs w:val="24"/>
        </w:rPr>
        <w:t>nodrošināt Preces reģistrāciju uz Pasūtītāja vārda;</w:t>
      </w:r>
    </w:p>
    <w:p w14:paraId="7DC01300">
      <w:pPr>
        <w:pStyle w:val="38"/>
        <w:numPr>
          <w:ilvl w:val="2"/>
          <w:numId w:val="7"/>
        </w:numPr>
        <w:spacing w:after="0" w:line="240" w:lineRule="auto"/>
        <w:ind w:left="709"/>
        <w:jc w:val="both"/>
        <w:rPr>
          <w:rFonts w:asciiTheme="majorBidi" w:hAnsiTheme="majorBidi" w:cstheme="majorBidi"/>
          <w:sz w:val="24"/>
          <w:szCs w:val="24"/>
        </w:rPr>
      </w:pPr>
      <w:r>
        <w:rPr>
          <w:rFonts w:asciiTheme="majorBidi" w:hAnsiTheme="majorBidi" w:cstheme="majorBidi"/>
          <w:sz w:val="24"/>
          <w:szCs w:val="24"/>
        </w:rPr>
        <w:t>iepazīstināt Pasūtītāju</w:t>
      </w:r>
      <w:r>
        <w:rPr>
          <w:rFonts w:asciiTheme="majorBidi" w:hAnsiTheme="majorBidi" w:cstheme="majorBidi"/>
          <w:bCs/>
          <w:iCs/>
          <w:sz w:val="24"/>
          <w:szCs w:val="24"/>
        </w:rPr>
        <w:t xml:space="preserve"> </w:t>
      </w:r>
      <w:r>
        <w:rPr>
          <w:rFonts w:asciiTheme="majorBidi" w:hAnsiTheme="majorBidi" w:cstheme="majorBidi"/>
          <w:sz w:val="24"/>
          <w:szCs w:val="24"/>
        </w:rPr>
        <w:t>ar patiesu un pilnīgu informāciju par Preces kvalitāti, drošumu, ražotāja garantijas noteikumiem un tehniskās ekspluatācijas noteikumiem;</w:t>
      </w:r>
    </w:p>
    <w:p w14:paraId="23BDD6C8">
      <w:pPr>
        <w:pStyle w:val="38"/>
        <w:numPr>
          <w:ilvl w:val="2"/>
          <w:numId w:val="7"/>
        </w:numPr>
        <w:spacing w:after="0" w:line="240" w:lineRule="auto"/>
        <w:ind w:left="709"/>
        <w:jc w:val="both"/>
        <w:rPr>
          <w:rFonts w:asciiTheme="majorBidi" w:hAnsiTheme="majorBidi" w:cstheme="majorBidi"/>
          <w:sz w:val="24"/>
          <w:szCs w:val="24"/>
        </w:rPr>
      </w:pPr>
      <w:r>
        <w:rPr>
          <w:rFonts w:asciiTheme="majorBidi" w:hAnsiTheme="majorBidi" w:cstheme="majorBidi"/>
          <w:sz w:val="24"/>
          <w:szCs w:val="24"/>
        </w:rPr>
        <w:t>nodrošināt Pasūtītāja personāla apmācību;</w:t>
      </w:r>
    </w:p>
    <w:p w14:paraId="0986D906">
      <w:pPr>
        <w:pStyle w:val="38"/>
        <w:numPr>
          <w:ilvl w:val="2"/>
          <w:numId w:val="7"/>
        </w:numPr>
        <w:spacing w:after="0" w:line="240" w:lineRule="auto"/>
        <w:ind w:left="709"/>
        <w:jc w:val="both"/>
        <w:rPr>
          <w:rFonts w:asciiTheme="majorBidi" w:hAnsiTheme="majorBidi" w:cstheme="majorBidi"/>
          <w:sz w:val="24"/>
          <w:szCs w:val="24"/>
        </w:rPr>
      </w:pPr>
      <w:r>
        <w:rPr>
          <w:rFonts w:asciiTheme="majorBidi" w:hAnsiTheme="majorBidi" w:cstheme="majorBidi"/>
          <w:sz w:val="24"/>
          <w:szCs w:val="24"/>
        </w:rPr>
        <w:t>nodrošināt Preces tehnisko apkopi, tehnisko apkopi Piegādātājs nodrošina par atsevišķu samaksu saskaņā ar ražotāja apkopes noteikumiem;</w:t>
      </w:r>
    </w:p>
    <w:p w14:paraId="6D25DEB4">
      <w:pPr>
        <w:pStyle w:val="38"/>
        <w:numPr>
          <w:ilvl w:val="2"/>
          <w:numId w:val="7"/>
        </w:numPr>
        <w:spacing w:after="0" w:line="240" w:lineRule="auto"/>
        <w:ind w:left="709"/>
        <w:jc w:val="both"/>
        <w:rPr>
          <w:rFonts w:asciiTheme="majorBidi" w:hAnsiTheme="majorBidi" w:cstheme="majorBidi"/>
          <w:sz w:val="24"/>
          <w:szCs w:val="24"/>
        </w:rPr>
      </w:pPr>
      <w:r>
        <w:rPr>
          <w:rFonts w:asciiTheme="majorBidi" w:hAnsiTheme="majorBidi" w:cstheme="majorBidi"/>
          <w:sz w:val="24"/>
          <w:szCs w:val="24"/>
        </w:rPr>
        <w:t>Garantijas</w:t>
      </w:r>
      <w:r>
        <w:rPr>
          <w:rFonts w:asciiTheme="majorBidi" w:hAnsiTheme="majorBidi" w:cstheme="majorBidi"/>
          <w:sz w:val="24"/>
          <w:szCs w:val="24"/>
          <w:lang w:val="en-US"/>
        </w:rPr>
        <w:t xml:space="preserve"> </w:t>
      </w:r>
      <w:r>
        <w:rPr>
          <w:rFonts w:asciiTheme="majorBidi" w:hAnsiTheme="majorBidi" w:cstheme="majorBidi"/>
          <w:sz w:val="24"/>
          <w:szCs w:val="24"/>
        </w:rPr>
        <w:t>noteikumi:</w:t>
      </w:r>
      <w:r>
        <w:rPr>
          <w:rFonts w:asciiTheme="majorBidi" w:hAnsiTheme="majorBidi" w:cstheme="majorBidi"/>
          <w:sz w:val="24"/>
          <w:szCs w:val="24"/>
          <w:lang w:val="en-US"/>
        </w:rPr>
        <w:t xml:space="preserve"> </w:t>
      </w:r>
      <w:r>
        <w:rPr>
          <w:rFonts w:asciiTheme="majorBidi" w:hAnsiTheme="majorBidi" w:cstheme="majorBidi"/>
          <w:sz w:val="24"/>
          <w:szCs w:val="24"/>
        </w:rPr>
        <w:t>Garantijas termiņš ir 24 (divdesmit četri) mēneši no Preces nodošanas–pieņemšanas akta parakstīšanas dienas. Garantija attiecas tikai uz ražošanas defektiem un neattiecas uz bojājumiem, kas radušies nepareizas ekspluatācijas, apkopes, mehānisku bojājumu vai ārēju faktoru dēļ. Garantijas noteikumi atbilst ražotāja garantijas politikai;</w:t>
      </w:r>
    </w:p>
    <w:p w14:paraId="280A9089">
      <w:pPr>
        <w:pStyle w:val="38"/>
        <w:numPr>
          <w:ilvl w:val="2"/>
          <w:numId w:val="7"/>
        </w:numPr>
        <w:spacing w:after="0" w:line="240" w:lineRule="auto"/>
        <w:ind w:left="709"/>
        <w:jc w:val="both"/>
        <w:rPr>
          <w:rFonts w:asciiTheme="majorBidi" w:hAnsiTheme="majorBidi" w:cstheme="majorBidi"/>
          <w:sz w:val="24"/>
          <w:szCs w:val="24"/>
        </w:rPr>
      </w:pPr>
      <w:r>
        <w:rPr>
          <w:rFonts w:asciiTheme="majorBidi" w:hAnsiTheme="majorBidi" w:cstheme="majorBidi"/>
          <w:sz w:val="24"/>
          <w:szCs w:val="24"/>
        </w:rPr>
        <w:t>citas saistības, kas izriet no attiecīgajiem normatīvajiem aktiem vai Līguma.</w:t>
      </w:r>
    </w:p>
    <w:p w14:paraId="38579BBB">
      <w:pPr>
        <w:pStyle w:val="27"/>
        <w:widowControl/>
        <w:numPr>
          <w:ilvl w:val="1"/>
          <w:numId w:val="7"/>
        </w:numPr>
        <w:suppressAutoHyphens w:val="0"/>
        <w:spacing w:before="0"/>
        <w:ind w:left="426" w:hanging="426"/>
        <w:jc w:val="both"/>
        <w:rPr>
          <w:rFonts w:asciiTheme="majorBidi" w:hAnsiTheme="majorBidi" w:cstheme="majorBidi"/>
          <w:lang w:val="lv-LV"/>
        </w:rPr>
      </w:pPr>
      <w:r>
        <w:rPr>
          <w:rFonts w:asciiTheme="majorBidi" w:hAnsiTheme="majorBidi" w:cstheme="majorBidi"/>
          <w:lang w:val="lv-LV"/>
        </w:rPr>
        <w:t>Piegādātājs atbild par:</w:t>
      </w:r>
    </w:p>
    <w:p w14:paraId="13FE251C">
      <w:pPr>
        <w:pStyle w:val="27"/>
        <w:widowControl/>
        <w:numPr>
          <w:ilvl w:val="2"/>
          <w:numId w:val="7"/>
        </w:numPr>
        <w:suppressAutoHyphens w:val="0"/>
        <w:spacing w:before="0"/>
        <w:ind w:left="709"/>
        <w:jc w:val="both"/>
        <w:rPr>
          <w:rFonts w:asciiTheme="majorBidi" w:hAnsiTheme="majorBidi" w:cstheme="majorBidi"/>
          <w:lang w:val="lv-LV"/>
        </w:rPr>
      </w:pPr>
      <w:r>
        <w:rPr>
          <w:rFonts w:asciiTheme="majorBidi" w:hAnsiTheme="majorBidi" w:cstheme="majorBidi"/>
          <w:lang w:val="lv-LV"/>
        </w:rPr>
        <w:t>Preces piegādi, atbilstoši Līgumam un normatīvajiem aktiem:</w:t>
      </w:r>
    </w:p>
    <w:p w14:paraId="7A27B66B">
      <w:pPr>
        <w:pStyle w:val="27"/>
        <w:widowControl/>
        <w:numPr>
          <w:ilvl w:val="3"/>
          <w:numId w:val="7"/>
        </w:numPr>
        <w:suppressAutoHyphens w:val="0"/>
        <w:spacing w:before="0"/>
        <w:jc w:val="both"/>
        <w:rPr>
          <w:rFonts w:asciiTheme="majorBidi" w:hAnsiTheme="majorBidi" w:cstheme="majorBidi"/>
          <w:lang w:val="lv-LV"/>
        </w:rPr>
      </w:pPr>
      <w:r>
        <w:rPr>
          <w:rFonts w:asciiTheme="majorBidi" w:hAnsiTheme="majorBidi" w:cstheme="majorBidi"/>
          <w:lang w:val="lv-LV"/>
        </w:rPr>
        <w:t xml:space="preserve">ja Piegādātājs nepiegādā Preci atbilstoši Tehniskajam piedāvājumam (skat. 1.pielikumu) vai Finanšu piedāvājumam (skat. 2.pielikumu), Pasūtītājs aprēķina līgumsodu – EUR 500,00 (pieci simti </w:t>
      </w:r>
      <w:r>
        <w:rPr>
          <w:rFonts w:asciiTheme="majorBidi" w:hAnsiTheme="majorBidi" w:cstheme="majorBidi"/>
          <w:i/>
          <w:iCs/>
          <w:lang w:val="lv-LV"/>
        </w:rPr>
        <w:t>euro</w:t>
      </w:r>
      <w:r>
        <w:rPr>
          <w:rFonts w:asciiTheme="majorBidi" w:hAnsiTheme="majorBidi" w:cstheme="majorBidi"/>
          <w:lang w:val="lv-LV"/>
        </w:rPr>
        <w:t>, 0 centi) apmērā par katru konstatēto saistību pārkāpuma gadījumu, bet kopumā ne vairāk kā 5% no līgumcenas (bez PVN); līgumsodu Piegādātājs samaksā 30 (trīsdesmit) kalendāro dienu laikā pēc Pasūtītāja rakstiska pieprasījuma un rēķina iesniegšanas vai nosūta motivētu atteikumu; šajā gadījumā Pasūtītājs, 5 (piecu) kalendāro dienu laikā pēc atteikuma saņemšanas, izskata Piegādātāja argumentus un paziņo par līgumsoda atsaukšanu/ apmēra izmaiņām vai rīkojas saskaņā ar Līguma 5.1.3.punktu; līgumsoda samaksa neatbrīvo Izpildītāju no turpmākās līgumsaistību izpildes un zaudējumu atlīdzināšanas, kas radušies tā vainas dēļ;</w:t>
      </w:r>
    </w:p>
    <w:p w14:paraId="67CEBC7C">
      <w:pPr>
        <w:pStyle w:val="27"/>
        <w:widowControl/>
        <w:numPr>
          <w:ilvl w:val="3"/>
          <w:numId w:val="7"/>
        </w:numPr>
        <w:suppressAutoHyphens w:val="0"/>
        <w:spacing w:before="0"/>
        <w:jc w:val="both"/>
        <w:rPr>
          <w:rFonts w:asciiTheme="majorBidi" w:hAnsiTheme="majorBidi" w:cstheme="majorBidi"/>
          <w:lang w:val="lv-LV"/>
        </w:rPr>
      </w:pPr>
      <w:r>
        <w:rPr>
          <w:rFonts w:asciiTheme="majorBidi" w:hAnsiTheme="majorBidi" w:cstheme="majorBidi"/>
          <w:lang w:val="lv-LV"/>
        </w:rPr>
        <w:t>ja Prece netiek piegādāta līdz Līguma 3.1.punktā noteiktajam termiņam, Pasūtītājs aprēķina līgumsodu – 0,1 (nulle komats viens) % apmērā no līgumcenas bez PVN par katru nokavēto darba dienu, bet kopumā ne vairāk kā 5 (pieci) % no līgumcenas bez PVN; līgumsods neatbrīvo Uzņēmēju no turpmākās līgumsaistību izpildes un zaudējumu atlīdzināšanas, kas radušies tā vainas dēļ; līgumsodu Piegādātājs samaksā 30 (trīsdesmit) kalendāro dienu laikā pēc Pasūtītāja rakstiska pieprasījuma un rēķina iesniegšanas vai nosūta motivētu atteikumu; šajā gadījumā Pasūtītājs, 5 (piecu) kalendāro dienu laikā pēc atteikuma saņemšanas, izskata Piegādātāja argumentus un paziņo par līgumsoda atsaukšanu/ apmēra izmaiņām vai rīkojas saskaņā ar Līguma 5.1.3.punktu; līgumsoda samaksa neatbrīvo Izpildītāju no turpmākās līgumsaistību izpildes un zaudējumu atlīdzināšanas, kas radušies tā vainas dēļ;</w:t>
      </w:r>
    </w:p>
    <w:p w14:paraId="7A6C6B4F">
      <w:pPr>
        <w:pStyle w:val="27"/>
        <w:widowControl/>
        <w:numPr>
          <w:ilvl w:val="3"/>
          <w:numId w:val="7"/>
        </w:numPr>
        <w:suppressAutoHyphens w:val="0"/>
        <w:spacing w:before="0"/>
        <w:jc w:val="both"/>
        <w:rPr>
          <w:rFonts w:asciiTheme="majorBidi" w:hAnsiTheme="majorBidi" w:cstheme="majorBidi"/>
          <w:lang w:val="lv-LV"/>
        </w:rPr>
      </w:pPr>
      <w:r>
        <w:rPr>
          <w:rFonts w:asciiTheme="majorBidi" w:hAnsiTheme="majorBidi" w:cstheme="majorBidi"/>
          <w:lang w:val="lv-LV"/>
        </w:rPr>
        <w:t xml:space="preserve"> par līgumsaistību neizpildi vispār, Pasūtītājs aprēķina Piegādātājam līgumsodu – EUR 5 000.00 (pieci tūkstoši euro, 0 centi) ; līgumsodu Piegādātājs samaksā 30 (trīsdesmit) kalendāro dienu laikā pēc Pasūtītāja rakstiska pieprasījuma un rēķina iesniegšanas vai nosūta motivētu atteikumu; šajā gadījumā Pasūtītājs, 5 (piecu) kalendāro dienu laikā pēc atteikuma saņemšanas, izskata Piegādātāja argumentus un paziņo par līgumsoda atsaukšanu/ apmēra izmaiņām vai atkārtoti – par līgumsoda piemērošanu; ja Pasūtītājs piemēro līgumsodu par līgumsaistību neizpildi vispār, tas Līguma 4.3.1.1. un 4.3.1.2.punktā norādīto līgumsodu nepiemēro.</w:t>
      </w:r>
    </w:p>
    <w:p w14:paraId="5F68E82C">
      <w:pPr>
        <w:pStyle w:val="27"/>
        <w:widowControl/>
        <w:numPr>
          <w:ilvl w:val="3"/>
          <w:numId w:val="7"/>
        </w:numPr>
        <w:suppressAutoHyphens w:val="0"/>
        <w:spacing w:before="0"/>
        <w:jc w:val="both"/>
        <w:rPr>
          <w:rFonts w:asciiTheme="majorBidi" w:hAnsiTheme="majorBidi" w:cstheme="majorBidi"/>
          <w:lang w:val="lv-LV"/>
        </w:rPr>
      </w:pPr>
      <w:r>
        <w:rPr>
          <w:rFonts w:asciiTheme="majorBidi" w:hAnsiTheme="majorBidi" w:cstheme="majorBidi"/>
          <w:lang w:val="lv-LV"/>
        </w:rPr>
        <w:t>“Piegādātāja kopējā atbildība par jebkādiem zaudējumiem nepārsniedz 5% no Līguma kopējās summas bez PVN, izņemot tīšas rīcības vai rupjas nolaidības gadījumus.”</w:t>
      </w:r>
    </w:p>
    <w:p w14:paraId="2C5DA1BF">
      <w:pPr>
        <w:spacing w:after="0" w:line="240" w:lineRule="auto"/>
        <w:jc w:val="both"/>
        <w:rPr>
          <w:rFonts w:asciiTheme="majorBidi" w:hAnsiTheme="majorBidi" w:cstheme="majorBidi"/>
          <w:sz w:val="24"/>
          <w:szCs w:val="24"/>
        </w:rPr>
      </w:pPr>
    </w:p>
    <w:p w14:paraId="1F12F388">
      <w:pPr>
        <w:pStyle w:val="27"/>
        <w:numPr>
          <w:ilvl w:val="0"/>
          <w:numId w:val="8"/>
        </w:numPr>
        <w:spacing w:before="0"/>
        <w:ind w:left="426" w:hanging="426"/>
        <w:jc w:val="center"/>
        <w:rPr>
          <w:rFonts w:asciiTheme="majorBidi" w:hAnsiTheme="majorBidi" w:cstheme="majorBidi"/>
          <w:lang w:val="lv-LV"/>
        </w:rPr>
      </w:pPr>
      <w:r>
        <w:rPr>
          <w:rFonts w:asciiTheme="majorBidi" w:hAnsiTheme="majorBidi" w:cstheme="majorBidi"/>
          <w:b/>
          <w:bCs/>
          <w:lang w:val="lv-LV"/>
        </w:rPr>
        <w:t>Pasūtītāja saistības</w:t>
      </w:r>
    </w:p>
    <w:p w14:paraId="35156566">
      <w:pPr>
        <w:pStyle w:val="27"/>
        <w:widowControl/>
        <w:numPr>
          <w:ilvl w:val="1"/>
          <w:numId w:val="8"/>
        </w:numPr>
        <w:suppressAutoHyphens w:val="0"/>
        <w:spacing w:before="0"/>
        <w:ind w:left="426" w:hanging="426"/>
        <w:jc w:val="both"/>
        <w:rPr>
          <w:rFonts w:asciiTheme="majorBidi" w:hAnsiTheme="majorBidi" w:cstheme="majorBidi"/>
          <w:lang w:val="lv-LV"/>
        </w:rPr>
      </w:pPr>
      <w:r>
        <w:rPr>
          <w:rFonts w:asciiTheme="majorBidi" w:hAnsiTheme="majorBidi" w:cstheme="majorBidi"/>
          <w:lang w:val="lv-LV"/>
        </w:rPr>
        <w:t>Pasūtītāja tiesības:</w:t>
      </w:r>
    </w:p>
    <w:p w14:paraId="7882F4A9">
      <w:pPr>
        <w:pStyle w:val="27"/>
        <w:widowControl/>
        <w:numPr>
          <w:ilvl w:val="2"/>
          <w:numId w:val="8"/>
        </w:numPr>
        <w:suppressAutoHyphens w:val="0"/>
        <w:spacing w:before="0"/>
        <w:ind w:left="709"/>
        <w:jc w:val="both"/>
        <w:rPr>
          <w:rFonts w:asciiTheme="majorBidi" w:hAnsiTheme="majorBidi" w:cstheme="majorBidi"/>
          <w:lang w:val="lv-LV"/>
        </w:rPr>
      </w:pPr>
      <w:r>
        <w:rPr>
          <w:rFonts w:asciiTheme="majorBidi" w:hAnsiTheme="majorBidi" w:cstheme="majorBidi"/>
          <w:lang w:val="lv-LV"/>
        </w:rPr>
        <w:t>saņemt Preci Līgumā noteiktajā termiņā;</w:t>
      </w:r>
    </w:p>
    <w:p w14:paraId="78AC69A3">
      <w:pPr>
        <w:pStyle w:val="27"/>
        <w:widowControl/>
        <w:numPr>
          <w:ilvl w:val="2"/>
          <w:numId w:val="8"/>
        </w:numPr>
        <w:suppressAutoHyphens w:val="0"/>
        <w:spacing w:before="0"/>
        <w:ind w:left="709"/>
        <w:jc w:val="both"/>
        <w:rPr>
          <w:rFonts w:asciiTheme="majorBidi" w:hAnsiTheme="majorBidi" w:cstheme="majorBidi"/>
          <w:lang w:val="lv-LV"/>
        </w:rPr>
      </w:pPr>
      <w:r>
        <w:rPr>
          <w:rFonts w:asciiTheme="majorBidi" w:hAnsiTheme="majorBidi" w:cstheme="majorBidi"/>
          <w:lang w:val="lv-LV"/>
        </w:rPr>
        <w:t xml:space="preserve">neapmaksāt </w:t>
      </w:r>
      <w:r>
        <w:rPr>
          <w:rFonts w:asciiTheme="majorBidi" w:hAnsiTheme="majorBidi" w:cstheme="majorBidi"/>
          <w:color w:val="auto"/>
          <w:lang w:val="lv-LV"/>
        </w:rPr>
        <w:t>piegādāto Preci</w:t>
      </w:r>
      <w:r>
        <w:rPr>
          <w:rFonts w:asciiTheme="majorBidi" w:hAnsiTheme="majorBidi" w:cstheme="majorBidi"/>
          <w:lang w:val="lv-LV"/>
        </w:rPr>
        <w:t>, ja tā neatbilst Līguma noteikumiem/ Tehniskajam piedāvājumam, pieprasot piegādāt prasībām atbilstošu Preci;</w:t>
      </w:r>
    </w:p>
    <w:p w14:paraId="058260C5">
      <w:pPr>
        <w:pStyle w:val="27"/>
        <w:widowControl/>
        <w:numPr>
          <w:ilvl w:val="2"/>
          <w:numId w:val="8"/>
        </w:numPr>
        <w:suppressAutoHyphens w:val="0"/>
        <w:spacing w:before="0"/>
        <w:ind w:left="709"/>
        <w:jc w:val="both"/>
        <w:rPr>
          <w:rFonts w:asciiTheme="majorBidi" w:hAnsiTheme="majorBidi" w:cstheme="majorBidi"/>
          <w:lang w:val="lv-LV"/>
        </w:rPr>
      </w:pPr>
      <w:r>
        <w:rPr>
          <w:rFonts w:asciiTheme="majorBidi" w:hAnsiTheme="majorBidi" w:cstheme="majorBidi"/>
          <w:lang w:val="lv-LV"/>
        </w:rPr>
        <w:t>citas tiesības, kas izriet no attiecīgajiem normatīvajiem aktiem vai Līguma.</w:t>
      </w:r>
    </w:p>
    <w:p w14:paraId="75C71824">
      <w:pPr>
        <w:pStyle w:val="27"/>
        <w:widowControl/>
        <w:numPr>
          <w:ilvl w:val="1"/>
          <w:numId w:val="8"/>
        </w:numPr>
        <w:suppressAutoHyphens w:val="0"/>
        <w:spacing w:before="0"/>
        <w:ind w:left="426" w:hanging="426"/>
        <w:jc w:val="both"/>
        <w:rPr>
          <w:rFonts w:asciiTheme="majorBidi" w:hAnsiTheme="majorBidi" w:cstheme="majorBidi"/>
          <w:lang w:val="lv-LV"/>
        </w:rPr>
      </w:pPr>
      <w:r>
        <w:rPr>
          <w:rFonts w:asciiTheme="majorBidi" w:hAnsiTheme="majorBidi" w:cstheme="majorBidi"/>
          <w:iCs/>
          <w:lang w:val="lv-LV"/>
        </w:rPr>
        <w:t>Pasūtītāja pienākumi:</w:t>
      </w:r>
    </w:p>
    <w:p w14:paraId="2AA7DF0C">
      <w:pPr>
        <w:pStyle w:val="38"/>
        <w:numPr>
          <w:ilvl w:val="2"/>
          <w:numId w:val="8"/>
        </w:numPr>
        <w:spacing w:after="0" w:line="240" w:lineRule="auto"/>
        <w:ind w:left="709"/>
        <w:jc w:val="both"/>
        <w:rPr>
          <w:rFonts w:asciiTheme="majorBidi" w:hAnsiTheme="majorBidi" w:cstheme="majorBidi"/>
          <w:sz w:val="24"/>
          <w:szCs w:val="24"/>
        </w:rPr>
      </w:pPr>
      <w:r>
        <w:rPr>
          <w:rFonts w:asciiTheme="majorBidi" w:hAnsiTheme="majorBidi" w:cstheme="majorBidi"/>
          <w:sz w:val="24"/>
          <w:szCs w:val="24"/>
        </w:rPr>
        <w:t>veikt Līgumā paredzētos maksājumus, ja Preces piegāde atbilst Līguma noteikumiem;</w:t>
      </w:r>
    </w:p>
    <w:p w14:paraId="52A52301">
      <w:pPr>
        <w:pStyle w:val="38"/>
        <w:numPr>
          <w:ilvl w:val="2"/>
          <w:numId w:val="8"/>
        </w:numPr>
        <w:spacing w:after="0" w:line="240" w:lineRule="auto"/>
        <w:ind w:left="709"/>
        <w:jc w:val="both"/>
        <w:rPr>
          <w:rFonts w:asciiTheme="majorBidi" w:hAnsiTheme="majorBidi" w:cstheme="majorBidi"/>
          <w:sz w:val="24"/>
          <w:szCs w:val="24"/>
        </w:rPr>
      </w:pPr>
      <w:r>
        <w:rPr>
          <w:rFonts w:asciiTheme="majorBidi" w:hAnsiTheme="majorBidi" w:cstheme="majorBidi"/>
          <w:sz w:val="24"/>
          <w:szCs w:val="24"/>
        </w:rPr>
        <w:t>kontrolēt Preces piegādes izpildi un pieprasīt informāciju par tās izpildes gaitu veikt norēķinus, saskaņā ar Līguma noteikumiem;</w:t>
      </w:r>
    </w:p>
    <w:p w14:paraId="2945C194">
      <w:pPr>
        <w:pStyle w:val="38"/>
        <w:numPr>
          <w:ilvl w:val="2"/>
          <w:numId w:val="8"/>
        </w:numPr>
        <w:spacing w:after="0" w:line="240" w:lineRule="auto"/>
        <w:ind w:left="709"/>
        <w:jc w:val="both"/>
        <w:rPr>
          <w:rFonts w:asciiTheme="majorBidi" w:hAnsiTheme="majorBidi" w:cstheme="majorBidi"/>
          <w:sz w:val="24"/>
          <w:szCs w:val="24"/>
        </w:rPr>
      </w:pPr>
      <w:r>
        <w:rPr>
          <w:rFonts w:asciiTheme="majorBidi" w:hAnsiTheme="majorBidi" w:cstheme="majorBidi"/>
          <w:sz w:val="24"/>
          <w:szCs w:val="24"/>
        </w:rPr>
        <w:t>pārbaudīt Preces piegādes atbilstību un kvalitāti Līguma un normatīvo aktu prasībām;</w:t>
      </w:r>
    </w:p>
    <w:p w14:paraId="053566D1">
      <w:pPr>
        <w:pStyle w:val="38"/>
        <w:numPr>
          <w:ilvl w:val="2"/>
          <w:numId w:val="8"/>
        </w:numPr>
        <w:spacing w:after="0" w:line="240" w:lineRule="auto"/>
        <w:ind w:left="709"/>
        <w:jc w:val="both"/>
        <w:rPr>
          <w:rFonts w:asciiTheme="majorBidi" w:hAnsiTheme="majorBidi" w:cstheme="majorBidi"/>
          <w:sz w:val="24"/>
          <w:szCs w:val="24"/>
        </w:rPr>
      </w:pPr>
      <w:r>
        <w:rPr>
          <w:rFonts w:asciiTheme="majorBidi" w:hAnsiTheme="majorBidi" w:cstheme="majorBidi"/>
          <w:sz w:val="24"/>
          <w:szCs w:val="24"/>
        </w:rPr>
        <w:t>pārbaudīt Preces dokumentu pilnīgumu un derīgumu, ražotāja garantijas nosacījumus;</w:t>
      </w:r>
    </w:p>
    <w:p w14:paraId="351AEBBC">
      <w:pPr>
        <w:pStyle w:val="38"/>
        <w:numPr>
          <w:ilvl w:val="2"/>
          <w:numId w:val="8"/>
        </w:numPr>
        <w:spacing w:after="0" w:line="240" w:lineRule="auto"/>
        <w:ind w:left="709"/>
        <w:jc w:val="both"/>
        <w:rPr>
          <w:rFonts w:asciiTheme="majorBidi" w:hAnsiTheme="majorBidi" w:cstheme="majorBidi"/>
          <w:sz w:val="24"/>
          <w:szCs w:val="24"/>
        </w:rPr>
      </w:pPr>
      <w:r>
        <w:rPr>
          <w:rFonts w:eastAsia="Calibri" w:asciiTheme="majorBidi" w:hAnsiTheme="majorBidi" w:cstheme="majorBidi"/>
          <w:sz w:val="24"/>
          <w:szCs w:val="24"/>
        </w:rPr>
        <w:t>pieņemt Preci, ja piegāde veikta saskaņā ar Līguma noteikumiem (atbilst tehniskajai specifikācijai, Iepirkuma tehniskajam un finanšu piedāvājumam, piegādāta noteiktajā termiņā, u.c. Līgumā noteiktajām prasībām);</w:t>
      </w:r>
    </w:p>
    <w:p w14:paraId="60C26DA4">
      <w:pPr>
        <w:pStyle w:val="38"/>
        <w:numPr>
          <w:ilvl w:val="2"/>
          <w:numId w:val="8"/>
        </w:numPr>
        <w:spacing w:after="0" w:line="240" w:lineRule="auto"/>
        <w:ind w:left="709"/>
        <w:jc w:val="both"/>
        <w:rPr>
          <w:rFonts w:asciiTheme="majorBidi" w:hAnsiTheme="majorBidi" w:cstheme="majorBidi"/>
          <w:sz w:val="24"/>
          <w:szCs w:val="24"/>
        </w:rPr>
      </w:pPr>
      <w:r>
        <w:rPr>
          <w:rFonts w:asciiTheme="majorBidi" w:hAnsiTheme="majorBidi" w:cstheme="majorBidi"/>
          <w:sz w:val="24"/>
          <w:szCs w:val="24"/>
        </w:rPr>
        <w:t>atturēties no darbībām, kas var traucēt Preces piegādi, ja vien tas nav saistīts ar normatīvo aktu pārkāpumiem;</w:t>
      </w:r>
    </w:p>
    <w:p w14:paraId="02E96769">
      <w:pPr>
        <w:pStyle w:val="38"/>
        <w:numPr>
          <w:ilvl w:val="2"/>
          <w:numId w:val="8"/>
        </w:numPr>
        <w:spacing w:after="0" w:line="240" w:lineRule="auto"/>
        <w:ind w:left="709"/>
        <w:jc w:val="both"/>
        <w:rPr>
          <w:rFonts w:asciiTheme="majorBidi" w:hAnsiTheme="majorBidi" w:cstheme="majorBidi"/>
          <w:sz w:val="24"/>
          <w:szCs w:val="24"/>
        </w:rPr>
      </w:pPr>
      <w:r>
        <w:rPr>
          <w:rFonts w:asciiTheme="majorBidi" w:hAnsiTheme="majorBidi" w:cstheme="majorBidi"/>
          <w:sz w:val="24"/>
          <w:szCs w:val="24"/>
        </w:rPr>
        <w:t>citi pienākumi, kas izriet no attiecīgajiem normatīvajiem aktiem vai Līguma.</w:t>
      </w:r>
    </w:p>
    <w:p w14:paraId="4F30E26A">
      <w:pPr>
        <w:pStyle w:val="26"/>
        <w:numPr>
          <w:ilvl w:val="1"/>
          <w:numId w:val="8"/>
        </w:numPr>
        <w:ind w:left="426" w:hanging="426"/>
        <w:jc w:val="both"/>
        <w:rPr>
          <w:rFonts w:asciiTheme="majorBidi" w:hAnsiTheme="majorBidi" w:cstheme="majorBidi"/>
        </w:rPr>
      </w:pPr>
      <w:r>
        <w:rPr>
          <w:rFonts w:asciiTheme="majorBidi" w:hAnsiTheme="majorBidi" w:cstheme="majorBidi"/>
          <w:iCs/>
        </w:rPr>
        <w:t>Pasūtītājs</w:t>
      </w:r>
      <w:r>
        <w:rPr>
          <w:rFonts w:asciiTheme="majorBidi" w:hAnsiTheme="majorBidi" w:cstheme="majorBidi"/>
          <w:i/>
        </w:rPr>
        <w:t xml:space="preserve"> </w:t>
      </w:r>
      <w:r>
        <w:rPr>
          <w:rFonts w:asciiTheme="majorBidi" w:hAnsiTheme="majorBidi" w:cstheme="majorBidi"/>
        </w:rPr>
        <w:t>atbild par:</w:t>
      </w:r>
    </w:p>
    <w:p w14:paraId="216AC9FD">
      <w:pPr>
        <w:pStyle w:val="27"/>
        <w:widowControl/>
        <w:numPr>
          <w:ilvl w:val="2"/>
          <w:numId w:val="8"/>
        </w:numPr>
        <w:suppressAutoHyphens w:val="0"/>
        <w:spacing w:before="0"/>
        <w:ind w:left="709"/>
        <w:jc w:val="both"/>
        <w:rPr>
          <w:rFonts w:asciiTheme="majorBidi" w:hAnsiTheme="majorBidi" w:cstheme="majorBidi"/>
          <w:lang w:val="lv-LV"/>
        </w:rPr>
      </w:pPr>
      <w:r>
        <w:rPr>
          <w:rFonts w:asciiTheme="majorBidi" w:hAnsiTheme="majorBidi" w:cstheme="majorBidi"/>
          <w:lang w:val="lv-LV"/>
        </w:rPr>
        <w:t>savlaicīgas samaksas veikšanu, ja piegādātā Prece atbilst Līguma nosacījumiem – par Līguma 2.2.punktā noteiktā samaksas termiņu kavējumu, Piegādātājs aprēķina Pasūtītajam līgumsodu – 0,1 (nulle komats viens) % apmērā no kavētās maksājuma summas bez PVN par katru nokavēto darba dienu, bet kopumā ne vairāk kā 5 (pieci) % no kavētās maksājuma summas bez PVN.</w:t>
      </w:r>
    </w:p>
    <w:p w14:paraId="18D3B259">
      <w:pPr>
        <w:spacing w:after="0" w:line="240" w:lineRule="auto"/>
        <w:rPr>
          <w:rFonts w:asciiTheme="majorBidi" w:hAnsiTheme="majorBidi" w:cstheme="majorBidi"/>
          <w:sz w:val="24"/>
          <w:szCs w:val="24"/>
        </w:rPr>
      </w:pPr>
    </w:p>
    <w:p w14:paraId="0C6DC618">
      <w:pPr>
        <w:pStyle w:val="38"/>
        <w:numPr>
          <w:ilvl w:val="0"/>
          <w:numId w:val="9"/>
        </w:numPr>
        <w:spacing w:after="0" w:line="240" w:lineRule="auto"/>
        <w:ind w:left="426" w:hanging="426"/>
        <w:jc w:val="center"/>
        <w:rPr>
          <w:rFonts w:asciiTheme="majorBidi" w:hAnsiTheme="majorBidi" w:cstheme="majorBidi"/>
          <w:bCs/>
          <w:sz w:val="24"/>
          <w:szCs w:val="24"/>
        </w:rPr>
      </w:pPr>
      <w:r>
        <w:rPr>
          <w:rFonts w:asciiTheme="majorBidi" w:hAnsiTheme="majorBidi" w:cstheme="majorBidi"/>
          <w:b/>
          <w:bCs/>
          <w:sz w:val="24"/>
          <w:szCs w:val="24"/>
        </w:rPr>
        <w:t>Izmaiņas līgumā, tā darbības izbeigšana</w:t>
      </w:r>
    </w:p>
    <w:p w14:paraId="6A553E50">
      <w:pPr>
        <w:pStyle w:val="38"/>
        <w:numPr>
          <w:ilvl w:val="1"/>
          <w:numId w:val="9"/>
        </w:numPr>
        <w:spacing w:after="0" w:line="240" w:lineRule="auto"/>
        <w:ind w:left="426" w:hanging="426"/>
        <w:jc w:val="both"/>
        <w:rPr>
          <w:rFonts w:asciiTheme="majorBidi" w:hAnsiTheme="majorBidi" w:cstheme="majorBidi"/>
          <w:sz w:val="24"/>
          <w:szCs w:val="24"/>
        </w:rPr>
      </w:pPr>
      <w:r>
        <w:rPr>
          <w:rFonts w:asciiTheme="majorBidi" w:hAnsiTheme="majorBidi" w:cstheme="majorBidi"/>
          <w:sz w:val="24"/>
          <w:szCs w:val="24"/>
        </w:rPr>
        <w:t xml:space="preserve">Ievērojot Publisko iepirkumu likuma, turpmāk tekstā PIL, PIL 61.pantā noteikto attiecībā uz iepirkuma līguma grozījumu veikšanu, </w:t>
      </w:r>
      <w:r>
        <w:rPr>
          <w:rFonts w:asciiTheme="majorBidi" w:hAnsiTheme="majorBidi" w:cstheme="majorBidi"/>
          <w:sz w:val="24"/>
          <w:szCs w:val="24"/>
          <w:shd w:val="clear" w:color="auto" w:fill="FFFFFF"/>
        </w:rPr>
        <w:t>Līguma grozījumi ir pieļaujami, ja tie ir objektīvi nepieciešami un pamatoti, tie nemaina Līguma vispārējo raksturu (veidu un iepirkuma dokumentos noteikto mērķi) un atbilst kādam no turpmāk minētajiem gadījumiem:</w:t>
      </w:r>
    </w:p>
    <w:p w14:paraId="392304FF">
      <w:pPr>
        <w:pStyle w:val="38"/>
        <w:numPr>
          <w:ilvl w:val="2"/>
          <w:numId w:val="9"/>
        </w:numPr>
        <w:spacing w:after="0" w:line="240" w:lineRule="auto"/>
        <w:ind w:left="709"/>
        <w:jc w:val="both"/>
        <w:rPr>
          <w:rFonts w:asciiTheme="majorBidi" w:hAnsiTheme="majorBidi" w:cstheme="majorBidi"/>
          <w:sz w:val="24"/>
          <w:szCs w:val="24"/>
          <w:shd w:val="clear" w:color="auto" w:fill="FFFFFF"/>
        </w:rPr>
      </w:pPr>
      <w:r>
        <w:rPr>
          <w:rFonts w:asciiTheme="majorBidi" w:hAnsiTheme="majorBidi" w:cstheme="majorBidi"/>
          <w:sz w:val="24"/>
          <w:szCs w:val="24"/>
          <w:shd w:val="clear" w:color="auto" w:fill="FFFFFF"/>
        </w:rPr>
        <w:t>grozījumi ir nebūtiski;</w:t>
      </w:r>
    </w:p>
    <w:p w14:paraId="5524E81E">
      <w:pPr>
        <w:pStyle w:val="38"/>
        <w:numPr>
          <w:ilvl w:val="2"/>
          <w:numId w:val="9"/>
        </w:numPr>
        <w:spacing w:after="0" w:line="240" w:lineRule="auto"/>
        <w:ind w:left="709"/>
        <w:jc w:val="both"/>
        <w:rPr>
          <w:rFonts w:asciiTheme="majorBidi" w:hAnsiTheme="majorBidi" w:cstheme="majorBidi"/>
          <w:sz w:val="24"/>
          <w:szCs w:val="24"/>
          <w:shd w:val="clear" w:color="auto" w:fill="FFFFFF"/>
        </w:rPr>
      </w:pPr>
      <w:r>
        <w:rPr>
          <w:rFonts w:asciiTheme="majorBidi" w:hAnsiTheme="majorBidi" w:cstheme="majorBidi"/>
          <w:sz w:val="24"/>
          <w:szCs w:val="24"/>
          <w:shd w:val="clear" w:color="auto" w:fill="FFFFFF"/>
        </w:rPr>
        <w:t>grozījumi ir būtiski un tie tiek izdarīti šādos gadījumos:</w:t>
      </w:r>
    </w:p>
    <w:p w14:paraId="19F1249F">
      <w:pPr>
        <w:pStyle w:val="38"/>
        <w:numPr>
          <w:ilvl w:val="3"/>
          <w:numId w:val="9"/>
        </w:numPr>
        <w:spacing w:after="0" w:line="240" w:lineRule="auto"/>
        <w:ind w:left="851" w:hanging="851"/>
        <w:jc w:val="both"/>
        <w:rPr>
          <w:rFonts w:asciiTheme="majorBidi" w:hAnsiTheme="majorBidi" w:cstheme="majorBidi"/>
          <w:sz w:val="24"/>
          <w:szCs w:val="24"/>
          <w:shd w:val="clear" w:color="auto" w:fill="FFFFFF"/>
        </w:rPr>
      </w:pPr>
      <w:r>
        <w:rPr>
          <w:rFonts w:asciiTheme="majorBidi" w:hAnsiTheme="majorBidi" w:cstheme="majorBidi"/>
          <w:sz w:val="24"/>
          <w:szCs w:val="24"/>
          <w:shd w:val="clear" w:color="auto" w:fill="FFFFFF"/>
        </w:rPr>
        <w:t>Preces piegādi un Līguma izpildi ir ietekmējuši būtiski atšķirīgi apstākļi no Līgumā paredzētajiem, kas nav radušies Piegādātāja vainas dēļ; Piegādātājs iesniedz paskaidrojumu un pierādījumus apstākļiem, kas būtiski ietekmējuši Preces piegādi un nav radušies Piegādātāja vainas dēļ; Covid-19 konstatēšanas fakts pats par sevi valstī vai citā administratīvajā teritorijā nav pamats atsaucei uz nepārvaramu varu vai Līguma termiņa pagarināšanu;</w:t>
      </w:r>
    </w:p>
    <w:p w14:paraId="36F6D8ED">
      <w:pPr>
        <w:pStyle w:val="38"/>
        <w:numPr>
          <w:ilvl w:val="3"/>
          <w:numId w:val="9"/>
        </w:numPr>
        <w:spacing w:after="0" w:line="240" w:lineRule="auto"/>
        <w:ind w:left="851" w:hanging="851"/>
        <w:jc w:val="both"/>
        <w:rPr>
          <w:rFonts w:asciiTheme="majorBidi" w:hAnsiTheme="majorBidi" w:cstheme="majorBidi"/>
          <w:sz w:val="24"/>
          <w:szCs w:val="24"/>
          <w:shd w:val="clear" w:color="auto" w:fill="FFFFFF"/>
        </w:rPr>
      </w:pPr>
      <w:r>
        <w:rPr>
          <w:rFonts w:asciiTheme="majorBidi" w:hAnsiTheme="majorBidi" w:cstheme="majorBidi"/>
          <w:sz w:val="24"/>
          <w:szCs w:val="24"/>
          <w:shd w:val="clear" w:color="auto" w:fill="FFFFFF"/>
        </w:rPr>
        <w:t>Līguma grozījumi ir nepieciešami tādu iemeslu dēļ, kurus Pasūtītājs iepriekš nevarēja paredzēt;</w:t>
      </w:r>
    </w:p>
    <w:p w14:paraId="45F71FFD">
      <w:pPr>
        <w:pStyle w:val="38"/>
        <w:numPr>
          <w:ilvl w:val="3"/>
          <w:numId w:val="9"/>
        </w:numPr>
        <w:spacing w:after="0" w:line="240" w:lineRule="auto"/>
        <w:ind w:left="851" w:hanging="851"/>
        <w:jc w:val="both"/>
        <w:rPr>
          <w:rFonts w:asciiTheme="majorBidi" w:hAnsiTheme="majorBidi" w:cstheme="majorBidi"/>
          <w:sz w:val="24"/>
          <w:szCs w:val="24"/>
          <w:shd w:val="clear" w:color="auto" w:fill="FFFFFF"/>
        </w:rPr>
      </w:pPr>
      <w:r>
        <w:rPr>
          <w:rFonts w:asciiTheme="majorBidi" w:hAnsiTheme="majorBidi" w:cstheme="majorBidi"/>
          <w:sz w:val="24"/>
          <w:szCs w:val="24"/>
          <w:shd w:val="clear" w:color="auto" w:fill="FFFFFF"/>
        </w:rPr>
        <w:t>objektīvu iemeslu dēļ, Pasūtītājam ir nepieciešams mainīt Preces apjomus;</w:t>
      </w:r>
    </w:p>
    <w:p w14:paraId="52DD9F9F">
      <w:pPr>
        <w:pStyle w:val="38"/>
        <w:numPr>
          <w:ilvl w:val="3"/>
          <w:numId w:val="9"/>
        </w:numPr>
        <w:spacing w:after="0" w:line="240" w:lineRule="auto"/>
        <w:ind w:left="851" w:hanging="851"/>
        <w:jc w:val="both"/>
        <w:rPr>
          <w:rFonts w:asciiTheme="majorBidi" w:hAnsiTheme="majorBidi" w:cstheme="majorBidi"/>
          <w:sz w:val="24"/>
          <w:szCs w:val="24"/>
          <w:shd w:val="clear" w:color="auto" w:fill="FFFFFF"/>
        </w:rPr>
      </w:pPr>
      <w:r>
        <w:rPr>
          <w:rFonts w:asciiTheme="majorBidi" w:hAnsiTheme="majorBidi" w:cstheme="majorBidi"/>
          <w:sz w:val="24"/>
          <w:szCs w:val="24"/>
          <w:shd w:val="clear" w:color="auto" w:fill="FFFFFF"/>
        </w:rPr>
        <w:t>Līguma izpildi ir kavējusi trešo personu darbība vai bezdarbība;</w:t>
      </w:r>
    </w:p>
    <w:p w14:paraId="1B418848">
      <w:pPr>
        <w:pStyle w:val="38"/>
        <w:numPr>
          <w:ilvl w:val="2"/>
          <w:numId w:val="9"/>
        </w:numPr>
        <w:spacing w:after="0" w:line="240" w:lineRule="auto"/>
        <w:ind w:left="709"/>
        <w:jc w:val="both"/>
        <w:rPr>
          <w:rFonts w:asciiTheme="majorBidi" w:hAnsiTheme="majorBidi" w:cstheme="majorBidi"/>
          <w:sz w:val="24"/>
          <w:szCs w:val="24"/>
          <w:shd w:val="clear" w:color="auto" w:fill="FFFFFF"/>
        </w:rPr>
      </w:pPr>
      <w:r>
        <w:rPr>
          <w:rFonts w:asciiTheme="majorBidi" w:hAnsiTheme="majorBidi" w:cstheme="majorBidi"/>
          <w:sz w:val="24"/>
          <w:szCs w:val="24"/>
          <w:shd w:val="clear" w:color="auto" w:fill="FFFFFF"/>
        </w:rPr>
        <w:t>neatkarīgi no tā, vai Līguma grozījumi būtiski vai nebūtiski,</w:t>
      </w:r>
      <w:r>
        <w:rPr>
          <w:rFonts w:asciiTheme="majorBidi" w:hAnsiTheme="majorBidi" w:cstheme="majorBidi"/>
          <w:sz w:val="24"/>
          <w:szCs w:val="24"/>
        </w:rPr>
        <w:t xml:space="preserve"> Līguma grozījumu vērtība, </w:t>
      </w:r>
      <w:r>
        <w:rPr>
          <w:rFonts w:asciiTheme="majorBidi" w:hAnsiTheme="majorBidi" w:cstheme="majorBidi"/>
          <w:sz w:val="24"/>
          <w:szCs w:val="24"/>
          <w:shd w:val="clear" w:color="auto" w:fill="FFFFFF"/>
        </w:rPr>
        <w:t>ko noteic kā visu secīgi veikto grozījumu naudas vērtību summu, vienlaikus nesasniedz 5 (pieci) % no sākotnējās līgumcenas.</w:t>
      </w:r>
    </w:p>
    <w:p w14:paraId="3C15ECC0">
      <w:pPr>
        <w:pStyle w:val="38"/>
        <w:numPr>
          <w:ilvl w:val="1"/>
          <w:numId w:val="9"/>
        </w:numPr>
        <w:spacing w:after="0" w:line="240" w:lineRule="auto"/>
        <w:ind w:left="426" w:hanging="426"/>
        <w:jc w:val="both"/>
        <w:rPr>
          <w:rFonts w:asciiTheme="majorBidi" w:hAnsiTheme="majorBidi" w:cstheme="majorBidi"/>
          <w:sz w:val="24"/>
          <w:szCs w:val="24"/>
          <w:shd w:val="clear" w:color="auto" w:fill="FFFFFF"/>
        </w:rPr>
      </w:pPr>
      <w:r>
        <w:rPr>
          <w:rFonts w:asciiTheme="majorBidi" w:hAnsiTheme="majorBidi" w:cstheme="majorBidi"/>
          <w:sz w:val="24"/>
          <w:szCs w:val="24"/>
        </w:rPr>
        <w:t>Līguma g</w:t>
      </w:r>
      <w:r>
        <w:rPr>
          <w:rFonts w:eastAsia="Times New Roman" w:asciiTheme="majorBidi" w:hAnsiTheme="majorBidi" w:cstheme="majorBidi"/>
          <w:sz w:val="24"/>
          <w:szCs w:val="24"/>
        </w:rPr>
        <w:t>rozījumu veikšanas kārtība:</w:t>
      </w:r>
    </w:p>
    <w:p w14:paraId="1DE04C52">
      <w:pPr>
        <w:pStyle w:val="38"/>
        <w:numPr>
          <w:ilvl w:val="2"/>
          <w:numId w:val="9"/>
        </w:numPr>
        <w:spacing w:after="0" w:line="240" w:lineRule="auto"/>
        <w:ind w:left="709"/>
        <w:jc w:val="both"/>
        <w:rPr>
          <w:rFonts w:asciiTheme="majorBidi" w:hAnsiTheme="majorBidi" w:cstheme="majorBidi"/>
          <w:sz w:val="24"/>
          <w:szCs w:val="24"/>
          <w:shd w:val="clear" w:color="auto" w:fill="FFFFFF"/>
        </w:rPr>
      </w:pPr>
      <w:r>
        <w:rPr>
          <w:rFonts w:eastAsia="Times New Roman" w:asciiTheme="majorBidi" w:hAnsiTheme="majorBidi" w:cstheme="majorBidi"/>
          <w:sz w:val="24"/>
          <w:szCs w:val="24"/>
        </w:rPr>
        <w:t>Līguma izmaiņām jābūt ar faktiem argumentētām. Ja grozījumi attiecas uz Līguma izpildes termiņa izmaiņām, tiem jābūt pamatotiem ar dienu skaita aprēķinu.</w:t>
      </w:r>
    </w:p>
    <w:p w14:paraId="684CC3E3">
      <w:pPr>
        <w:pStyle w:val="38"/>
        <w:numPr>
          <w:ilvl w:val="2"/>
          <w:numId w:val="9"/>
        </w:numPr>
        <w:spacing w:after="0" w:line="240" w:lineRule="auto"/>
        <w:ind w:left="709"/>
        <w:jc w:val="both"/>
        <w:rPr>
          <w:rFonts w:asciiTheme="majorBidi" w:hAnsiTheme="majorBidi" w:cstheme="majorBidi"/>
          <w:sz w:val="24"/>
          <w:szCs w:val="24"/>
          <w:shd w:val="clear" w:color="auto" w:fill="FFFFFF"/>
        </w:rPr>
      </w:pPr>
      <w:r>
        <w:rPr>
          <w:rFonts w:eastAsia="Times New Roman" w:asciiTheme="majorBidi" w:hAnsiTheme="majorBidi" w:cstheme="majorBidi"/>
          <w:sz w:val="24"/>
          <w:szCs w:val="24"/>
        </w:rPr>
        <w:t xml:space="preserve">Piegādātājs iesniedz Pasūtītajam iesniegumu ar faktu izklāstu un argumentāciju par veicamo grozījumu nepieciešamību, pielikumā pievienojot grozījumu nepieciešamību pamatojošus dokumentus, kā arī dienu skaita aprēķinu, </w:t>
      </w:r>
      <w:r>
        <w:rPr>
          <w:rFonts w:asciiTheme="majorBidi" w:hAnsiTheme="majorBidi" w:cstheme="majorBidi"/>
          <w:sz w:val="24"/>
          <w:szCs w:val="24"/>
          <w:lang w:eastAsia="lv-LV"/>
        </w:rPr>
        <w:t xml:space="preserve">kas pamato </w:t>
      </w:r>
      <w:r>
        <w:rPr>
          <w:rFonts w:eastAsia="Calibri" w:asciiTheme="majorBidi" w:hAnsiTheme="majorBidi" w:cstheme="majorBidi"/>
          <w:sz w:val="24"/>
          <w:szCs w:val="24"/>
        </w:rPr>
        <w:t>attiecīgā laika periodu (ja attiecināms).</w:t>
      </w:r>
    </w:p>
    <w:p w14:paraId="70F2E49E">
      <w:pPr>
        <w:pStyle w:val="38"/>
        <w:numPr>
          <w:ilvl w:val="2"/>
          <w:numId w:val="9"/>
        </w:numPr>
        <w:spacing w:after="0" w:line="240" w:lineRule="auto"/>
        <w:ind w:left="709"/>
        <w:jc w:val="both"/>
        <w:rPr>
          <w:rFonts w:asciiTheme="majorBidi" w:hAnsiTheme="majorBidi" w:cstheme="majorBidi"/>
          <w:sz w:val="24"/>
          <w:szCs w:val="24"/>
          <w:shd w:val="clear" w:color="auto" w:fill="FFFFFF"/>
        </w:rPr>
      </w:pPr>
      <w:r>
        <w:rPr>
          <w:rFonts w:eastAsia="Times New Roman" w:asciiTheme="majorBidi" w:hAnsiTheme="majorBidi" w:cstheme="majorBidi"/>
          <w:sz w:val="24"/>
          <w:szCs w:val="24"/>
        </w:rPr>
        <w:t>Pasūtītājs saskaņo tikai tādus Līguma grozījumus, kas ir objektīvi, pamatoti un samērīgi. Attiecībā uz izpildes termiņa izmaiņām, Pasūtītājs saskaņo tikai tādus grozījumus, kas atbilst periodam, kurā Līguma izpilde nav bijusi iespējama no Piegādātāja neatkarīgu iemeslu dēļ.</w:t>
      </w:r>
    </w:p>
    <w:p w14:paraId="2888E203">
      <w:pPr>
        <w:pStyle w:val="38"/>
        <w:numPr>
          <w:ilvl w:val="2"/>
          <w:numId w:val="9"/>
        </w:numPr>
        <w:spacing w:after="0" w:line="240" w:lineRule="auto"/>
        <w:ind w:left="709"/>
        <w:jc w:val="both"/>
        <w:rPr>
          <w:rFonts w:asciiTheme="majorBidi" w:hAnsiTheme="majorBidi" w:cstheme="majorBidi"/>
          <w:sz w:val="24"/>
          <w:szCs w:val="24"/>
          <w:shd w:val="clear" w:color="auto" w:fill="FFFFFF"/>
        </w:rPr>
      </w:pPr>
      <w:r>
        <w:rPr>
          <w:rFonts w:asciiTheme="majorBidi" w:hAnsiTheme="majorBidi" w:cstheme="majorBidi"/>
          <w:sz w:val="24"/>
          <w:szCs w:val="24"/>
        </w:rPr>
        <w:t xml:space="preserve">1 (viena) mēneša laikā, </w:t>
      </w:r>
      <w:r>
        <w:rPr>
          <w:rFonts w:eastAsia="Times New Roman" w:asciiTheme="majorBidi" w:hAnsiTheme="majorBidi" w:cstheme="majorBidi"/>
          <w:sz w:val="24"/>
          <w:szCs w:val="24"/>
        </w:rPr>
        <w:t>pēc visu saskaņotu pamatojošo dokumentu, t.sk., aprēķinu iesniegšanas, Pasūtītājs noslēdz vienošanos par Līguma grozījumiem, ja konstatē, ka grozījumi ir pieļaujami.</w:t>
      </w:r>
    </w:p>
    <w:p w14:paraId="5260F688">
      <w:pPr>
        <w:pStyle w:val="38"/>
        <w:numPr>
          <w:ilvl w:val="1"/>
          <w:numId w:val="9"/>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Līgumu var papildināt, grozīt vai izbeigt, Pusēm savstarpēji vienojoties. Jebkuras Līguma izmaiņas vai papildinājumi tiek noformēti rakstveidā un kļūst par Līguma neatņemamu sastāvdaļu.</w:t>
      </w:r>
    </w:p>
    <w:p w14:paraId="09DB5C6E">
      <w:pPr>
        <w:pStyle w:val="38"/>
        <w:numPr>
          <w:ilvl w:val="1"/>
          <w:numId w:val="9"/>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Puses ir tiesīgas vienpusēji atkāpties no Līguma, brīdinot par to 10 (desmit) darba dienas iepriekš, ja kāda no Pusēm, bez objektīviem iemesliem, nepilda vai atkārtoti (vairāk kā vienu reizi) pārkāpj Līgumā norādītās saistības.</w:t>
      </w:r>
    </w:p>
    <w:p w14:paraId="276A2D64">
      <w:pPr>
        <w:pStyle w:val="38"/>
        <w:numPr>
          <w:ilvl w:val="1"/>
          <w:numId w:val="9"/>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Pasūtītājs ir tiesīgas vienpusēji atkāpties no Līguma pirms termiņa, brīdinot par to vismaz 5 (piecas) kalendārās dienas iepriekš, saskaņā ar</w:t>
      </w:r>
      <w:r>
        <w:rPr>
          <w:rFonts w:ascii="Times New Roman" w:hAnsi="Times New Roman" w:eastAsia="Times New Roman" w:cs="Times New Roman"/>
          <w:bCs/>
          <w:color w:val="000000"/>
          <w:sz w:val="24"/>
          <w:szCs w:val="24"/>
        </w:rPr>
        <w:t xml:space="preserve"> PIL, </w:t>
      </w:r>
      <w:r>
        <w:rPr>
          <w:rFonts w:ascii="Times New Roman" w:hAnsi="Times New Roman" w:cs="Times New Roman"/>
          <w:sz w:val="24"/>
          <w:szCs w:val="24"/>
        </w:rPr>
        <w:t>64.pantu vai Starptautisko un Latvijas Republikas nacionālo sankciju likuma 11.</w:t>
      </w:r>
      <w:r>
        <w:rPr>
          <w:rFonts w:ascii="Times New Roman" w:hAnsi="Times New Roman" w:cs="Times New Roman"/>
          <w:sz w:val="24"/>
          <w:szCs w:val="24"/>
          <w:vertAlign w:val="superscript"/>
        </w:rPr>
        <w:t>1</w:t>
      </w:r>
      <w:r>
        <w:rPr>
          <w:rFonts w:ascii="Times New Roman" w:hAnsi="Times New Roman" w:cs="Times New Roman"/>
          <w:sz w:val="24"/>
          <w:szCs w:val="24"/>
        </w:rPr>
        <w:t xml:space="preserve"> panta piekto daļu.</w:t>
      </w:r>
    </w:p>
    <w:p w14:paraId="4AE49B0E">
      <w:pPr>
        <w:pStyle w:val="38"/>
        <w:numPr>
          <w:ilvl w:val="1"/>
          <w:numId w:val="9"/>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Ja Līgums tiek izbeigts pēc Pasūtītāja iniciatīvas bez Piegādātāja vainas, Pasūtītājs apņemas atlīdzināt Piegādātājam visus faktiskos un pamatotos izdevumus, kas radušies Līguma izpildes gaitā, tai skaitā, bet neaprobežojoties ar transporta izmaksām, sagatavošanās un administratīvajām izmaksām.</w:t>
      </w:r>
    </w:p>
    <w:p w14:paraId="6C335CE3">
      <w:pPr>
        <w:pStyle w:val="38"/>
        <w:numPr>
          <w:ilvl w:val="1"/>
          <w:numId w:val="9"/>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Piegādātājs neatbild par saistību izpildes kavējumu, ja tas radies nepārvaramas varas apstākļu dēļ (force majeure), tai skaitā globālu piegādes ķēžu traucējumu, ražotāja aizkavēšanās, transporta ierobežojumu vai citu neparedzamu notikumu rezultātā.</w:t>
      </w:r>
    </w:p>
    <w:p w14:paraId="2F5C261A">
      <w:pPr>
        <w:spacing w:after="0" w:line="240" w:lineRule="auto"/>
        <w:jc w:val="both"/>
        <w:rPr>
          <w:rFonts w:ascii="Times New Roman" w:hAnsi="Times New Roman" w:cs="Times New Roman"/>
          <w:sz w:val="24"/>
          <w:szCs w:val="24"/>
        </w:rPr>
      </w:pPr>
    </w:p>
    <w:p w14:paraId="7D2E85F0">
      <w:pPr>
        <w:pStyle w:val="38"/>
        <w:numPr>
          <w:ilvl w:val="0"/>
          <w:numId w:val="9"/>
        </w:numPr>
        <w:spacing w:after="0" w:line="240" w:lineRule="auto"/>
        <w:ind w:left="426" w:hanging="426"/>
        <w:jc w:val="center"/>
        <w:rPr>
          <w:rFonts w:ascii="Times New Roman" w:hAnsi="Times New Roman" w:cs="Times New Roman"/>
          <w:sz w:val="24"/>
          <w:szCs w:val="24"/>
        </w:rPr>
      </w:pPr>
      <w:r>
        <w:rPr>
          <w:rFonts w:asciiTheme="majorBidi" w:hAnsiTheme="majorBidi" w:cstheme="majorBidi"/>
          <w:b/>
          <w:bCs/>
          <w:sz w:val="24"/>
          <w:szCs w:val="24"/>
          <w:shd w:val="clear" w:color="auto" w:fill="FFFFFF"/>
        </w:rPr>
        <w:t>Līguma izpildē iesaistīto apakšuzņēmēju nomaiņa un jaunu apakšuzņēmēju piesaiste</w:t>
      </w:r>
    </w:p>
    <w:p w14:paraId="7845DBB9">
      <w:pPr>
        <w:pStyle w:val="38"/>
        <w:numPr>
          <w:ilvl w:val="1"/>
          <w:numId w:val="9"/>
        </w:numPr>
        <w:spacing w:after="0" w:line="240" w:lineRule="auto"/>
        <w:ind w:left="426" w:hanging="426"/>
        <w:jc w:val="both"/>
        <w:rPr>
          <w:rFonts w:ascii="Times New Roman" w:hAnsi="Times New Roman" w:cs="Times New Roman"/>
          <w:sz w:val="24"/>
          <w:szCs w:val="24"/>
        </w:rPr>
      </w:pPr>
      <w:r>
        <w:rPr>
          <w:rFonts w:asciiTheme="majorBidi" w:hAnsiTheme="majorBidi" w:cstheme="majorBidi"/>
          <w:sz w:val="24"/>
          <w:szCs w:val="24"/>
        </w:rPr>
        <w:t>Piegādātājs nav tiesīgs bez saskaņošanas ar Pasūtītāju veikt iepirkuma piedāvājumā norādīto apakšuzņēmēju nomaiņu un iesaistīt papildu apakšuzņēmējus Līguma izpildē. Pasūtītājs ir tiesīgs prasīt apakšuzņēmēja viedokli par nomaiņas iemesliem.</w:t>
      </w:r>
    </w:p>
    <w:p w14:paraId="1D32D6E8">
      <w:pPr>
        <w:pStyle w:val="38"/>
        <w:numPr>
          <w:ilvl w:val="1"/>
          <w:numId w:val="9"/>
        </w:numPr>
        <w:spacing w:after="0" w:line="240" w:lineRule="auto"/>
        <w:ind w:left="426" w:hanging="426"/>
        <w:jc w:val="both"/>
        <w:rPr>
          <w:rFonts w:ascii="Times New Roman" w:hAnsi="Times New Roman" w:cs="Times New Roman"/>
          <w:sz w:val="24"/>
          <w:szCs w:val="24"/>
        </w:rPr>
      </w:pPr>
      <w:r>
        <w:rPr>
          <w:rFonts w:asciiTheme="majorBidi" w:hAnsiTheme="majorBidi" w:cstheme="majorBidi"/>
          <w:sz w:val="24"/>
          <w:szCs w:val="24"/>
        </w:rPr>
        <w:t>Pasūtītājs nepiekrīt piedāvājumā norādītā apakšuzņēmēja nomaiņai, ja pastāv kāds no šādiem nosacījumiem:</w:t>
      </w:r>
    </w:p>
    <w:p w14:paraId="5D6CB85F">
      <w:pPr>
        <w:pStyle w:val="38"/>
        <w:numPr>
          <w:ilvl w:val="2"/>
          <w:numId w:val="9"/>
        </w:numPr>
        <w:spacing w:after="0" w:line="240" w:lineRule="auto"/>
        <w:ind w:left="709"/>
        <w:jc w:val="both"/>
        <w:rPr>
          <w:rFonts w:ascii="Times New Roman" w:hAnsi="Times New Roman" w:cs="Times New Roman"/>
          <w:sz w:val="24"/>
          <w:szCs w:val="24"/>
        </w:rPr>
      </w:pPr>
      <w:r>
        <w:rPr>
          <w:rFonts w:asciiTheme="majorBidi" w:hAnsiTheme="majorBidi" w:cstheme="majorBidi"/>
          <w:sz w:val="24"/>
          <w:szCs w:val="24"/>
        </w:rPr>
        <w:t>piedāvātais apakšuzņēmējs neatbilst iepirkuma dokumentos apakšuzņēmējiem izvirzītajām prasībām;</w:t>
      </w:r>
    </w:p>
    <w:p w14:paraId="4E09DADB">
      <w:pPr>
        <w:pStyle w:val="38"/>
        <w:numPr>
          <w:ilvl w:val="2"/>
          <w:numId w:val="9"/>
        </w:numPr>
        <w:spacing w:after="0" w:line="240" w:lineRule="auto"/>
        <w:ind w:left="709"/>
        <w:jc w:val="both"/>
        <w:rPr>
          <w:rFonts w:ascii="Times New Roman" w:hAnsi="Times New Roman" w:cs="Times New Roman"/>
          <w:sz w:val="24"/>
          <w:szCs w:val="24"/>
        </w:rPr>
      </w:pPr>
      <w:r>
        <w:rPr>
          <w:rFonts w:asciiTheme="majorBidi" w:hAnsiTheme="majorBidi" w:cstheme="majorBidi"/>
          <w:sz w:val="24"/>
          <w:szCs w:val="24"/>
        </w:rPr>
        <w:t xml:space="preserve">tiek nomainīts apakšuzņēmējs, uz kura iespējām iepirkumā Piegādātājs balstījies, lai apliecinātu savas kvalifikācijas atbilstību paziņojumā par plānoto līgumu un iepirkuma dokumentos noteiktajām prasībām, un piedāvātajam apakšuzņēmējam nav vismaz tādas pašas kvalifikācijas, uz kādu iepirkumā Piegādātājs atsaucies, apliecinot savu atbilstību iepirkumā noteiktajām prasībām, vai tas atbilst PIL </w:t>
      </w:r>
      <w:r>
        <w:rPr>
          <w:rFonts w:ascii="Times New Roman" w:hAnsi="Times New Roman" w:cs="Times New Roman"/>
          <w:sz w:val="24"/>
          <w:szCs w:val="24"/>
        </w:rPr>
        <w:t xml:space="preserve">42.panta pirmajā daļā </w:t>
      </w:r>
      <w:r>
        <w:rPr>
          <w:rFonts w:asciiTheme="majorBidi" w:hAnsiTheme="majorBidi" w:cstheme="majorBidi"/>
          <w:sz w:val="24"/>
          <w:szCs w:val="24"/>
        </w:rPr>
        <w:t>minētajiem pretendentu izslēgšanas gadījumiem;</w:t>
      </w:r>
    </w:p>
    <w:p w14:paraId="77F146E0">
      <w:pPr>
        <w:pStyle w:val="38"/>
        <w:numPr>
          <w:ilvl w:val="2"/>
          <w:numId w:val="9"/>
        </w:num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piedāvātais apakšuzņēmējs, kura sniedzamo pakalpojumu vērtība ir vismaz 10% no kopējās iepirkuma līguma vērtības, atbilst PIL 42.panta pirmajā daļā minētajiem pretendentu izslēgšanas gadījumiem</w:t>
      </w:r>
      <w:r>
        <w:rPr>
          <w:rFonts w:asciiTheme="majorBidi" w:hAnsiTheme="majorBidi" w:cstheme="majorBidi"/>
          <w:sz w:val="24"/>
          <w:szCs w:val="24"/>
        </w:rPr>
        <w:t>;</w:t>
      </w:r>
    </w:p>
    <w:p w14:paraId="3071E571">
      <w:pPr>
        <w:pStyle w:val="38"/>
        <w:numPr>
          <w:ilvl w:val="2"/>
          <w:numId w:val="9"/>
        </w:numPr>
        <w:spacing w:after="0" w:line="240" w:lineRule="auto"/>
        <w:ind w:left="709"/>
        <w:jc w:val="both"/>
        <w:rPr>
          <w:rFonts w:ascii="Times New Roman" w:hAnsi="Times New Roman" w:cs="Times New Roman"/>
          <w:sz w:val="24"/>
          <w:szCs w:val="24"/>
        </w:rPr>
      </w:pPr>
      <w:r>
        <w:rPr>
          <w:rFonts w:asciiTheme="majorBidi" w:hAnsiTheme="majorBidi" w:cstheme="majorBidi"/>
          <w:sz w:val="24"/>
          <w:szCs w:val="24"/>
        </w:rPr>
        <w:t>apakšuzņēmēja maiņas rezultātā tiktu izdarīti tādi grozījumi Piegādātāja piedāvājumā, kuri, ja sākotnēji būtu tajā iekļauti, ietekmētu piedāvājuma izvēli atbilstoši iepirkuma dokumentos noteiktajiem piedāvājuma izvērtēšanas kritērijiem.</w:t>
      </w:r>
    </w:p>
    <w:p w14:paraId="6ABF00E2">
      <w:pPr>
        <w:pStyle w:val="38"/>
        <w:numPr>
          <w:ilvl w:val="1"/>
          <w:numId w:val="9"/>
        </w:numPr>
        <w:spacing w:after="0" w:line="240" w:lineRule="auto"/>
        <w:ind w:left="426" w:hanging="426"/>
        <w:jc w:val="both"/>
        <w:rPr>
          <w:rFonts w:ascii="Times New Roman" w:hAnsi="Times New Roman" w:cs="Times New Roman"/>
          <w:sz w:val="24"/>
          <w:szCs w:val="24"/>
        </w:rPr>
      </w:pPr>
      <w:r>
        <w:rPr>
          <w:rFonts w:asciiTheme="majorBidi" w:hAnsiTheme="majorBidi" w:cstheme="majorBidi"/>
          <w:sz w:val="24"/>
          <w:szCs w:val="24"/>
        </w:rPr>
        <w:t>Pasūtītājs nepiekrīt jauna apakšuzņēmēja piesaistei gadījumā, kad šādas izmaiņas, ja tās tiktu veiktas sākotnējā piedāvājumā, būtu ietekmējušas piedāvājuma izvēli atbilstoši iepirkuma dokumentos noteiktajiem piedāvājuma izvērtēšanas kritērijiem.</w:t>
      </w:r>
    </w:p>
    <w:p w14:paraId="23C85614">
      <w:pPr>
        <w:pStyle w:val="38"/>
        <w:numPr>
          <w:ilvl w:val="1"/>
          <w:numId w:val="9"/>
        </w:numPr>
        <w:spacing w:after="0" w:line="240" w:lineRule="auto"/>
        <w:ind w:left="426" w:hanging="426"/>
        <w:jc w:val="both"/>
        <w:rPr>
          <w:rFonts w:ascii="Times New Roman" w:hAnsi="Times New Roman" w:cs="Times New Roman"/>
          <w:sz w:val="24"/>
          <w:szCs w:val="24"/>
        </w:rPr>
      </w:pPr>
      <w:r>
        <w:rPr>
          <w:rFonts w:asciiTheme="majorBidi" w:hAnsiTheme="majorBidi" w:cstheme="majorBidi"/>
          <w:sz w:val="24"/>
          <w:szCs w:val="24"/>
        </w:rPr>
        <w:t>Pasūtītājs pieņem lēmumu atļaut vai atteikt Piegādātāja apakšuzņēmēju nomaiņu vai jaunu apakšuzņēmēju iesaistīšanu Līguma izpildē 5 (piecu) darbdienu laikā pēc tam, kad saņemta visa informācija un dokumenti, kas nepieciešami lēmuma pieņemšanai saskaņā ar PIL 62.panta noteikumiem.</w:t>
      </w:r>
    </w:p>
    <w:p w14:paraId="2681930A">
      <w:pPr>
        <w:pStyle w:val="38"/>
        <w:numPr>
          <w:ilvl w:val="1"/>
          <w:numId w:val="9"/>
        </w:numPr>
        <w:spacing w:after="0" w:line="240" w:lineRule="auto"/>
        <w:ind w:left="426" w:hanging="426"/>
        <w:jc w:val="both"/>
        <w:rPr>
          <w:rFonts w:ascii="Times New Roman" w:hAnsi="Times New Roman" w:cs="Times New Roman"/>
          <w:sz w:val="24"/>
          <w:szCs w:val="24"/>
        </w:rPr>
      </w:pPr>
      <w:r>
        <w:rPr>
          <w:rFonts w:asciiTheme="majorBidi" w:hAnsiTheme="majorBidi" w:cstheme="majorBidi"/>
          <w:sz w:val="24"/>
          <w:szCs w:val="24"/>
        </w:rPr>
        <w:t>Apakšuzņēmēju nomaiņas vai jaunu apakšuzņēmēju iesaistīšanas izvērtēšanai un saskaņošanai, Piegādātājs iesniedz iesniegumu.</w:t>
      </w:r>
    </w:p>
    <w:p w14:paraId="40972319">
      <w:pPr>
        <w:pStyle w:val="38"/>
        <w:numPr>
          <w:ilvl w:val="1"/>
          <w:numId w:val="9"/>
        </w:numPr>
        <w:spacing w:after="0" w:line="240" w:lineRule="auto"/>
        <w:ind w:left="426" w:hanging="426"/>
        <w:jc w:val="both"/>
        <w:rPr>
          <w:rFonts w:ascii="Times New Roman" w:hAnsi="Times New Roman" w:cs="Times New Roman"/>
          <w:sz w:val="24"/>
          <w:szCs w:val="24"/>
        </w:rPr>
      </w:pPr>
      <w:r>
        <w:rPr>
          <w:rFonts w:asciiTheme="majorBidi" w:hAnsiTheme="majorBidi" w:cstheme="majorBidi"/>
          <w:sz w:val="24"/>
          <w:szCs w:val="24"/>
        </w:rPr>
        <w:t>Izslēgšanas noteikumi par apakšuzņēmēju nomaiņu vai jaunu apakšuzņēmēju iesaistīšanu tiek pārbaudīti uz lēmuma pieņemšanas dienu.</w:t>
      </w:r>
    </w:p>
    <w:p w14:paraId="012A5E9C">
      <w:pPr>
        <w:tabs>
          <w:tab w:val="left" w:pos="360"/>
        </w:tabs>
        <w:spacing w:after="0" w:line="240" w:lineRule="auto"/>
        <w:ind w:left="360" w:hanging="360"/>
        <w:jc w:val="both"/>
        <w:rPr>
          <w:rFonts w:ascii="Times New Roman" w:hAnsi="Times New Roman" w:cs="Times New Roman"/>
          <w:sz w:val="24"/>
          <w:szCs w:val="24"/>
        </w:rPr>
      </w:pPr>
    </w:p>
    <w:p w14:paraId="517C490F">
      <w:pPr>
        <w:pStyle w:val="38"/>
        <w:numPr>
          <w:ilvl w:val="0"/>
          <w:numId w:val="9"/>
        </w:numPr>
        <w:spacing w:after="0" w:line="240" w:lineRule="auto"/>
        <w:ind w:left="426" w:hanging="426"/>
        <w:jc w:val="center"/>
        <w:rPr>
          <w:rFonts w:ascii="Times New Roman" w:hAnsi="Times New Roman" w:cs="Times New Roman"/>
          <w:bCs/>
          <w:sz w:val="24"/>
          <w:szCs w:val="24"/>
        </w:rPr>
      </w:pPr>
      <w:r>
        <w:rPr>
          <w:rFonts w:ascii="Times New Roman" w:hAnsi="Times New Roman" w:cs="Times New Roman"/>
          <w:b/>
          <w:bCs/>
          <w:sz w:val="24"/>
          <w:szCs w:val="24"/>
        </w:rPr>
        <w:t>Strīdu risināšanas kārtība</w:t>
      </w:r>
    </w:p>
    <w:p w14:paraId="60629E6A">
      <w:pPr>
        <w:pStyle w:val="38"/>
        <w:numPr>
          <w:ilvl w:val="1"/>
          <w:numId w:val="9"/>
        </w:numPr>
        <w:spacing w:after="0" w:line="240" w:lineRule="auto"/>
        <w:ind w:left="426" w:hanging="426"/>
        <w:jc w:val="both"/>
        <w:rPr>
          <w:rFonts w:ascii="Times New Roman" w:hAnsi="Times New Roman" w:cs="Times New Roman"/>
          <w:bCs/>
          <w:sz w:val="24"/>
          <w:szCs w:val="24"/>
        </w:rPr>
      </w:pPr>
      <w:r>
        <w:rPr>
          <w:rFonts w:ascii="Times New Roman" w:hAnsi="Times New Roman" w:cs="Times New Roman"/>
          <w:sz w:val="24"/>
          <w:szCs w:val="24"/>
        </w:rPr>
        <w:t xml:space="preserve">Jebkuras nesaskaņas, domstarpības vai strīdi tiek risināti savstarpējo sarunu ceļā, kas tiek protokolēts. Ja sarunu ceļā Puses nevar panākt vienošanos, tad strīds izskatāms Latvijas Republikas tiesā, Latvijas Republikas normatīvajos aktos noteiktā kārtībā. </w:t>
      </w:r>
    </w:p>
    <w:p w14:paraId="153C2C69">
      <w:pPr>
        <w:pStyle w:val="38"/>
        <w:spacing w:after="0" w:line="240" w:lineRule="auto"/>
        <w:ind w:left="426"/>
        <w:jc w:val="both"/>
        <w:rPr>
          <w:rFonts w:ascii="Times New Roman" w:hAnsi="Times New Roman" w:cs="Times New Roman"/>
          <w:bCs/>
          <w:sz w:val="24"/>
          <w:szCs w:val="24"/>
        </w:rPr>
      </w:pPr>
    </w:p>
    <w:p w14:paraId="426432E8">
      <w:pPr>
        <w:pStyle w:val="38"/>
        <w:numPr>
          <w:ilvl w:val="0"/>
          <w:numId w:val="9"/>
        </w:numPr>
        <w:spacing w:after="0" w:line="240" w:lineRule="auto"/>
        <w:ind w:left="426" w:hanging="426"/>
        <w:jc w:val="center"/>
        <w:rPr>
          <w:rFonts w:ascii="Times New Roman" w:hAnsi="Times New Roman" w:cs="Times New Roman"/>
          <w:bCs/>
          <w:sz w:val="24"/>
          <w:szCs w:val="24"/>
        </w:rPr>
      </w:pPr>
      <w:r>
        <w:rPr>
          <w:rFonts w:ascii="Times New Roman" w:hAnsi="Times New Roman" w:cs="Times New Roman"/>
          <w:b/>
          <w:sz w:val="24"/>
          <w:szCs w:val="24"/>
        </w:rPr>
        <w:t>Personas datu aizsardzība</w:t>
      </w:r>
    </w:p>
    <w:p w14:paraId="1901C56D">
      <w:pPr>
        <w:pStyle w:val="38"/>
        <w:numPr>
          <w:ilvl w:val="1"/>
          <w:numId w:val="9"/>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Ja Līguma un ar to saistīto pienākumu izpildes gaitā Pušu rīcībā nonāk informācija, kas saistīta ar konkrētām fiziskām personām, turpmāk tekstā – Personas dati, Puses apņemas:</w:t>
      </w:r>
    </w:p>
    <w:p w14:paraId="1AED8051">
      <w:pPr>
        <w:pStyle w:val="38"/>
        <w:numPr>
          <w:ilvl w:val="2"/>
          <w:numId w:val="9"/>
        </w:num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nodrošināt datu konfidencialitāti un datus izmantot tikai Līgumā noteikto pienākumu pildīšanai un mērķu sasniegšanai;</w:t>
      </w:r>
    </w:p>
    <w:p w14:paraId="3133AC27">
      <w:pPr>
        <w:pStyle w:val="38"/>
        <w:numPr>
          <w:ilvl w:val="2"/>
          <w:numId w:val="9"/>
        </w:num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bez otras Puses rakstiskas piekrišanas šos datus trešajām personām izpaust tikai normatīvajos aktos noteiktajos gadījumos; jebkurā gadījumā par Personas datu nodošanu trešajai personai Puses informē viena otru.</w:t>
      </w:r>
    </w:p>
    <w:p w14:paraId="09C52C38">
      <w:pPr>
        <w:pStyle w:val="38"/>
        <w:numPr>
          <w:ilvl w:val="1"/>
          <w:numId w:val="9"/>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Puses informē viena otru par izmaiņām iesniegtajos Personas datos, ja tie zaudējuši savu aktualitāti, nav precīzi vai lūdz tos dzēst, ja Pusēm vairs nav tiesiska pamata apstrādāt šos datus. Puse, kas nodod Personas datus, ir atbildīga par datu precizitāti un tiesiskā pamata noteikšanu datu apstrādei.</w:t>
      </w:r>
    </w:p>
    <w:p w14:paraId="4F11BF98">
      <w:pPr>
        <w:pStyle w:val="38"/>
        <w:numPr>
          <w:ilvl w:val="1"/>
          <w:numId w:val="9"/>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Pēc Līguma saistību izpildes, Pasūtītājs uzglabā Personas datus tikai normatīvajos aktos paredzēto laika periodu. Apstrādājot datus, Pusēm ir pienākums ievērot Latvijas Republikā spēkā esošo normatīvo aktu prasības. Pusēm nav tiesību nodot datus ārpus Eiropas Savienības un Eiropas Ekonomiskās zonas robežām.</w:t>
      </w:r>
    </w:p>
    <w:p w14:paraId="76EFFEF6">
      <w:pPr>
        <w:spacing w:after="0" w:line="240" w:lineRule="auto"/>
        <w:jc w:val="both"/>
        <w:rPr>
          <w:rFonts w:ascii="Times New Roman" w:hAnsi="Times New Roman" w:cs="Times New Roman"/>
          <w:bCs/>
          <w:sz w:val="24"/>
          <w:szCs w:val="24"/>
        </w:rPr>
      </w:pPr>
    </w:p>
    <w:p w14:paraId="70150DEA">
      <w:pPr>
        <w:pStyle w:val="38"/>
        <w:numPr>
          <w:ilvl w:val="0"/>
          <w:numId w:val="9"/>
        </w:numPr>
        <w:spacing w:after="0" w:line="240" w:lineRule="auto"/>
        <w:ind w:left="426" w:hanging="426"/>
        <w:jc w:val="center"/>
        <w:rPr>
          <w:rFonts w:ascii="Times New Roman" w:hAnsi="Times New Roman" w:cs="Times New Roman"/>
          <w:bCs/>
          <w:sz w:val="24"/>
          <w:szCs w:val="24"/>
        </w:rPr>
      </w:pPr>
      <w:r>
        <w:rPr>
          <w:rFonts w:ascii="Times New Roman" w:hAnsi="Times New Roman" w:cs="Times New Roman"/>
          <w:b/>
          <w:bCs/>
          <w:sz w:val="24"/>
          <w:szCs w:val="24"/>
        </w:rPr>
        <w:t>Citi noteikumi</w:t>
      </w:r>
    </w:p>
    <w:p w14:paraId="155CA31B">
      <w:pPr>
        <w:pStyle w:val="38"/>
        <w:numPr>
          <w:ilvl w:val="1"/>
          <w:numId w:val="9"/>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Līgums ir saistošs Pasūtītājam un Piegādātājam un visām trešajām personām, kas likumīgi pārņem viņu tiesības un pienākumus.</w:t>
      </w:r>
    </w:p>
    <w:p w14:paraId="582679EC">
      <w:pPr>
        <w:pStyle w:val="38"/>
        <w:numPr>
          <w:ilvl w:val="1"/>
          <w:numId w:val="9"/>
        </w:numPr>
        <w:spacing w:after="0" w:line="240" w:lineRule="auto"/>
        <w:ind w:left="426" w:hanging="426"/>
        <w:jc w:val="both"/>
        <w:rPr>
          <w:rFonts w:ascii="Times New Roman" w:hAnsi="Times New Roman" w:cs="Times New Roman"/>
          <w:sz w:val="24"/>
          <w:szCs w:val="24"/>
        </w:rPr>
      </w:pPr>
      <w:r>
        <w:rPr>
          <w:rFonts w:ascii="Times New Roman" w:hAnsi="Times New Roman" w:eastAsia="Times New Roman" w:cs="Times New Roman"/>
          <w:sz w:val="24"/>
          <w:szCs w:val="24"/>
          <w:lang w:eastAsia="ru-RU"/>
        </w:rPr>
        <w:t>Līguma izpildei Pasūtītājs un Piegādātājs nozīmē atbildīgās personas, kurām ir tiesības darboties Pušu vārdā saistībā ar šo Līgumu:</w:t>
      </w:r>
    </w:p>
    <w:p w14:paraId="1E069319">
      <w:pPr>
        <w:numPr>
          <w:ilvl w:val="2"/>
          <w:numId w:val="9"/>
        </w:numPr>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Pasūtītāja atbildīgā persona: Romāns Petrovs, konsultants iepirkumu specialists, mob.26536521, e-pasts: romans.petrovs@preili.lv</w:t>
      </w:r>
    </w:p>
    <w:p w14:paraId="1A4212D3">
      <w:pPr>
        <w:numPr>
          <w:ilvl w:val="2"/>
          <w:numId w:val="9"/>
        </w:numPr>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Piegādātāja atbildīgā persona Jānis Kromāns, mob.29507102, e-pasts: janis.kromans@smartforxx.lv</w:t>
      </w:r>
    </w:p>
    <w:p w14:paraId="2354E53D">
      <w:pPr>
        <w:pStyle w:val="38"/>
        <w:numPr>
          <w:ilvl w:val="1"/>
          <w:numId w:val="9"/>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Informācijas apmaiņa starp Pusēm var notikt gan mutvārdos, gan rakstveidā, saskaņā ar Līguma 10.2.punktā norādīto kontaktinformāciju (ja Puses saziņai nav norādījuši citu kontaktinformāciju). Informācija, kas saistīta ar Līguma 6., 7.un 8.punktā norādītajiem jautājumiem, notiek tikai rakstveidā.</w:t>
      </w:r>
    </w:p>
    <w:p w14:paraId="45F0E240">
      <w:pPr>
        <w:pStyle w:val="38"/>
        <w:numPr>
          <w:ilvl w:val="1"/>
          <w:numId w:val="9"/>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Visos citos jautājumos, ko neparedz Līguma noteikumi, Puses vadās pēc Latvijas Republikas spēkā esošās likumdošanas.</w:t>
      </w:r>
    </w:p>
    <w:p w14:paraId="45248A31">
      <w:pPr>
        <w:widowControl w:val="0"/>
        <w:suppressAutoHyphens/>
        <w:spacing w:after="0" w:line="240" w:lineRule="auto"/>
        <w:jc w:val="both"/>
        <w:rPr>
          <w:rFonts w:ascii="Times New Roman" w:hAnsi="Times New Roman" w:eastAsia="Times New Roman" w:cs="Times New Roman"/>
          <w:bCs/>
          <w:color w:val="000000"/>
          <w:sz w:val="24"/>
          <w:szCs w:val="24"/>
        </w:rPr>
      </w:pPr>
    </w:p>
    <w:p w14:paraId="25D64495">
      <w:pPr>
        <w:pStyle w:val="27"/>
        <w:widowControl/>
        <w:numPr>
          <w:ilvl w:val="0"/>
          <w:numId w:val="9"/>
        </w:numPr>
        <w:suppressAutoHyphens w:val="0"/>
        <w:spacing w:before="0"/>
        <w:ind w:left="426" w:hanging="426"/>
        <w:jc w:val="center"/>
        <w:rPr>
          <w:b/>
          <w:bCs/>
          <w:lang w:val="lv-LV"/>
        </w:rPr>
      </w:pPr>
      <w:r>
        <w:rPr>
          <w:b/>
          <w:bCs/>
          <w:lang w:val="lv-LV"/>
        </w:rPr>
        <w:t>Pušu rekvizīti un paraksti</w:t>
      </w:r>
    </w:p>
    <w:p w14:paraId="2166CF02">
      <w:pPr>
        <w:pStyle w:val="27"/>
        <w:widowControl/>
        <w:suppressAutoHyphens w:val="0"/>
        <w:spacing w:before="0"/>
        <w:ind w:left="426"/>
        <w:rPr>
          <w:b/>
          <w:bCs/>
          <w:lang w:val="lv-LV"/>
        </w:rPr>
      </w:pPr>
    </w:p>
    <w:tbl>
      <w:tblPr>
        <w:tblStyle w:val="2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30"/>
        <w:gridCol w:w="4531"/>
      </w:tblGrid>
      <w:tr w14:paraId="28873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0" w:type="dxa"/>
          </w:tcPr>
          <w:p w14:paraId="7BEE77A3">
            <w:pPr>
              <w:pStyle w:val="27"/>
              <w:widowControl/>
              <w:suppressAutoHyphens w:val="0"/>
              <w:spacing w:before="0"/>
              <w:rPr>
                <w:b/>
                <w:lang w:val="en-US"/>
              </w:rPr>
            </w:pPr>
            <w:r>
              <w:rPr>
                <w:b/>
                <w:lang w:val="en-US"/>
              </w:rPr>
              <w:t>PASŪTĪTĀJS:</w:t>
            </w:r>
          </w:p>
        </w:tc>
        <w:tc>
          <w:tcPr>
            <w:tcW w:w="4531" w:type="dxa"/>
          </w:tcPr>
          <w:p w14:paraId="06709816">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rPr>
                <w:rFonts w:ascii="Times New Roman" w:hAnsi="Times New Roman" w:eastAsia="Times New Roman" w:cs="Times New Roman"/>
                <w:b/>
                <w:sz w:val="24"/>
                <w:szCs w:val="24"/>
                <w:lang w:eastAsia="lv-LV"/>
              </w:rPr>
            </w:pPr>
            <w:r>
              <w:rPr>
                <w:rFonts w:ascii="Times New Roman" w:hAnsi="Times New Roman" w:eastAsia="Times New Roman" w:cs="Times New Roman"/>
                <w:b/>
                <w:sz w:val="24"/>
                <w:szCs w:val="24"/>
                <w:lang w:eastAsia="lv-LV"/>
              </w:rPr>
              <w:t>PIEGĀDĀTĀJS:</w:t>
            </w:r>
          </w:p>
        </w:tc>
      </w:tr>
    </w:tbl>
    <w:tbl>
      <w:tblPr>
        <w:tblStyle w:val="10"/>
        <w:tblW w:w="9510" w:type="dxa"/>
        <w:tblInd w:w="0" w:type="dxa"/>
        <w:tblLayout w:type="autofit"/>
        <w:tblCellMar>
          <w:top w:w="0" w:type="dxa"/>
          <w:left w:w="108" w:type="dxa"/>
          <w:bottom w:w="0" w:type="dxa"/>
          <w:right w:w="108" w:type="dxa"/>
        </w:tblCellMar>
      </w:tblPr>
      <w:tblGrid>
        <w:gridCol w:w="4536"/>
        <w:gridCol w:w="4974"/>
      </w:tblGrid>
      <w:tr w14:paraId="1E640A75">
        <w:trPr>
          <w:trHeight w:val="265" w:hRule="atLeast"/>
        </w:trPr>
        <w:tc>
          <w:tcPr>
            <w:tcW w:w="4536" w:type="dxa"/>
          </w:tcPr>
          <w:p w14:paraId="1E26FD7B">
            <w:pPr>
              <w:spacing w:after="0" w:line="240" w:lineRule="auto"/>
              <w:jc w:val="both"/>
              <w:rPr>
                <w:rFonts w:ascii="Times New Roman" w:hAnsi="Times New Roman" w:eastAsia="Times New Roman" w:cs="Times New Roman"/>
                <w:sz w:val="24"/>
                <w:szCs w:val="24"/>
                <w:lang w:eastAsia="zh-CN"/>
              </w:rPr>
            </w:pPr>
            <w:r>
              <w:rPr>
                <w:rFonts w:ascii="Times New Roman" w:hAnsi="Times New Roman" w:eastAsia="Times New Roman" w:cs="Times New Roman"/>
                <w:b/>
                <w:sz w:val="24"/>
                <w:szCs w:val="24"/>
              </w:rPr>
              <w:t>SIA “PREIĻU SAIMNIEKS”</w:t>
            </w:r>
          </w:p>
          <w:p w14:paraId="28BDAD7D">
            <w:pPr>
              <w:spacing w:after="0" w:line="240" w:lineRule="auto"/>
              <w:jc w:val="both"/>
              <w:rPr>
                <w:rFonts w:ascii="Times New Roman" w:hAnsi="Times New Roman" w:eastAsia="Times New Roman" w:cs="Times New Roman"/>
                <w:sz w:val="24"/>
                <w:szCs w:val="24"/>
                <w:lang w:eastAsia="zh-CN"/>
              </w:rPr>
            </w:pPr>
            <w:r>
              <w:rPr>
                <w:rFonts w:ascii="Times New Roman" w:hAnsi="Times New Roman" w:eastAsia="Times New Roman" w:cs="Times New Roman"/>
                <w:sz w:val="24"/>
                <w:szCs w:val="24"/>
                <w:lang w:eastAsia="zh-CN"/>
              </w:rPr>
              <w:t>Juridiskā adrese:</w:t>
            </w:r>
            <w:r>
              <w:rPr>
                <w:sz w:val="24"/>
                <w:szCs w:val="24"/>
              </w:rPr>
              <w:t xml:space="preserve"> Liepu iela 2, Preiļi, LV-5301</w:t>
            </w:r>
          </w:p>
          <w:p w14:paraId="0FB56D6E">
            <w:pPr>
              <w:spacing w:after="0" w:line="240" w:lineRule="auto"/>
              <w:jc w:val="both"/>
              <w:rPr>
                <w:rFonts w:ascii="Times New Roman" w:hAnsi="Times New Roman" w:eastAsia="Times New Roman" w:cs="Times New Roman"/>
                <w:sz w:val="24"/>
                <w:szCs w:val="24"/>
                <w:lang w:eastAsia="zh-CN"/>
              </w:rPr>
            </w:pPr>
            <w:r>
              <w:rPr>
                <w:rFonts w:ascii="Times New Roman" w:hAnsi="Times New Roman" w:eastAsia="Times New Roman"/>
                <w:sz w:val="24"/>
                <w:szCs w:val="24"/>
                <w:lang w:eastAsia="lv-LV"/>
              </w:rPr>
              <w:t>Reģ. Nr. 47703001720</w:t>
            </w:r>
          </w:p>
          <w:p w14:paraId="3E33C058">
            <w:pPr>
              <w:spacing w:after="0" w:line="240" w:lineRule="auto"/>
              <w:jc w:val="both"/>
              <w:rPr>
                <w:rFonts w:ascii="Times New Roman" w:hAnsi="Times New Roman" w:eastAsia="Times New Roman" w:cs="Times New Roman"/>
                <w:sz w:val="24"/>
                <w:szCs w:val="24"/>
                <w:lang w:eastAsia="zh-CN"/>
              </w:rPr>
            </w:pPr>
            <w:r>
              <w:rPr>
                <w:rFonts w:ascii="Times New Roman" w:hAnsi="Times New Roman" w:eastAsia="Times New Roman" w:cs="Times New Roman"/>
                <w:sz w:val="24"/>
                <w:szCs w:val="24"/>
                <w:lang w:eastAsia="zh-CN"/>
              </w:rPr>
              <w:t>Tālr.: +37122047474</w:t>
            </w:r>
          </w:p>
          <w:p w14:paraId="6266D053">
            <w:pPr>
              <w:spacing w:after="0" w:line="240" w:lineRule="auto"/>
              <w:jc w:val="both"/>
              <w:rPr>
                <w:rFonts w:ascii="Times New Roman" w:hAnsi="Times New Roman" w:eastAsia="Times New Roman" w:cs="Times New Roman"/>
                <w:sz w:val="24"/>
                <w:szCs w:val="24"/>
                <w:lang w:eastAsia="zh-CN"/>
              </w:rPr>
            </w:pPr>
            <w:r>
              <w:rPr>
                <w:rFonts w:ascii="Times New Roman" w:hAnsi="Times New Roman" w:eastAsia="Times New Roman" w:cs="Times New Roman"/>
                <w:sz w:val="24"/>
                <w:szCs w:val="24"/>
                <w:lang w:eastAsia="zh-CN"/>
              </w:rPr>
              <w:t>SEB Latvijas Unibanka</w:t>
            </w:r>
          </w:p>
          <w:p w14:paraId="1D52F09F">
            <w:pPr>
              <w:spacing w:after="0" w:line="240" w:lineRule="auto"/>
              <w:jc w:val="both"/>
              <w:rPr>
                <w:rFonts w:ascii="Times New Roman" w:hAnsi="Times New Roman" w:eastAsia="Calibri" w:cs="Times New Roman"/>
                <w:bCs/>
                <w:caps/>
                <w:sz w:val="24"/>
                <w:szCs w:val="24"/>
              </w:rPr>
            </w:pPr>
            <w:r>
              <w:rPr>
                <w:rFonts w:ascii="Times New Roman" w:hAnsi="Times New Roman" w:eastAsia="Times New Roman" w:cs="Times New Roman"/>
                <w:sz w:val="24"/>
                <w:szCs w:val="24"/>
                <w:lang w:eastAsia="zh-CN"/>
              </w:rPr>
              <w:t xml:space="preserve">Konta Nr.:LV30UNLA0026000609608 </w:t>
            </w:r>
          </w:p>
          <w:p w14:paraId="11E5CFE4">
            <w:pPr>
              <w:spacing w:after="0" w:line="240" w:lineRule="auto"/>
              <w:jc w:val="both"/>
              <w:rPr>
                <w:rFonts w:ascii="Times New Roman" w:hAnsi="Times New Roman" w:eastAsia="Calibri" w:cs="Times New Roman"/>
                <w:bCs/>
                <w:caps/>
                <w:sz w:val="24"/>
                <w:szCs w:val="24"/>
              </w:rPr>
            </w:pPr>
            <w:r>
              <w:rPr>
                <w:rFonts w:ascii="Times New Roman" w:hAnsi="Times New Roman" w:eastAsia="Times New Roman" w:cs="Times New Roman"/>
                <w:sz w:val="24"/>
                <w:szCs w:val="24"/>
                <w:lang w:eastAsia="zh-CN"/>
              </w:rPr>
              <w:t>SWIFT: UNLALV2X</w:t>
            </w:r>
          </w:p>
        </w:tc>
        <w:tc>
          <w:tcPr>
            <w:tcW w:w="4974" w:type="dxa"/>
          </w:tcPr>
          <w:p w14:paraId="4F2AB27D">
            <w:pPr>
              <w:suppressAutoHyphens/>
              <w:spacing w:after="0" w:line="240" w:lineRule="auto"/>
              <w:ind w:right="-328"/>
              <w:rPr>
                <w:rFonts w:ascii="Times New Roman" w:hAnsi="Times New Roman" w:eastAsia="Calibri" w:cs="Times New Roman"/>
                <w:b/>
                <w:caps/>
                <w:sz w:val="24"/>
                <w:szCs w:val="24"/>
              </w:rPr>
            </w:pPr>
            <w:r>
              <w:rPr>
                <w:rFonts w:ascii="Times New Roman" w:hAnsi="Times New Roman" w:eastAsia="Calibri" w:cs="Times New Roman"/>
                <w:b/>
                <w:caps/>
                <w:sz w:val="24"/>
                <w:szCs w:val="24"/>
              </w:rPr>
              <w:t>SIA “Smart Forxx”</w:t>
            </w:r>
          </w:p>
          <w:p w14:paraId="340E44A5">
            <w:pPr>
              <w:spacing w:after="0" w:line="240" w:lineRule="auto"/>
              <w:jc w:val="both"/>
              <w:rPr>
                <w:rFonts w:ascii="Times New Roman" w:hAnsi="Times New Roman" w:eastAsia="Times New Roman" w:cs="Times New Roman"/>
                <w:sz w:val="24"/>
                <w:szCs w:val="24"/>
                <w:lang w:eastAsia="zh-CN"/>
              </w:rPr>
            </w:pPr>
            <w:r>
              <w:rPr>
                <w:rFonts w:ascii="Times New Roman" w:hAnsi="Times New Roman" w:eastAsia="Times New Roman" w:cs="Times New Roman"/>
                <w:sz w:val="24"/>
                <w:szCs w:val="24"/>
                <w:lang w:eastAsia="zh-CN"/>
              </w:rPr>
              <w:t>Juridiskā adrese:</w:t>
            </w:r>
            <w:r>
              <w:rPr>
                <w:sz w:val="24"/>
                <w:szCs w:val="24"/>
              </w:rPr>
              <w:t xml:space="preserve"> Ziemeļu iela 4, Lidosta "Rīga", Mārupes nov., LV-1053</w:t>
            </w:r>
          </w:p>
          <w:p w14:paraId="226C429D">
            <w:pPr>
              <w:spacing w:after="0" w:line="240" w:lineRule="auto"/>
              <w:jc w:val="both"/>
              <w:rPr>
                <w:rFonts w:ascii="Times New Roman" w:hAnsi="Times New Roman" w:eastAsia="Times New Roman" w:cs="Times New Roman"/>
                <w:sz w:val="24"/>
                <w:szCs w:val="24"/>
                <w:lang w:eastAsia="zh-CN"/>
              </w:rPr>
            </w:pPr>
            <w:r>
              <w:rPr>
                <w:rFonts w:ascii="Times New Roman" w:hAnsi="Times New Roman" w:eastAsia="Times New Roman"/>
                <w:sz w:val="24"/>
                <w:szCs w:val="24"/>
                <w:lang w:eastAsia="lv-LV"/>
              </w:rPr>
              <w:t>Reģ. Nr. 40203049613</w:t>
            </w:r>
          </w:p>
          <w:p w14:paraId="2E443E41">
            <w:pPr>
              <w:spacing w:after="0" w:line="240" w:lineRule="auto"/>
              <w:jc w:val="both"/>
              <w:rPr>
                <w:rFonts w:ascii="Times New Roman" w:hAnsi="Times New Roman" w:eastAsia="Times New Roman" w:cs="Times New Roman"/>
                <w:sz w:val="24"/>
                <w:szCs w:val="24"/>
                <w:lang w:eastAsia="zh-CN"/>
              </w:rPr>
            </w:pPr>
            <w:r>
              <w:rPr>
                <w:rFonts w:ascii="Times New Roman" w:hAnsi="Times New Roman" w:eastAsia="Times New Roman" w:cs="Times New Roman"/>
                <w:sz w:val="24"/>
                <w:szCs w:val="24"/>
                <w:lang w:eastAsia="zh-CN"/>
              </w:rPr>
              <w:t>Tālr.: +37129507102</w:t>
            </w:r>
          </w:p>
          <w:p w14:paraId="0B150674">
            <w:pPr>
              <w:spacing w:after="0" w:line="240" w:lineRule="auto"/>
              <w:jc w:val="both"/>
              <w:rPr>
                <w:rFonts w:ascii="Times New Roman" w:hAnsi="Times New Roman" w:eastAsia="Times New Roman" w:cs="Times New Roman"/>
                <w:sz w:val="24"/>
                <w:szCs w:val="24"/>
                <w:lang w:eastAsia="zh-CN"/>
              </w:rPr>
            </w:pPr>
            <w:r>
              <w:rPr>
                <w:rFonts w:ascii="Times New Roman" w:hAnsi="Times New Roman" w:eastAsia="Times New Roman" w:cs="Times New Roman"/>
                <w:sz w:val="24"/>
                <w:szCs w:val="24"/>
                <w:lang w:eastAsia="zh-CN"/>
              </w:rPr>
              <w:t>AS SWEDBANK</w:t>
            </w:r>
          </w:p>
          <w:p w14:paraId="40A54484">
            <w:pPr>
              <w:spacing w:after="0" w:line="240" w:lineRule="auto"/>
              <w:jc w:val="both"/>
              <w:rPr>
                <w:rFonts w:ascii="Times New Roman" w:hAnsi="Times New Roman" w:eastAsia="Calibri" w:cs="Times New Roman"/>
                <w:bCs/>
                <w:caps/>
                <w:sz w:val="24"/>
                <w:szCs w:val="24"/>
              </w:rPr>
            </w:pPr>
            <w:r>
              <w:rPr>
                <w:rFonts w:ascii="Times New Roman" w:hAnsi="Times New Roman" w:eastAsia="Times New Roman" w:cs="Times New Roman"/>
                <w:sz w:val="24"/>
                <w:szCs w:val="24"/>
                <w:lang w:eastAsia="zh-CN"/>
              </w:rPr>
              <w:t xml:space="preserve">Konta Nr.: LV51HABA0551043233163 </w:t>
            </w:r>
          </w:p>
          <w:p w14:paraId="0FA09440">
            <w:pPr>
              <w:suppressAutoHyphens/>
              <w:spacing w:after="0" w:line="240" w:lineRule="auto"/>
              <w:ind w:right="-328"/>
              <w:rPr>
                <w:rFonts w:ascii="Times New Roman" w:hAnsi="Times New Roman" w:eastAsia="Calibri" w:cs="Times New Roman"/>
                <w:b/>
                <w:caps/>
                <w:sz w:val="24"/>
                <w:szCs w:val="24"/>
              </w:rPr>
            </w:pPr>
            <w:r>
              <w:rPr>
                <w:rFonts w:ascii="Times New Roman" w:hAnsi="Times New Roman" w:eastAsia="Times New Roman" w:cs="Times New Roman"/>
                <w:sz w:val="24"/>
                <w:szCs w:val="24"/>
                <w:lang w:eastAsia="zh-CN"/>
              </w:rPr>
              <w:t>SWIFT: HABALV22</w:t>
            </w:r>
          </w:p>
        </w:tc>
      </w:tr>
      <w:tr w14:paraId="6CEEFA70">
        <w:tblPrEx>
          <w:tblCellMar>
            <w:top w:w="0" w:type="dxa"/>
            <w:left w:w="108" w:type="dxa"/>
            <w:bottom w:w="0" w:type="dxa"/>
            <w:right w:w="108" w:type="dxa"/>
          </w:tblCellMar>
        </w:tblPrEx>
        <w:trPr>
          <w:trHeight w:val="265" w:hRule="atLeast"/>
        </w:trPr>
        <w:tc>
          <w:tcPr>
            <w:tcW w:w="4536" w:type="dxa"/>
          </w:tcPr>
          <w:p w14:paraId="3B7263D3">
            <w:pPr>
              <w:jc w:val="both"/>
              <w:rPr>
                <w:rFonts w:ascii="Times New Roman" w:hAnsi="Times New Roman" w:eastAsia="Times New Roman"/>
                <w:sz w:val="24"/>
                <w:szCs w:val="24"/>
                <w:lang w:eastAsia="lv-LV"/>
              </w:rPr>
            </w:pPr>
          </w:p>
          <w:p w14:paraId="2E6C690D">
            <w:pPr>
              <w:jc w:val="both"/>
              <w:rPr>
                <w:rFonts w:ascii="Times New Roman" w:hAnsi="Times New Roman" w:eastAsia="Times New Roman"/>
                <w:sz w:val="24"/>
                <w:szCs w:val="24"/>
                <w:lang w:eastAsia="lv-LV"/>
              </w:rPr>
            </w:pPr>
            <w:r>
              <w:rPr>
                <w:rFonts w:ascii="Times New Roman" w:hAnsi="Times New Roman" w:eastAsia="Times New Roman"/>
                <w:sz w:val="24"/>
                <w:szCs w:val="24"/>
                <w:lang w:eastAsia="lv-LV"/>
              </w:rPr>
              <w:t>____________________ /___________/</w:t>
            </w:r>
          </w:p>
          <w:p w14:paraId="1006D192">
            <w:pPr>
              <w:jc w:val="both"/>
              <w:rPr>
                <w:rFonts w:ascii="Times New Roman" w:hAnsi="Times New Roman" w:eastAsia="Times New Roman"/>
                <w:sz w:val="24"/>
                <w:szCs w:val="24"/>
                <w:lang w:eastAsia="lv-LV"/>
              </w:rPr>
            </w:pPr>
          </w:p>
        </w:tc>
        <w:tc>
          <w:tcPr>
            <w:tcW w:w="4974" w:type="dxa"/>
          </w:tcPr>
          <w:p w14:paraId="70A28A34">
            <w:pPr>
              <w:suppressAutoHyphens/>
              <w:ind w:right="34"/>
              <w:rPr>
                <w:rFonts w:ascii="Times New Roman" w:hAnsi="Times New Roman" w:eastAsia="Times New Roman" w:cs="Times New Roman"/>
                <w:sz w:val="24"/>
                <w:szCs w:val="24"/>
                <w:lang w:eastAsia="zh-CN"/>
              </w:rPr>
            </w:pPr>
          </w:p>
          <w:p w14:paraId="269CE7A0">
            <w:pPr>
              <w:suppressAutoHyphens/>
              <w:ind w:right="34"/>
              <w:rPr>
                <w:rFonts w:ascii="Times New Roman" w:hAnsi="Times New Roman" w:eastAsia="Times New Roman" w:cs="Times New Roman"/>
                <w:sz w:val="24"/>
                <w:szCs w:val="24"/>
                <w:lang w:eastAsia="zh-CN"/>
              </w:rPr>
            </w:pPr>
            <w:r>
              <w:rPr>
                <w:rFonts w:ascii="Times New Roman" w:hAnsi="Times New Roman" w:eastAsia="Times New Roman" w:cs="Times New Roman"/>
                <w:sz w:val="24"/>
                <w:szCs w:val="24"/>
                <w:lang w:eastAsia="zh-CN"/>
              </w:rPr>
              <w:t>____________________ /______________/</w:t>
            </w:r>
          </w:p>
          <w:p w14:paraId="6C6EACFB">
            <w:pPr>
              <w:suppressAutoHyphens/>
              <w:ind w:right="34"/>
              <w:rPr>
                <w:rFonts w:ascii="Times New Roman" w:hAnsi="Times New Roman" w:eastAsia="Times New Roman" w:cs="Times New Roman"/>
                <w:sz w:val="24"/>
                <w:szCs w:val="24"/>
                <w:lang w:eastAsia="zh-CN"/>
              </w:rPr>
            </w:pPr>
          </w:p>
        </w:tc>
      </w:tr>
    </w:tbl>
    <w:p w14:paraId="45A97FE4">
      <w:pPr>
        <w:spacing w:after="0" w:line="240" w:lineRule="auto"/>
        <w:rPr>
          <w:rFonts w:ascii="Times New Roman" w:hAnsi="Times New Roman" w:eastAsia="Times New Roman" w:cs="Times New Roman"/>
          <w:color w:val="000000"/>
          <w:sz w:val="24"/>
          <w:szCs w:val="24"/>
        </w:rPr>
      </w:pPr>
    </w:p>
    <w:sectPr>
      <w:footerReference r:id="rId5" w:type="first"/>
      <w:pgSz w:w="11906" w:h="16838"/>
      <w:pgMar w:top="993" w:right="1134" w:bottom="1134" w:left="1701" w:header="624" w:footer="624"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rial">
    <w:panose1 w:val="020B0604020202020204"/>
    <w:charset w:val="CC"/>
    <w:family w:val="swiss"/>
    <w:pitch w:val="default"/>
    <w:sig w:usb0="E0002EFF" w:usb1="C000785B" w:usb2="00000009" w:usb3="00000000" w:csb0="400001FF" w:csb1="FFFF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MS Mincho">
    <w:altName w:val="Yu Gothic UI"/>
    <w:panose1 w:val="02020609040205080304"/>
    <w:charset w:val="80"/>
    <w:family w:val="modern"/>
    <w:pitch w:val="default"/>
    <w:sig w:usb0="00000000" w:usb1="00000000" w:usb2="08000012" w:usb3="00000000" w:csb0="0002009F" w:csb1="00000000"/>
  </w:font>
  <w:font w:name="Tahoma">
    <w:panose1 w:val="020B0604030504040204"/>
    <w:charset w:val="CC"/>
    <w:family w:val="swiss"/>
    <w:pitch w:val="default"/>
    <w:sig w:usb0="E1002EFF" w:usb1="C000605B" w:usb2="00000029" w:usb3="00000000" w:csb0="200101FF" w:csb1="20280000"/>
  </w:font>
  <w:font w:name="Segoe UI">
    <w:panose1 w:val="020B0502040204020203"/>
    <w:charset w:val="CC"/>
    <w:family w:val="swiss"/>
    <w:pitch w:val="default"/>
    <w:sig w:usb0="E4002EFF" w:usb1="C000E47F" w:usb2="00000009" w:usb3="00000000" w:csb0="200001FF" w:csb1="00000000"/>
  </w:font>
  <w:font w:name="Lucida Sans Unicode">
    <w:panose1 w:val="020B0602030504020204"/>
    <w:charset w:val="CC"/>
    <w:family w:val="swiss"/>
    <w:pitch w:val="default"/>
    <w:sig w:usb0="80001AFF" w:usb1="0000396B" w:usb2="00000000" w:usb3="00000000" w:csb0="200000BF" w:csb1="D7F70000"/>
  </w:font>
  <w:font w:name="Verdana">
    <w:panose1 w:val="020B0604030504040204"/>
    <w:charset w:val="CC"/>
    <w:family w:val="swiss"/>
    <w:pitch w:val="default"/>
    <w:sig w:usb0="A00006FF" w:usb1="4000205B" w:usb2="00000010" w:usb3="00000000" w:csb0="2000019F" w:csb1="00000000"/>
  </w:font>
  <w:font w:name="Arial Unicode MS">
    <w:altName w:val="Arial"/>
    <w:panose1 w:val="020B0604020202020204"/>
    <w:charset w:val="00"/>
    <w:family w:val="roman"/>
    <w:pitch w:val="default"/>
    <w:sig w:usb0="00000000" w:usb1="00000000" w:usb2="00000000" w:usb3="00000000" w:csb0="00000001" w:csb1="00000000"/>
  </w:font>
  <w:font w:name="Cambria">
    <w:panose1 w:val="02040503050406030204"/>
    <w:charset w:val="CC"/>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CC"/>
    <w:family w:val="modern"/>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91089">
    <w:r>
      <w:t xml:space="preserve">          Šis dokuments ir parakstīts ar drošu elektronisko parakstu un satur laika zīmogu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none"/>
      <w:pStyle w:val="67"/>
      <w:suff w:val="nothing"/>
      <w:lvlText w:val=""/>
      <w:lvlJc w:val="left"/>
      <w:pPr>
        <w:tabs>
          <w:tab w:val="left" w:pos="0"/>
        </w:tabs>
        <w:ind w:left="0" w:firstLine="0"/>
      </w:pPr>
    </w:lvl>
    <w:lvl w:ilvl="1" w:tentative="0">
      <w:start w:val="1"/>
      <w:numFmt w:val="none"/>
      <w:pStyle w:val="66"/>
      <w:suff w:val="nothing"/>
      <w:lvlText w:val=""/>
      <w:lvlJc w:val="left"/>
      <w:pPr>
        <w:tabs>
          <w:tab w:val="left" w:pos="0"/>
        </w:tabs>
        <w:ind w:left="0" w:firstLine="0"/>
      </w:pPr>
    </w:lvl>
    <w:lvl w:ilvl="2" w:tentative="0">
      <w:start w:val="1"/>
      <w:numFmt w:val="none"/>
      <w:pStyle w:val="68"/>
      <w:suff w:val="nothing"/>
      <w:lvlText w:val=""/>
      <w:lvlJc w:val="left"/>
      <w:pPr>
        <w:tabs>
          <w:tab w:val="left" w:pos="0"/>
        </w:tabs>
        <w:ind w:left="0" w:firstLine="0"/>
      </w:pPr>
    </w:lvl>
    <w:lvl w:ilvl="3" w:tentative="0">
      <w:start w:val="1"/>
      <w:numFmt w:val="none"/>
      <w:pStyle w:val="69"/>
      <w:suff w:val="nothing"/>
      <w:lvlText w:val=""/>
      <w:lvlJc w:val="left"/>
      <w:pPr>
        <w:tabs>
          <w:tab w:val="left" w:pos="0"/>
        </w:tabs>
        <w:ind w:left="0" w:firstLine="0"/>
      </w:pPr>
    </w:lvl>
    <w:lvl w:ilvl="4" w:tentative="0">
      <w:start w:val="1"/>
      <w:numFmt w:val="none"/>
      <w:pStyle w:val="71"/>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pStyle w:val="70"/>
      <w:suff w:val="nothing"/>
      <w:lvlText w:val=""/>
      <w:lvlJc w:val="left"/>
      <w:pPr>
        <w:tabs>
          <w:tab w:val="left" w:pos="0"/>
        </w:tabs>
        <w:ind w:left="0" w:firstLine="0"/>
      </w:pPr>
    </w:lvl>
    <w:lvl w:ilvl="7" w:tentative="0">
      <w:start w:val="1"/>
      <w:numFmt w:val="none"/>
      <w:pStyle w:val="6"/>
      <w:suff w:val="nothing"/>
      <w:lvlText w:val=""/>
      <w:lvlJc w:val="left"/>
      <w:pPr>
        <w:tabs>
          <w:tab w:val="left" w:pos="0"/>
        </w:tabs>
        <w:ind w:left="0" w:firstLine="0"/>
      </w:pPr>
    </w:lvl>
    <w:lvl w:ilvl="8" w:tentative="0">
      <w:start w:val="1"/>
      <w:numFmt w:val="none"/>
      <w:pStyle w:val="8"/>
      <w:suff w:val="nothing"/>
      <w:lvlText w:val=""/>
      <w:lvlJc w:val="left"/>
      <w:pPr>
        <w:tabs>
          <w:tab w:val="left" w:pos="0"/>
        </w:tabs>
        <w:ind w:left="0" w:firstLine="0"/>
      </w:pPr>
    </w:lvl>
  </w:abstractNum>
  <w:abstractNum w:abstractNumId="1">
    <w:nsid w:val="05C45491"/>
    <w:multiLevelType w:val="multilevel"/>
    <w:tmpl w:val="05C45491"/>
    <w:lvl w:ilvl="0" w:tentative="0">
      <w:start w:val="1"/>
      <w:numFmt w:val="decimal"/>
      <w:lvlText w:val="%1."/>
      <w:lvlJc w:val="left"/>
      <w:pPr>
        <w:ind w:left="720" w:hanging="360"/>
      </w:pPr>
      <w:rPr>
        <w:rFonts w:ascii="Times New Roman" w:hAnsi="Times New Roman" w:eastAsia="Calibri" w:cs="Times New Roman"/>
        <w:b/>
        <w:bCs/>
      </w:rPr>
    </w:lvl>
    <w:lvl w:ilvl="1" w:tentative="0">
      <w:start w:val="1"/>
      <w:numFmt w:val="decimal"/>
      <w:isLgl/>
      <w:lvlText w:val="%1.%2."/>
      <w:lvlJc w:val="left"/>
      <w:pPr>
        <w:ind w:left="360" w:hanging="360"/>
      </w:pPr>
      <w:rPr>
        <w:rFonts w:hint="default" w:ascii="Times New Roman" w:hAnsi="Times New Roman" w:cs="Times New Roman"/>
        <w:color w:val="auto"/>
        <w:sz w:val="24"/>
        <w:szCs w:val="24"/>
      </w:rPr>
    </w:lvl>
    <w:lvl w:ilvl="2" w:tentative="0">
      <w:start w:val="1"/>
      <w:numFmt w:val="decimal"/>
      <w:isLgl/>
      <w:lvlText w:val="%1.%2.%3."/>
      <w:lvlJc w:val="left"/>
      <w:pPr>
        <w:ind w:left="1080" w:hanging="720"/>
      </w:pPr>
      <w:rPr>
        <w:rFonts w:hint="default"/>
        <w:color w:val="auto"/>
      </w:rPr>
    </w:lvl>
    <w:lvl w:ilvl="3" w:tentative="0">
      <w:start w:val="1"/>
      <w:numFmt w:val="decimal"/>
      <w:isLgl/>
      <w:lvlText w:val="%1.%2.%3.%4."/>
      <w:lvlJc w:val="left"/>
      <w:pPr>
        <w:ind w:left="1080" w:hanging="72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440" w:hanging="108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1800" w:hanging="1440"/>
      </w:pPr>
      <w:rPr>
        <w:rFonts w:hint="default"/>
      </w:rPr>
    </w:lvl>
    <w:lvl w:ilvl="8" w:tentative="0">
      <w:start w:val="1"/>
      <w:numFmt w:val="decimal"/>
      <w:isLgl/>
      <w:lvlText w:val="%1.%2.%3.%4.%5.%6.%7.%8.%9."/>
      <w:lvlJc w:val="left"/>
      <w:pPr>
        <w:ind w:left="2160" w:hanging="1800"/>
      </w:pPr>
      <w:rPr>
        <w:rFonts w:hint="default"/>
      </w:rPr>
    </w:lvl>
  </w:abstractNum>
  <w:abstractNum w:abstractNumId="2">
    <w:nsid w:val="1AA31EC0"/>
    <w:multiLevelType w:val="multilevel"/>
    <w:tmpl w:val="1AA31EC0"/>
    <w:lvl w:ilvl="0" w:tentative="0">
      <w:start w:val="2"/>
      <w:numFmt w:val="decimal"/>
      <w:lvlText w:val="%1."/>
      <w:lvlJc w:val="left"/>
      <w:pPr>
        <w:tabs>
          <w:tab w:val="left" w:pos="360"/>
        </w:tabs>
        <w:ind w:left="360" w:hanging="360"/>
      </w:pPr>
      <w:rPr>
        <w:rFonts w:hint="default"/>
        <w:b/>
      </w:rPr>
    </w:lvl>
    <w:lvl w:ilvl="1" w:tentative="0">
      <w:start w:val="1"/>
      <w:numFmt w:val="decimal"/>
      <w:pStyle w:val="73"/>
      <w:lvlText w:val="%1.%2."/>
      <w:lvlJc w:val="left"/>
      <w:pPr>
        <w:tabs>
          <w:tab w:val="left" w:pos="1210"/>
        </w:tabs>
        <w:ind w:left="1210" w:hanging="360"/>
      </w:pPr>
      <w:rPr>
        <w:rFonts w:hint="default"/>
        <w:b w:val="0"/>
      </w:rPr>
    </w:lvl>
    <w:lvl w:ilvl="2" w:tentative="0">
      <w:start w:val="1"/>
      <w:numFmt w:val="decimal"/>
      <w:lvlText w:val="%1.%2.%3."/>
      <w:lvlJc w:val="left"/>
      <w:pPr>
        <w:tabs>
          <w:tab w:val="left" w:pos="1146"/>
        </w:tabs>
        <w:ind w:left="1146" w:hanging="720"/>
      </w:pPr>
      <w:rPr>
        <w:rFonts w:hint="default"/>
        <w:b w:val="0"/>
      </w:rPr>
    </w:lvl>
    <w:lvl w:ilvl="3" w:tentative="0">
      <w:start w:val="1"/>
      <w:numFmt w:val="decimal"/>
      <w:lvlText w:val="%1.%2.%3.%4."/>
      <w:lvlJc w:val="left"/>
      <w:pPr>
        <w:tabs>
          <w:tab w:val="left" w:pos="3556"/>
        </w:tabs>
        <w:ind w:left="3556" w:hanging="720"/>
      </w:pPr>
      <w:rPr>
        <w:rFonts w:hint="default"/>
      </w:rPr>
    </w:lvl>
    <w:lvl w:ilvl="4" w:tentative="0">
      <w:start w:val="1"/>
      <w:numFmt w:val="decimal"/>
      <w:lvlText w:val="%1.%2.%3.%4.%5."/>
      <w:lvlJc w:val="left"/>
      <w:pPr>
        <w:tabs>
          <w:tab w:val="left" w:pos="4096"/>
        </w:tabs>
        <w:ind w:left="4096" w:hanging="1080"/>
      </w:pPr>
      <w:rPr>
        <w:rFonts w:hint="default"/>
      </w:rPr>
    </w:lvl>
    <w:lvl w:ilvl="5" w:tentative="0">
      <w:start w:val="1"/>
      <w:numFmt w:val="decimal"/>
      <w:lvlText w:val="%1.%2.%3.%4.%5.%6."/>
      <w:lvlJc w:val="left"/>
      <w:pPr>
        <w:tabs>
          <w:tab w:val="left" w:pos="4850"/>
        </w:tabs>
        <w:ind w:left="4850" w:hanging="1080"/>
      </w:pPr>
      <w:rPr>
        <w:rFonts w:hint="default"/>
      </w:rPr>
    </w:lvl>
    <w:lvl w:ilvl="6" w:tentative="0">
      <w:start w:val="1"/>
      <w:numFmt w:val="decimal"/>
      <w:lvlText w:val="%1.%2.%3.%4.%5.%6.%7."/>
      <w:lvlJc w:val="left"/>
      <w:pPr>
        <w:tabs>
          <w:tab w:val="left" w:pos="5964"/>
        </w:tabs>
        <w:ind w:left="5964" w:hanging="1440"/>
      </w:pPr>
      <w:rPr>
        <w:rFonts w:hint="default"/>
      </w:rPr>
    </w:lvl>
    <w:lvl w:ilvl="7" w:tentative="0">
      <w:start w:val="1"/>
      <w:numFmt w:val="decimal"/>
      <w:lvlText w:val="%1.%2.%3.%4.%5.%6.%7.%8."/>
      <w:lvlJc w:val="left"/>
      <w:pPr>
        <w:tabs>
          <w:tab w:val="left" w:pos="6718"/>
        </w:tabs>
        <w:ind w:left="6718" w:hanging="1440"/>
      </w:pPr>
      <w:rPr>
        <w:rFonts w:hint="default"/>
      </w:rPr>
    </w:lvl>
    <w:lvl w:ilvl="8" w:tentative="0">
      <w:start w:val="1"/>
      <w:numFmt w:val="decimal"/>
      <w:lvlText w:val="%1.%2.%3.%4.%5.%6.%7.%8.%9."/>
      <w:lvlJc w:val="left"/>
      <w:pPr>
        <w:tabs>
          <w:tab w:val="left" w:pos="7832"/>
        </w:tabs>
        <w:ind w:left="7832" w:hanging="1800"/>
      </w:pPr>
      <w:rPr>
        <w:rFonts w:hint="default"/>
      </w:rPr>
    </w:lvl>
  </w:abstractNum>
  <w:abstractNum w:abstractNumId="3">
    <w:nsid w:val="27216153"/>
    <w:multiLevelType w:val="multilevel"/>
    <w:tmpl w:val="27216153"/>
    <w:lvl w:ilvl="0" w:tentative="0">
      <w:start w:val="2"/>
      <w:numFmt w:val="decimal"/>
      <w:lvlText w:val="%1."/>
      <w:lvlJc w:val="left"/>
      <w:pPr>
        <w:ind w:left="360" w:hanging="360"/>
      </w:pPr>
      <w:rPr>
        <w:rFonts w:hint="default"/>
      </w:rPr>
    </w:lvl>
    <w:lvl w:ilvl="1" w:tentative="0">
      <w:start w:val="1"/>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4">
    <w:nsid w:val="2A8034D6"/>
    <w:multiLevelType w:val="multilevel"/>
    <w:tmpl w:val="2A8034D6"/>
    <w:lvl w:ilvl="0" w:tentative="0">
      <w:start w:val="3"/>
      <w:numFmt w:val="decimal"/>
      <w:lvlText w:val="%1."/>
      <w:lvlJc w:val="left"/>
      <w:pPr>
        <w:ind w:left="360" w:hanging="360"/>
      </w:pPr>
      <w:rPr>
        <w:rFonts w:hint="default"/>
      </w:rPr>
    </w:lvl>
    <w:lvl w:ilvl="1" w:tentative="0">
      <w:start w:val="1"/>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5">
    <w:nsid w:val="3E114521"/>
    <w:multiLevelType w:val="multilevel"/>
    <w:tmpl w:val="3E114521"/>
    <w:lvl w:ilvl="0" w:tentative="0">
      <w:start w:val="4"/>
      <w:numFmt w:val="decimal"/>
      <w:lvlText w:val="%1."/>
      <w:lvlJc w:val="left"/>
      <w:pPr>
        <w:ind w:left="360" w:hanging="360"/>
      </w:pPr>
      <w:rPr>
        <w:rFonts w:hint="default"/>
        <w:b/>
        <w:bCs/>
      </w:rPr>
    </w:lvl>
    <w:lvl w:ilvl="1" w:tentative="0">
      <w:start w:val="1"/>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6">
    <w:nsid w:val="59B824DA"/>
    <w:multiLevelType w:val="multilevel"/>
    <w:tmpl w:val="59B824DA"/>
    <w:lvl w:ilvl="0" w:tentative="0">
      <w:start w:val="6"/>
      <w:numFmt w:val="decimal"/>
      <w:lvlText w:val="%1."/>
      <w:lvlJc w:val="left"/>
      <w:pPr>
        <w:ind w:left="360" w:hanging="360"/>
      </w:pPr>
      <w:rPr>
        <w:rFonts w:hint="default" w:asciiTheme="majorBidi" w:hAnsiTheme="majorBidi" w:cstheme="majorBidi"/>
        <w:b/>
      </w:rPr>
    </w:lvl>
    <w:lvl w:ilvl="1" w:tentative="0">
      <w:start w:val="1"/>
      <w:numFmt w:val="decimal"/>
      <w:lvlText w:val="%1.%2."/>
      <w:lvlJc w:val="left"/>
      <w:pPr>
        <w:ind w:left="360" w:hanging="360"/>
      </w:pPr>
      <w:rPr>
        <w:rFonts w:hint="default" w:asciiTheme="majorBidi" w:hAnsiTheme="majorBidi" w:cstheme="majorBidi"/>
      </w:rPr>
    </w:lvl>
    <w:lvl w:ilvl="2" w:tentative="0">
      <w:start w:val="1"/>
      <w:numFmt w:val="decimal"/>
      <w:lvlText w:val="%1.%2.%3."/>
      <w:lvlJc w:val="left"/>
      <w:pPr>
        <w:ind w:left="720" w:hanging="720"/>
      </w:pPr>
      <w:rPr>
        <w:rFonts w:hint="default" w:asciiTheme="majorBidi" w:hAnsiTheme="majorBidi" w:cstheme="majorBidi"/>
      </w:rPr>
    </w:lvl>
    <w:lvl w:ilvl="3" w:tentative="0">
      <w:start w:val="1"/>
      <w:numFmt w:val="decimal"/>
      <w:lvlText w:val="%1.%2.%3.%4."/>
      <w:lvlJc w:val="left"/>
      <w:pPr>
        <w:ind w:left="720" w:hanging="720"/>
      </w:pPr>
      <w:rPr>
        <w:rFonts w:hint="default" w:asciiTheme="majorBidi" w:hAnsiTheme="majorBidi" w:cstheme="majorBidi"/>
      </w:rPr>
    </w:lvl>
    <w:lvl w:ilvl="4" w:tentative="0">
      <w:start w:val="1"/>
      <w:numFmt w:val="decimal"/>
      <w:lvlText w:val="%1.%2.%3.%4.%5."/>
      <w:lvlJc w:val="left"/>
      <w:pPr>
        <w:ind w:left="1080" w:hanging="1080"/>
      </w:pPr>
      <w:rPr>
        <w:rFonts w:hint="default" w:asciiTheme="majorBidi" w:hAnsiTheme="majorBidi" w:cstheme="majorBidi"/>
      </w:rPr>
    </w:lvl>
    <w:lvl w:ilvl="5" w:tentative="0">
      <w:start w:val="1"/>
      <w:numFmt w:val="decimal"/>
      <w:lvlText w:val="%1.%2.%3.%4.%5.%6."/>
      <w:lvlJc w:val="left"/>
      <w:pPr>
        <w:ind w:left="1080" w:hanging="1080"/>
      </w:pPr>
      <w:rPr>
        <w:rFonts w:hint="default" w:asciiTheme="majorBidi" w:hAnsiTheme="majorBidi" w:cstheme="majorBidi"/>
      </w:rPr>
    </w:lvl>
    <w:lvl w:ilvl="6" w:tentative="0">
      <w:start w:val="1"/>
      <w:numFmt w:val="decimal"/>
      <w:lvlText w:val="%1.%2.%3.%4.%5.%6.%7."/>
      <w:lvlJc w:val="left"/>
      <w:pPr>
        <w:ind w:left="1440" w:hanging="1440"/>
      </w:pPr>
      <w:rPr>
        <w:rFonts w:hint="default" w:asciiTheme="majorBidi" w:hAnsiTheme="majorBidi" w:cstheme="majorBidi"/>
      </w:rPr>
    </w:lvl>
    <w:lvl w:ilvl="7" w:tentative="0">
      <w:start w:val="1"/>
      <w:numFmt w:val="decimal"/>
      <w:lvlText w:val="%1.%2.%3.%4.%5.%6.%7.%8."/>
      <w:lvlJc w:val="left"/>
      <w:pPr>
        <w:ind w:left="1440" w:hanging="1440"/>
      </w:pPr>
      <w:rPr>
        <w:rFonts w:hint="default" w:asciiTheme="majorBidi" w:hAnsiTheme="majorBidi" w:cstheme="majorBidi"/>
      </w:rPr>
    </w:lvl>
    <w:lvl w:ilvl="8" w:tentative="0">
      <w:start w:val="1"/>
      <w:numFmt w:val="decimal"/>
      <w:lvlText w:val="%1.%2.%3.%4.%5.%6.%7.%8.%9."/>
      <w:lvlJc w:val="left"/>
      <w:pPr>
        <w:ind w:left="1800" w:hanging="1800"/>
      </w:pPr>
      <w:rPr>
        <w:rFonts w:hint="default" w:asciiTheme="majorBidi" w:hAnsiTheme="majorBidi" w:cstheme="majorBidi"/>
      </w:rPr>
    </w:lvl>
  </w:abstractNum>
  <w:abstractNum w:abstractNumId="7">
    <w:nsid w:val="63451A9E"/>
    <w:multiLevelType w:val="multilevel"/>
    <w:tmpl w:val="63451A9E"/>
    <w:lvl w:ilvl="0" w:tentative="0">
      <w:start w:val="1"/>
      <w:numFmt w:val="decimal"/>
      <w:lvlText w:val="%1."/>
      <w:lvlJc w:val="left"/>
      <w:pPr>
        <w:tabs>
          <w:tab w:val="left" w:pos="720"/>
        </w:tabs>
        <w:ind w:left="720" w:hanging="720"/>
      </w:pPr>
      <w:rPr>
        <w:rFonts w:hint="default"/>
        <w:b/>
      </w:rPr>
    </w:lvl>
    <w:lvl w:ilvl="1" w:tentative="0">
      <w:start w:val="1"/>
      <w:numFmt w:val="decimal"/>
      <w:pStyle w:val="44"/>
      <w:lvlText w:val="%1.%2."/>
      <w:lvlJc w:val="left"/>
      <w:pPr>
        <w:tabs>
          <w:tab w:val="left" w:pos="720"/>
        </w:tabs>
        <w:ind w:left="720" w:hanging="720"/>
      </w:pPr>
      <w:rPr>
        <w:rFonts w:hint="default"/>
        <w:b w:val="0"/>
        <w:i w:val="0"/>
      </w:rPr>
    </w:lvl>
    <w:lvl w:ilvl="2" w:tentative="0">
      <w:start w:val="1"/>
      <w:numFmt w:val="decimal"/>
      <w:lvlText w:val="%1.%2.%3."/>
      <w:lvlJc w:val="left"/>
      <w:pPr>
        <w:tabs>
          <w:tab w:val="left" w:pos="862"/>
        </w:tabs>
        <w:ind w:left="862" w:hanging="720"/>
      </w:pPr>
      <w:rPr>
        <w:rFonts w:hint="default"/>
        <w:b w:val="0"/>
        <w:color w:val="auto"/>
      </w:rPr>
    </w:lvl>
    <w:lvl w:ilvl="3" w:tentative="0">
      <w:start w:val="1"/>
      <w:numFmt w:val="decimal"/>
      <w:lvlText w:val="%1.%2.%3.%4."/>
      <w:lvlJc w:val="left"/>
      <w:pPr>
        <w:tabs>
          <w:tab w:val="left" w:pos="2138"/>
        </w:tabs>
        <w:ind w:left="2138" w:hanging="720"/>
      </w:pPr>
      <w:rPr>
        <w:rFonts w:hint="default"/>
        <w:b w:val="0"/>
        <w:lang w:val="lv-LV"/>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080"/>
        </w:tabs>
        <w:ind w:left="1080" w:hanging="108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8">
    <w:nsid w:val="6A88295A"/>
    <w:multiLevelType w:val="multilevel"/>
    <w:tmpl w:val="6A88295A"/>
    <w:lvl w:ilvl="0" w:tentative="0">
      <w:start w:val="5"/>
      <w:numFmt w:val="decimal"/>
      <w:lvlText w:val="%1."/>
      <w:lvlJc w:val="left"/>
      <w:pPr>
        <w:ind w:left="360" w:hanging="360"/>
      </w:pPr>
      <w:rPr>
        <w:rFonts w:hint="default"/>
        <w:b/>
        <w:bCs/>
      </w:rPr>
    </w:lvl>
    <w:lvl w:ilvl="1" w:tentative="0">
      <w:start w:val="1"/>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num w:numId="1">
    <w:abstractNumId w:val="0"/>
  </w:num>
  <w:num w:numId="2">
    <w:abstractNumId w:val="7"/>
  </w:num>
  <w:num w:numId="3">
    <w:abstractNumId w:val="2"/>
  </w:num>
  <w:num w:numId="4">
    <w:abstractNumId w:val="1"/>
  </w:num>
  <w:num w:numId="5">
    <w:abstractNumId w:val="3"/>
  </w:num>
  <w:num w:numId="6">
    <w:abstractNumId w:val="4"/>
  </w:num>
  <w:num w:numId="7">
    <w:abstractNumId w:val="5"/>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030"/>
    <w:rsid w:val="000002A8"/>
    <w:rsid w:val="00003F83"/>
    <w:rsid w:val="00005B6D"/>
    <w:rsid w:val="00005C94"/>
    <w:rsid w:val="000078FC"/>
    <w:rsid w:val="00011C2A"/>
    <w:rsid w:val="000132F6"/>
    <w:rsid w:val="000150BE"/>
    <w:rsid w:val="000173E9"/>
    <w:rsid w:val="00017749"/>
    <w:rsid w:val="000217B1"/>
    <w:rsid w:val="00021F6F"/>
    <w:rsid w:val="00022C50"/>
    <w:rsid w:val="00022F0D"/>
    <w:rsid w:val="000234F1"/>
    <w:rsid w:val="000250C0"/>
    <w:rsid w:val="000253F9"/>
    <w:rsid w:val="00026C22"/>
    <w:rsid w:val="00033156"/>
    <w:rsid w:val="00033D7D"/>
    <w:rsid w:val="000340CB"/>
    <w:rsid w:val="000340FB"/>
    <w:rsid w:val="00036FCC"/>
    <w:rsid w:val="00041032"/>
    <w:rsid w:val="0004289F"/>
    <w:rsid w:val="00046192"/>
    <w:rsid w:val="000529FB"/>
    <w:rsid w:val="0005547D"/>
    <w:rsid w:val="00057017"/>
    <w:rsid w:val="0005706B"/>
    <w:rsid w:val="00060514"/>
    <w:rsid w:val="00061022"/>
    <w:rsid w:val="000624BD"/>
    <w:rsid w:val="0006503F"/>
    <w:rsid w:val="00072366"/>
    <w:rsid w:val="000731F5"/>
    <w:rsid w:val="00074D2B"/>
    <w:rsid w:val="00081E7C"/>
    <w:rsid w:val="0008245E"/>
    <w:rsid w:val="0008283D"/>
    <w:rsid w:val="00082FFE"/>
    <w:rsid w:val="000875A1"/>
    <w:rsid w:val="000934C7"/>
    <w:rsid w:val="00095773"/>
    <w:rsid w:val="000964AE"/>
    <w:rsid w:val="000A0CCE"/>
    <w:rsid w:val="000A16A2"/>
    <w:rsid w:val="000A25BE"/>
    <w:rsid w:val="000A35DE"/>
    <w:rsid w:val="000A3C67"/>
    <w:rsid w:val="000A7278"/>
    <w:rsid w:val="000B6AF0"/>
    <w:rsid w:val="000B7732"/>
    <w:rsid w:val="000C57AD"/>
    <w:rsid w:val="000C7F99"/>
    <w:rsid w:val="000D6875"/>
    <w:rsid w:val="000E1FD9"/>
    <w:rsid w:val="000E2DB1"/>
    <w:rsid w:val="000E5A69"/>
    <w:rsid w:val="000E63C0"/>
    <w:rsid w:val="000F174E"/>
    <w:rsid w:val="000F4D57"/>
    <w:rsid w:val="001000C9"/>
    <w:rsid w:val="0010054B"/>
    <w:rsid w:val="00101F3C"/>
    <w:rsid w:val="00102494"/>
    <w:rsid w:val="00103113"/>
    <w:rsid w:val="00104605"/>
    <w:rsid w:val="0010479C"/>
    <w:rsid w:val="001074E0"/>
    <w:rsid w:val="001107B2"/>
    <w:rsid w:val="00111C48"/>
    <w:rsid w:val="00115404"/>
    <w:rsid w:val="00115EB0"/>
    <w:rsid w:val="00116F39"/>
    <w:rsid w:val="00120CF9"/>
    <w:rsid w:val="00123DFA"/>
    <w:rsid w:val="00125459"/>
    <w:rsid w:val="00125C57"/>
    <w:rsid w:val="00126D00"/>
    <w:rsid w:val="001329E1"/>
    <w:rsid w:val="0013515E"/>
    <w:rsid w:val="00135AF0"/>
    <w:rsid w:val="001403B8"/>
    <w:rsid w:val="00140B48"/>
    <w:rsid w:val="001415A3"/>
    <w:rsid w:val="00142FBF"/>
    <w:rsid w:val="00144375"/>
    <w:rsid w:val="00146AC9"/>
    <w:rsid w:val="00147B47"/>
    <w:rsid w:val="00150083"/>
    <w:rsid w:val="00150AF4"/>
    <w:rsid w:val="00151EAB"/>
    <w:rsid w:val="00153103"/>
    <w:rsid w:val="001532B3"/>
    <w:rsid w:val="00154783"/>
    <w:rsid w:val="00157FE7"/>
    <w:rsid w:val="00162242"/>
    <w:rsid w:val="00164615"/>
    <w:rsid w:val="00164A2F"/>
    <w:rsid w:val="00164B01"/>
    <w:rsid w:val="00166608"/>
    <w:rsid w:val="001700C6"/>
    <w:rsid w:val="001714CD"/>
    <w:rsid w:val="001728A7"/>
    <w:rsid w:val="00173916"/>
    <w:rsid w:val="00173C11"/>
    <w:rsid w:val="00173EF0"/>
    <w:rsid w:val="0017400B"/>
    <w:rsid w:val="0018105E"/>
    <w:rsid w:val="00182343"/>
    <w:rsid w:val="00182BF4"/>
    <w:rsid w:val="001841C3"/>
    <w:rsid w:val="00184D36"/>
    <w:rsid w:val="00190248"/>
    <w:rsid w:val="00190504"/>
    <w:rsid w:val="00190CDC"/>
    <w:rsid w:val="001933DD"/>
    <w:rsid w:val="00194111"/>
    <w:rsid w:val="0019648A"/>
    <w:rsid w:val="00196764"/>
    <w:rsid w:val="0019720B"/>
    <w:rsid w:val="001974EF"/>
    <w:rsid w:val="001A1FC9"/>
    <w:rsid w:val="001A37B9"/>
    <w:rsid w:val="001A40A0"/>
    <w:rsid w:val="001B04F9"/>
    <w:rsid w:val="001B0BA7"/>
    <w:rsid w:val="001B38B5"/>
    <w:rsid w:val="001B6E59"/>
    <w:rsid w:val="001B7033"/>
    <w:rsid w:val="001B731C"/>
    <w:rsid w:val="001C2447"/>
    <w:rsid w:val="001C5DBC"/>
    <w:rsid w:val="001C68AE"/>
    <w:rsid w:val="001D1EEE"/>
    <w:rsid w:val="001D2ACE"/>
    <w:rsid w:val="001D53B2"/>
    <w:rsid w:val="001D72A7"/>
    <w:rsid w:val="001E1207"/>
    <w:rsid w:val="001E1457"/>
    <w:rsid w:val="001E1E81"/>
    <w:rsid w:val="001E243B"/>
    <w:rsid w:val="001E3E65"/>
    <w:rsid w:val="001E4BDC"/>
    <w:rsid w:val="001E5F98"/>
    <w:rsid w:val="001E6D57"/>
    <w:rsid w:val="001E6F5C"/>
    <w:rsid w:val="001F212A"/>
    <w:rsid w:val="001F2C6A"/>
    <w:rsid w:val="001F44A9"/>
    <w:rsid w:val="001F49F4"/>
    <w:rsid w:val="001F4A5F"/>
    <w:rsid w:val="001F5CF7"/>
    <w:rsid w:val="001F7B91"/>
    <w:rsid w:val="00200A5B"/>
    <w:rsid w:val="00202238"/>
    <w:rsid w:val="002036D7"/>
    <w:rsid w:val="00205ADB"/>
    <w:rsid w:val="00210223"/>
    <w:rsid w:val="0021106C"/>
    <w:rsid w:val="0021355F"/>
    <w:rsid w:val="0021435E"/>
    <w:rsid w:val="00214E61"/>
    <w:rsid w:val="0022278D"/>
    <w:rsid w:val="00227E9E"/>
    <w:rsid w:val="002322BF"/>
    <w:rsid w:val="0023277A"/>
    <w:rsid w:val="002333AF"/>
    <w:rsid w:val="002352F6"/>
    <w:rsid w:val="002359DD"/>
    <w:rsid w:val="00237578"/>
    <w:rsid w:val="0024038E"/>
    <w:rsid w:val="002407A6"/>
    <w:rsid w:val="0024161B"/>
    <w:rsid w:val="0024183A"/>
    <w:rsid w:val="00244502"/>
    <w:rsid w:val="00244B14"/>
    <w:rsid w:val="00245871"/>
    <w:rsid w:val="00246D81"/>
    <w:rsid w:val="0024771E"/>
    <w:rsid w:val="00256216"/>
    <w:rsid w:val="00256849"/>
    <w:rsid w:val="00260106"/>
    <w:rsid w:val="002702A6"/>
    <w:rsid w:val="002705FA"/>
    <w:rsid w:val="00271512"/>
    <w:rsid w:val="00273563"/>
    <w:rsid w:val="00273BB1"/>
    <w:rsid w:val="00274A3B"/>
    <w:rsid w:val="00276AD2"/>
    <w:rsid w:val="00283405"/>
    <w:rsid w:val="0028485A"/>
    <w:rsid w:val="00284A42"/>
    <w:rsid w:val="00285356"/>
    <w:rsid w:val="002871EB"/>
    <w:rsid w:val="00290D1F"/>
    <w:rsid w:val="0029203A"/>
    <w:rsid w:val="00292123"/>
    <w:rsid w:val="00292A76"/>
    <w:rsid w:val="00293451"/>
    <w:rsid w:val="00295032"/>
    <w:rsid w:val="00296446"/>
    <w:rsid w:val="00296A58"/>
    <w:rsid w:val="002A12B1"/>
    <w:rsid w:val="002A29F3"/>
    <w:rsid w:val="002A4166"/>
    <w:rsid w:val="002A4FFD"/>
    <w:rsid w:val="002A528C"/>
    <w:rsid w:val="002A73F6"/>
    <w:rsid w:val="002B05A7"/>
    <w:rsid w:val="002B253F"/>
    <w:rsid w:val="002B33BA"/>
    <w:rsid w:val="002B548E"/>
    <w:rsid w:val="002B56C1"/>
    <w:rsid w:val="002B676A"/>
    <w:rsid w:val="002B6EDF"/>
    <w:rsid w:val="002C2224"/>
    <w:rsid w:val="002C293D"/>
    <w:rsid w:val="002C2B45"/>
    <w:rsid w:val="002C333D"/>
    <w:rsid w:val="002C5549"/>
    <w:rsid w:val="002C69F8"/>
    <w:rsid w:val="002D3551"/>
    <w:rsid w:val="002D5619"/>
    <w:rsid w:val="002D6193"/>
    <w:rsid w:val="002D7190"/>
    <w:rsid w:val="002E02BA"/>
    <w:rsid w:val="002E14DA"/>
    <w:rsid w:val="002E15FC"/>
    <w:rsid w:val="002E24DC"/>
    <w:rsid w:val="002E2F99"/>
    <w:rsid w:val="002E6CB8"/>
    <w:rsid w:val="002F03AD"/>
    <w:rsid w:val="002F0C29"/>
    <w:rsid w:val="002F4DB0"/>
    <w:rsid w:val="002F612D"/>
    <w:rsid w:val="002F66B5"/>
    <w:rsid w:val="002F7AC1"/>
    <w:rsid w:val="00303069"/>
    <w:rsid w:val="00303301"/>
    <w:rsid w:val="00305F10"/>
    <w:rsid w:val="00310029"/>
    <w:rsid w:val="003100EC"/>
    <w:rsid w:val="00310536"/>
    <w:rsid w:val="00311503"/>
    <w:rsid w:val="0031168A"/>
    <w:rsid w:val="00314B26"/>
    <w:rsid w:val="00314BE9"/>
    <w:rsid w:val="003153E3"/>
    <w:rsid w:val="00317947"/>
    <w:rsid w:val="00321136"/>
    <w:rsid w:val="003219E0"/>
    <w:rsid w:val="00322DA9"/>
    <w:rsid w:val="00325615"/>
    <w:rsid w:val="00325D03"/>
    <w:rsid w:val="00326976"/>
    <w:rsid w:val="00326B7F"/>
    <w:rsid w:val="003272B1"/>
    <w:rsid w:val="00327948"/>
    <w:rsid w:val="0033330E"/>
    <w:rsid w:val="003378A2"/>
    <w:rsid w:val="00345217"/>
    <w:rsid w:val="00350446"/>
    <w:rsid w:val="00354F99"/>
    <w:rsid w:val="003550A8"/>
    <w:rsid w:val="00356CC5"/>
    <w:rsid w:val="003614EE"/>
    <w:rsid w:val="00361751"/>
    <w:rsid w:val="0036204D"/>
    <w:rsid w:val="00363B1E"/>
    <w:rsid w:val="00365609"/>
    <w:rsid w:val="0036655F"/>
    <w:rsid w:val="00367A46"/>
    <w:rsid w:val="00370DEF"/>
    <w:rsid w:val="00371078"/>
    <w:rsid w:val="0037173B"/>
    <w:rsid w:val="003726D6"/>
    <w:rsid w:val="003732E1"/>
    <w:rsid w:val="00376581"/>
    <w:rsid w:val="00376BC9"/>
    <w:rsid w:val="0038095F"/>
    <w:rsid w:val="0038163B"/>
    <w:rsid w:val="00383E46"/>
    <w:rsid w:val="00384CF9"/>
    <w:rsid w:val="00386FE9"/>
    <w:rsid w:val="00393F8C"/>
    <w:rsid w:val="003966B5"/>
    <w:rsid w:val="003976FA"/>
    <w:rsid w:val="003A0666"/>
    <w:rsid w:val="003A0AB5"/>
    <w:rsid w:val="003A0D53"/>
    <w:rsid w:val="003A1F4C"/>
    <w:rsid w:val="003A2226"/>
    <w:rsid w:val="003A3D55"/>
    <w:rsid w:val="003A7424"/>
    <w:rsid w:val="003B4E97"/>
    <w:rsid w:val="003B5D8A"/>
    <w:rsid w:val="003B68C5"/>
    <w:rsid w:val="003B7705"/>
    <w:rsid w:val="003B7F15"/>
    <w:rsid w:val="003C049F"/>
    <w:rsid w:val="003C0EF7"/>
    <w:rsid w:val="003C141E"/>
    <w:rsid w:val="003C18FF"/>
    <w:rsid w:val="003C1BE1"/>
    <w:rsid w:val="003C3DCD"/>
    <w:rsid w:val="003C5A7C"/>
    <w:rsid w:val="003C5C84"/>
    <w:rsid w:val="003C64D9"/>
    <w:rsid w:val="003C6D51"/>
    <w:rsid w:val="003D168D"/>
    <w:rsid w:val="003D3AFE"/>
    <w:rsid w:val="003E2049"/>
    <w:rsid w:val="003E3069"/>
    <w:rsid w:val="003E5FBF"/>
    <w:rsid w:val="003E63AC"/>
    <w:rsid w:val="003E72EE"/>
    <w:rsid w:val="003E76A6"/>
    <w:rsid w:val="003F3F3B"/>
    <w:rsid w:val="003F404D"/>
    <w:rsid w:val="003F5271"/>
    <w:rsid w:val="003F5A72"/>
    <w:rsid w:val="003F5BFA"/>
    <w:rsid w:val="003F7BFB"/>
    <w:rsid w:val="003F7FA6"/>
    <w:rsid w:val="0040035E"/>
    <w:rsid w:val="00401F78"/>
    <w:rsid w:val="0040650B"/>
    <w:rsid w:val="00406BB7"/>
    <w:rsid w:val="00412B34"/>
    <w:rsid w:val="00414506"/>
    <w:rsid w:val="00415457"/>
    <w:rsid w:val="0041611B"/>
    <w:rsid w:val="0042234F"/>
    <w:rsid w:val="00423943"/>
    <w:rsid w:val="0042534A"/>
    <w:rsid w:val="00426B9D"/>
    <w:rsid w:val="00427AB1"/>
    <w:rsid w:val="00427AB2"/>
    <w:rsid w:val="00430470"/>
    <w:rsid w:val="004304C5"/>
    <w:rsid w:val="00430EC2"/>
    <w:rsid w:val="00434910"/>
    <w:rsid w:val="0043582D"/>
    <w:rsid w:val="00436F99"/>
    <w:rsid w:val="00442610"/>
    <w:rsid w:val="0044389F"/>
    <w:rsid w:val="0044613C"/>
    <w:rsid w:val="00446A29"/>
    <w:rsid w:val="00447601"/>
    <w:rsid w:val="00447964"/>
    <w:rsid w:val="00450146"/>
    <w:rsid w:val="004503AF"/>
    <w:rsid w:val="0045043A"/>
    <w:rsid w:val="00450D84"/>
    <w:rsid w:val="0045129E"/>
    <w:rsid w:val="00453882"/>
    <w:rsid w:val="00453894"/>
    <w:rsid w:val="00454000"/>
    <w:rsid w:val="004540AA"/>
    <w:rsid w:val="00455761"/>
    <w:rsid w:val="004569AF"/>
    <w:rsid w:val="00457DA1"/>
    <w:rsid w:val="00460ECB"/>
    <w:rsid w:val="00461AA7"/>
    <w:rsid w:val="00465F6F"/>
    <w:rsid w:val="00466A40"/>
    <w:rsid w:val="0047064E"/>
    <w:rsid w:val="00471F2A"/>
    <w:rsid w:val="0047300B"/>
    <w:rsid w:val="004732F2"/>
    <w:rsid w:val="0047350F"/>
    <w:rsid w:val="00481C99"/>
    <w:rsid w:val="00482101"/>
    <w:rsid w:val="004821C0"/>
    <w:rsid w:val="00483D5C"/>
    <w:rsid w:val="00484318"/>
    <w:rsid w:val="004859CD"/>
    <w:rsid w:val="0048669A"/>
    <w:rsid w:val="00486F92"/>
    <w:rsid w:val="00492885"/>
    <w:rsid w:val="004946B6"/>
    <w:rsid w:val="004955D5"/>
    <w:rsid w:val="00495CFA"/>
    <w:rsid w:val="004A05EE"/>
    <w:rsid w:val="004A4AFE"/>
    <w:rsid w:val="004A504B"/>
    <w:rsid w:val="004B01B9"/>
    <w:rsid w:val="004B033B"/>
    <w:rsid w:val="004B25CE"/>
    <w:rsid w:val="004C1292"/>
    <w:rsid w:val="004C4897"/>
    <w:rsid w:val="004C56A0"/>
    <w:rsid w:val="004D0D6B"/>
    <w:rsid w:val="004D1811"/>
    <w:rsid w:val="004D2140"/>
    <w:rsid w:val="004D3684"/>
    <w:rsid w:val="004D511E"/>
    <w:rsid w:val="004D6F10"/>
    <w:rsid w:val="004D76DC"/>
    <w:rsid w:val="004E3D8B"/>
    <w:rsid w:val="004E3F64"/>
    <w:rsid w:val="004E4446"/>
    <w:rsid w:val="004E5C74"/>
    <w:rsid w:val="004E6ED5"/>
    <w:rsid w:val="004F0440"/>
    <w:rsid w:val="004F184C"/>
    <w:rsid w:val="004F6C44"/>
    <w:rsid w:val="004F6CBB"/>
    <w:rsid w:val="004F7FF7"/>
    <w:rsid w:val="00502EA6"/>
    <w:rsid w:val="00502F70"/>
    <w:rsid w:val="00505EBB"/>
    <w:rsid w:val="00511B55"/>
    <w:rsid w:val="00511EEF"/>
    <w:rsid w:val="005141D2"/>
    <w:rsid w:val="00520143"/>
    <w:rsid w:val="00520A32"/>
    <w:rsid w:val="005233A1"/>
    <w:rsid w:val="0053011A"/>
    <w:rsid w:val="0053011B"/>
    <w:rsid w:val="00530614"/>
    <w:rsid w:val="00530D28"/>
    <w:rsid w:val="005310B6"/>
    <w:rsid w:val="0053281F"/>
    <w:rsid w:val="00533256"/>
    <w:rsid w:val="0053350A"/>
    <w:rsid w:val="005354A9"/>
    <w:rsid w:val="0054205A"/>
    <w:rsid w:val="00542269"/>
    <w:rsid w:val="00542620"/>
    <w:rsid w:val="00543D25"/>
    <w:rsid w:val="00545D1B"/>
    <w:rsid w:val="00546D91"/>
    <w:rsid w:val="0054766F"/>
    <w:rsid w:val="0055063B"/>
    <w:rsid w:val="00550668"/>
    <w:rsid w:val="005575D8"/>
    <w:rsid w:val="00557628"/>
    <w:rsid w:val="0056025C"/>
    <w:rsid w:val="00560F2C"/>
    <w:rsid w:val="0056107A"/>
    <w:rsid w:val="00565C1C"/>
    <w:rsid w:val="00565CED"/>
    <w:rsid w:val="00566DA2"/>
    <w:rsid w:val="00567AD1"/>
    <w:rsid w:val="0057175D"/>
    <w:rsid w:val="00571F02"/>
    <w:rsid w:val="0057246F"/>
    <w:rsid w:val="0057360F"/>
    <w:rsid w:val="00575B67"/>
    <w:rsid w:val="005800A3"/>
    <w:rsid w:val="005806C9"/>
    <w:rsid w:val="00581716"/>
    <w:rsid w:val="00581818"/>
    <w:rsid w:val="00581998"/>
    <w:rsid w:val="00584498"/>
    <w:rsid w:val="0058639F"/>
    <w:rsid w:val="00590EB6"/>
    <w:rsid w:val="00592566"/>
    <w:rsid w:val="00592921"/>
    <w:rsid w:val="00593FE2"/>
    <w:rsid w:val="00597F3F"/>
    <w:rsid w:val="005A086B"/>
    <w:rsid w:val="005A2006"/>
    <w:rsid w:val="005A429D"/>
    <w:rsid w:val="005A6B7D"/>
    <w:rsid w:val="005B0D8E"/>
    <w:rsid w:val="005B0F2A"/>
    <w:rsid w:val="005B1A95"/>
    <w:rsid w:val="005B3952"/>
    <w:rsid w:val="005B78E5"/>
    <w:rsid w:val="005C34E0"/>
    <w:rsid w:val="005C67E6"/>
    <w:rsid w:val="005C6A2C"/>
    <w:rsid w:val="005D0534"/>
    <w:rsid w:val="005D1BD2"/>
    <w:rsid w:val="005D3E91"/>
    <w:rsid w:val="005D406C"/>
    <w:rsid w:val="005D4AFB"/>
    <w:rsid w:val="005D6A4F"/>
    <w:rsid w:val="005E0E31"/>
    <w:rsid w:val="005E1AAA"/>
    <w:rsid w:val="005E21F7"/>
    <w:rsid w:val="005E431D"/>
    <w:rsid w:val="005E6692"/>
    <w:rsid w:val="005E739F"/>
    <w:rsid w:val="005F0B60"/>
    <w:rsid w:val="005F1BE6"/>
    <w:rsid w:val="005F591F"/>
    <w:rsid w:val="005F5D74"/>
    <w:rsid w:val="005F73B8"/>
    <w:rsid w:val="00600088"/>
    <w:rsid w:val="006034D5"/>
    <w:rsid w:val="006034EB"/>
    <w:rsid w:val="0060385E"/>
    <w:rsid w:val="00604988"/>
    <w:rsid w:val="00605E53"/>
    <w:rsid w:val="00605F0E"/>
    <w:rsid w:val="006062E5"/>
    <w:rsid w:val="006069B0"/>
    <w:rsid w:val="0061212E"/>
    <w:rsid w:val="00612158"/>
    <w:rsid w:val="006159B7"/>
    <w:rsid w:val="00622C45"/>
    <w:rsid w:val="0062693D"/>
    <w:rsid w:val="00626BA9"/>
    <w:rsid w:val="006270BF"/>
    <w:rsid w:val="006311D4"/>
    <w:rsid w:val="0063128B"/>
    <w:rsid w:val="00632122"/>
    <w:rsid w:val="00632C98"/>
    <w:rsid w:val="00636C16"/>
    <w:rsid w:val="00637825"/>
    <w:rsid w:val="00641A8E"/>
    <w:rsid w:val="00642591"/>
    <w:rsid w:val="0064360E"/>
    <w:rsid w:val="006443CC"/>
    <w:rsid w:val="0064540E"/>
    <w:rsid w:val="006500AA"/>
    <w:rsid w:val="00650270"/>
    <w:rsid w:val="006515E3"/>
    <w:rsid w:val="00651F1C"/>
    <w:rsid w:val="00652301"/>
    <w:rsid w:val="0066233F"/>
    <w:rsid w:val="0066430C"/>
    <w:rsid w:val="00667449"/>
    <w:rsid w:val="00673D28"/>
    <w:rsid w:val="0067608B"/>
    <w:rsid w:val="00680104"/>
    <w:rsid w:val="00680F9B"/>
    <w:rsid w:val="00693C71"/>
    <w:rsid w:val="0069567B"/>
    <w:rsid w:val="00696EA9"/>
    <w:rsid w:val="006A1D17"/>
    <w:rsid w:val="006A2CDC"/>
    <w:rsid w:val="006A6463"/>
    <w:rsid w:val="006B1ACB"/>
    <w:rsid w:val="006B1B5C"/>
    <w:rsid w:val="006B3054"/>
    <w:rsid w:val="006B3F5A"/>
    <w:rsid w:val="006B49BB"/>
    <w:rsid w:val="006B599E"/>
    <w:rsid w:val="006B646E"/>
    <w:rsid w:val="006B7A4B"/>
    <w:rsid w:val="006B7A61"/>
    <w:rsid w:val="006C1AD9"/>
    <w:rsid w:val="006C5C53"/>
    <w:rsid w:val="006C6AC2"/>
    <w:rsid w:val="006C6C07"/>
    <w:rsid w:val="006D0E27"/>
    <w:rsid w:val="006D11C1"/>
    <w:rsid w:val="006D2353"/>
    <w:rsid w:val="006D2B1F"/>
    <w:rsid w:val="006D39FB"/>
    <w:rsid w:val="006D4AD9"/>
    <w:rsid w:val="006D58B4"/>
    <w:rsid w:val="006E1E6D"/>
    <w:rsid w:val="006E28F9"/>
    <w:rsid w:val="006E3A06"/>
    <w:rsid w:val="006E4B12"/>
    <w:rsid w:val="006E5539"/>
    <w:rsid w:val="006E5BBD"/>
    <w:rsid w:val="006E5C8E"/>
    <w:rsid w:val="006E6D97"/>
    <w:rsid w:val="006E6DCD"/>
    <w:rsid w:val="006E7803"/>
    <w:rsid w:val="006E7CEF"/>
    <w:rsid w:val="006F05F7"/>
    <w:rsid w:val="006F0878"/>
    <w:rsid w:val="006F1250"/>
    <w:rsid w:val="006F1965"/>
    <w:rsid w:val="006F63DB"/>
    <w:rsid w:val="006F6465"/>
    <w:rsid w:val="006F715C"/>
    <w:rsid w:val="006F7AFD"/>
    <w:rsid w:val="0070159D"/>
    <w:rsid w:val="007042E3"/>
    <w:rsid w:val="00707B7A"/>
    <w:rsid w:val="00714B41"/>
    <w:rsid w:val="00714F56"/>
    <w:rsid w:val="00716044"/>
    <w:rsid w:val="007164DD"/>
    <w:rsid w:val="00716653"/>
    <w:rsid w:val="0072373A"/>
    <w:rsid w:val="0072494E"/>
    <w:rsid w:val="00724AA7"/>
    <w:rsid w:val="00731123"/>
    <w:rsid w:val="0073336F"/>
    <w:rsid w:val="0073597E"/>
    <w:rsid w:val="0073702F"/>
    <w:rsid w:val="0074080A"/>
    <w:rsid w:val="00745A10"/>
    <w:rsid w:val="007460F8"/>
    <w:rsid w:val="00747A67"/>
    <w:rsid w:val="00750F21"/>
    <w:rsid w:val="007522DC"/>
    <w:rsid w:val="007557C0"/>
    <w:rsid w:val="0075590E"/>
    <w:rsid w:val="00760386"/>
    <w:rsid w:val="0076159F"/>
    <w:rsid w:val="00762FC5"/>
    <w:rsid w:val="007639C0"/>
    <w:rsid w:val="007642D0"/>
    <w:rsid w:val="00764486"/>
    <w:rsid w:val="00766A9B"/>
    <w:rsid w:val="00767340"/>
    <w:rsid w:val="00772E96"/>
    <w:rsid w:val="00774993"/>
    <w:rsid w:val="0077531E"/>
    <w:rsid w:val="00775E79"/>
    <w:rsid w:val="00776FF4"/>
    <w:rsid w:val="00780BD5"/>
    <w:rsid w:val="00781012"/>
    <w:rsid w:val="00782255"/>
    <w:rsid w:val="0078312C"/>
    <w:rsid w:val="0078331A"/>
    <w:rsid w:val="0078658D"/>
    <w:rsid w:val="007872C0"/>
    <w:rsid w:val="00790085"/>
    <w:rsid w:val="00794D86"/>
    <w:rsid w:val="00794F92"/>
    <w:rsid w:val="00795908"/>
    <w:rsid w:val="00795D5E"/>
    <w:rsid w:val="007963EF"/>
    <w:rsid w:val="007976CD"/>
    <w:rsid w:val="007A17A1"/>
    <w:rsid w:val="007A1E3B"/>
    <w:rsid w:val="007A20C9"/>
    <w:rsid w:val="007A3081"/>
    <w:rsid w:val="007A5B2B"/>
    <w:rsid w:val="007A7CF1"/>
    <w:rsid w:val="007B422D"/>
    <w:rsid w:val="007B5EA2"/>
    <w:rsid w:val="007C0428"/>
    <w:rsid w:val="007C3B22"/>
    <w:rsid w:val="007C4454"/>
    <w:rsid w:val="007D212A"/>
    <w:rsid w:val="007D24F0"/>
    <w:rsid w:val="007D40C5"/>
    <w:rsid w:val="007D42D2"/>
    <w:rsid w:val="007D4AC3"/>
    <w:rsid w:val="007E1B77"/>
    <w:rsid w:val="007E41BB"/>
    <w:rsid w:val="007E4640"/>
    <w:rsid w:val="007E4F51"/>
    <w:rsid w:val="007E6225"/>
    <w:rsid w:val="007E7CDD"/>
    <w:rsid w:val="007F2FBD"/>
    <w:rsid w:val="007F54E0"/>
    <w:rsid w:val="007F675E"/>
    <w:rsid w:val="007F6C0B"/>
    <w:rsid w:val="008007CD"/>
    <w:rsid w:val="00803230"/>
    <w:rsid w:val="00810D6D"/>
    <w:rsid w:val="00813C76"/>
    <w:rsid w:val="00814EEC"/>
    <w:rsid w:val="00814FCF"/>
    <w:rsid w:val="00815526"/>
    <w:rsid w:val="0081799B"/>
    <w:rsid w:val="00821279"/>
    <w:rsid w:val="00821DCD"/>
    <w:rsid w:val="00822672"/>
    <w:rsid w:val="00823821"/>
    <w:rsid w:val="0082484D"/>
    <w:rsid w:val="00830981"/>
    <w:rsid w:val="008318EE"/>
    <w:rsid w:val="0083336B"/>
    <w:rsid w:val="0083428F"/>
    <w:rsid w:val="00835238"/>
    <w:rsid w:val="008431DE"/>
    <w:rsid w:val="00843A72"/>
    <w:rsid w:val="00853101"/>
    <w:rsid w:val="008536E8"/>
    <w:rsid w:val="0086010F"/>
    <w:rsid w:val="008619AC"/>
    <w:rsid w:val="008621C7"/>
    <w:rsid w:val="00863C56"/>
    <w:rsid w:val="00864979"/>
    <w:rsid w:val="00865B9B"/>
    <w:rsid w:val="008661BE"/>
    <w:rsid w:val="00867F38"/>
    <w:rsid w:val="00870935"/>
    <w:rsid w:val="00875C8C"/>
    <w:rsid w:val="00876B4E"/>
    <w:rsid w:val="00877717"/>
    <w:rsid w:val="008806BE"/>
    <w:rsid w:val="00881585"/>
    <w:rsid w:val="0088236D"/>
    <w:rsid w:val="008823F9"/>
    <w:rsid w:val="0088427E"/>
    <w:rsid w:val="008844F0"/>
    <w:rsid w:val="0088526C"/>
    <w:rsid w:val="008857FB"/>
    <w:rsid w:val="008864CC"/>
    <w:rsid w:val="00886CFC"/>
    <w:rsid w:val="00890451"/>
    <w:rsid w:val="0089154D"/>
    <w:rsid w:val="00891718"/>
    <w:rsid w:val="008934E2"/>
    <w:rsid w:val="00893A7B"/>
    <w:rsid w:val="008941CB"/>
    <w:rsid w:val="008965A0"/>
    <w:rsid w:val="00896FC6"/>
    <w:rsid w:val="00897940"/>
    <w:rsid w:val="008A1249"/>
    <w:rsid w:val="008A1F98"/>
    <w:rsid w:val="008A46D9"/>
    <w:rsid w:val="008A47F2"/>
    <w:rsid w:val="008A480D"/>
    <w:rsid w:val="008B01A9"/>
    <w:rsid w:val="008B1ED0"/>
    <w:rsid w:val="008B2BE3"/>
    <w:rsid w:val="008B3477"/>
    <w:rsid w:val="008B5528"/>
    <w:rsid w:val="008B5543"/>
    <w:rsid w:val="008B7AE9"/>
    <w:rsid w:val="008C056E"/>
    <w:rsid w:val="008D12F5"/>
    <w:rsid w:val="008D181B"/>
    <w:rsid w:val="008D28DD"/>
    <w:rsid w:val="008D4B59"/>
    <w:rsid w:val="008D6030"/>
    <w:rsid w:val="008D6BB6"/>
    <w:rsid w:val="008D7311"/>
    <w:rsid w:val="008E0A2C"/>
    <w:rsid w:val="008E0B62"/>
    <w:rsid w:val="008E2713"/>
    <w:rsid w:val="008E31F5"/>
    <w:rsid w:val="008E3865"/>
    <w:rsid w:val="008E5001"/>
    <w:rsid w:val="008E7399"/>
    <w:rsid w:val="008F136B"/>
    <w:rsid w:val="008F54A5"/>
    <w:rsid w:val="008F7986"/>
    <w:rsid w:val="0090088A"/>
    <w:rsid w:val="00900DA5"/>
    <w:rsid w:val="00900DB6"/>
    <w:rsid w:val="00901F92"/>
    <w:rsid w:val="009117A4"/>
    <w:rsid w:val="00912BE5"/>
    <w:rsid w:val="009139C4"/>
    <w:rsid w:val="00914BCF"/>
    <w:rsid w:val="0091639F"/>
    <w:rsid w:val="009222A7"/>
    <w:rsid w:val="009229FD"/>
    <w:rsid w:val="009237D3"/>
    <w:rsid w:val="0092601A"/>
    <w:rsid w:val="009336AF"/>
    <w:rsid w:val="00934C0D"/>
    <w:rsid w:val="00937FF1"/>
    <w:rsid w:val="00940100"/>
    <w:rsid w:val="009432F9"/>
    <w:rsid w:val="009472B1"/>
    <w:rsid w:val="00950D42"/>
    <w:rsid w:val="0095312A"/>
    <w:rsid w:val="009547DC"/>
    <w:rsid w:val="009631C1"/>
    <w:rsid w:val="00964DFC"/>
    <w:rsid w:val="009653BD"/>
    <w:rsid w:val="00970144"/>
    <w:rsid w:val="00971C0B"/>
    <w:rsid w:val="009727B0"/>
    <w:rsid w:val="009736A1"/>
    <w:rsid w:val="0097422F"/>
    <w:rsid w:val="009772F9"/>
    <w:rsid w:val="009777F1"/>
    <w:rsid w:val="00980981"/>
    <w:rsid w:val="00980D39"/>
    <w:rsid w:val="0098126C"/>
    <w:rsid w:val="00981315"/>
    <w:rsid w:val="00984F66"/>
    <w:rsid w:val="00987107"/>
    <w:rsid w:val="0099078E"/>
    <w:rsid w:val="009907F1"/>
    <w:rsid w:val="00990CD6"/>
    <w:rsid w:val="00990D47"/>
    <w:rsid w:val="009936C7"/>
    <w:rsid w:val="00995D82"/>
    <w:rsid w:val="00995FF7"/>
    <w:rsid w:val="0099763C"/>
    <w:rsid w:val="009A0948"/>
    <w:rsid w:val="009A127A"/>
    <w:rsid w:val="009A256D"/>
    <w:rsid w:val="009A4952"/>
    <w:rsid w:val="009A4BDB"/>
    <w:rsid w:val="009A4ED1"/>
    <w:rsid w:val="009A63AD"/>
    <w:rsid w:val="009B06F8"/>
    <w:rsid w:val="009B4D34"/>
    <w:rsid w:val="009C240A"/>
    <w:rsid w:val="009C5792"/>
    <w:rsid w:val="009C7E99"/>
    <w:rsid w:val="009D1A2C"/>
    <w:rsid w:val="009D1B96"/>
    <w:rsid w:val="009D217E"/>
    <w:rsid w:val="009D5723"/>
    <w:rsid w:val="009D658D"/>
    <w:rsid w:val="009D7D0C"/>
    <w:rsid w:val="009E10C4"/>
    <w:rsid w:val="009E18B3"/>
    <w:rsid w:val="009E2B2F"/>
    <w:rsid w:val="009E2BE0"/>
    <w:rsid w:val="009E43DC"/>
    <w:rsid w:val="009E46AE"/>
    <w:rsid w:val="009E507C"/>
    <w:rsid w:val="009E53DE"/>
    <w:rsid w:val="009F3B9E"/>
    <w:rsid w:val="009F4FE3"/>
    <w:rsid w:val="009F51AF"/>
    <w:rsid w:val="009F58E3"/>
    <w:rsid w:val="009F64FB"/>
    <w:rsid w:val="009F6DC2"/>
    <w:rsid w:val="009F6FB7"/>
    <w:rsid w:val="009F781D"/>
    <w:rsid w:val="00A02F14"/>
    <w:rsid w:val="00A03B2C"/>
    <w:rsid w:val="00A051B8"/>
    <w:rsid w:val="00A05E59"/>
    <w:rsid w:val="00A107A4"/>
    <w:rsid w:val="00A10D90"/>
    <w:rsid w:val="00A13DFA"/>
    <w:rsid w:val="00A140DB"/>
    <w:rsid w:val="00A1493A"/>
    <w:rsid w:val="00A16219"/>
    <w:rsid w:val="00A17537"/>
    <w:rsid w:val="00A22CFF"/>
    <w:rsid w:val="00A23A83"/>
    <w:rsid w:val="00A23D60"/>
    <w:rsid w:val="00A24266"/>
    <w:rsid w:val="00A24B86"/>
    <w:rsid w:val="00A2512A"/>
    <w:rsid w:val="00A2515D"/>
    <w:rsid w:val="00A25283"/>
    <w:rsid w:val="00A259FC"/>
    <w:rsid w:val="00A307B5"/>
    <w:rsid w:val="00A31136"/>
    <w:rsid w:val="00A3301A"/>
    <w:rsid w:val="00A375FD"/>
    <w:rsid w:val="00A41309"/>
    <w:rsid w:val="00A4188E"/>
    <w:rsid w:val="00A4229F"/>
    <w:rsid w:val="00A46954"/>
    <w:rsid w:val="00A510C3"/>
    <w:rsid w:val="00A51B8A"/>
    <w:rsid w:val="00A51C26"/>
    <w:rsid w:val="00A534B7"/>
    <w:rsid w:val="00A55C7C"/>
    <w:rsid w:val="00A61B4F"/>
    <w:rsid w:val="00A63396"/>
    <w:rsid w:val="00A6547F"/>
    <w:rsid w:val="00A65921"/>
    <w:rsid w:val="00A73128"/>
    <w:rsid w:val="00A736AB"/>
    <w:rsid w:val="00A769B2"/>
    <w:rsid w:val="00A76AC5"/>
    <w:rsid w:val="00A81185"/>
    <w:rsid w:val="00A83846"/>
    <w:rsid w:val="00A862C8"/>
    <w:rsid w:val="00A86FFB"/>
    <w:rsid w:val="00A903A8"/>
    <w:rsid w:val="00A93FA1"/>
    <w:rsid w:val="00A940F5"/>
    <w:rsid w:val="00A976FD"/>
    <w:rsid w:val="00AA1F37"/>
    <w:rsid w:val="00AA29EA"/>
    <w:rsid w:val="00AA3294"/>
    <w:rsid w:val="00AA6017"/>
    <w:rsid w:val="00AB43EE"/>
    <w:rsid w:val="00AB63B8"/>
    <w:rsid w:val="00AC4237"/>
    <w:rsid w:val="00AC7058"/>
    <w:rsid w:val="00AD29F0"/>
    <w:rsid w:val="00AD2BD4"/>
    <w:rsid w:val="00AD679B"/>
    <w:rsid w:val="00AD6B1B"/>
    <w:rsid w:val="00AD7228"/>
    <w:rsid w:val="00AE0589"/>
    <w:rsid w:val="00AE0E12"/>
    <w:rsid w:val="00AE24FA"/>
    <w:rsid w:val="00AE4264"/>
    <w:rsid w:val="00AE4471"/>
    <w:rsid w:val="00AE52ED"/>
    <w:rsid w:val="00AE592D"/>
    <w:rsid w:val="00AE5E3A"/>
    <w:rsid w:val="00AF0A90"/>
    <w:rsid w:val="00AF0C99"/>
    <w:rsid w:val="00AF149E"/>
    <w:rsid w:val="00AF25F2"/>
    <w:rsid w:val="00AF61F9"/>
    <w:rsid w:val="00B010EE"/>
    <w:rsid w:val="00B02E25"/>
    <w:rsid w:val="00B05298"/>
    <w:rsid w:val="00B05540"/>
    <w:rsid w:val="00B05E7C"/>
    <w:rsid w:val="00B1096F"/>
    <w:rsid w:val="00B15810"/>
    <w:rsid w:val="00B21F79"/>
    <w:rsid w:val="00B221DF"/>
    <w:rsid w:val="00B23FEB"/>
    <w:rsid w:val="00B2490D"/>
    <w:rsid w:val="00B27A47"/>
    <w:rsid w:val="00B31F63"/>
    <w:rsid w:val="00B33C15"/>
    <w:rsid w:val="00B352D9"/>
    <w:rsid w:val="00B3602B"/>
    <w:rsid w:val="00B3696E"/>
    <w:rsid w:val="00B41B19"/>
    <w:rsid w:val="00B446DF"/>
    <w:rsid w:val="00B4472F"/>
    <w:rsid w:val="00B46B1C"/>
    <w:rsid w:val="00B50197"/>
    <w:rsid w:val="00B506EC"/>
    <w:rsid w:val="00B524E2"/>
    <w:rsid w:val="00B56303"/>
    <w:rsid w:val="00B62E40"/>
    <w:rsid w:val="00B65F59"/>
    <w:rsid w:val="00B663EA"/>
    <w:rsid w:val="00B67749"/>
    <w:rsid w:val="00B732B6"/>
    <w:rsid w:val="00B739AC"/>
    <w:rsid w:val="00B73C33"/>
    <w:rsid w:val="00B74D9F"/>
    <w:rsid w:val="00B771AC"/>
    <w:rsid w:val="00B77F24"/>
    <w:rsid w:val="00B81BBB"/>
    <w:rsid w:val="00B831A2"/>
    <w:rsid w:val="00B84D2A"/>
    <w:rsid w:val="00B87042"/>
    <w:rsid w:val="00B938DA"/>
    <w:rsid w:val="00B964E9"/>
    <w:rsid w:val="00B96CF1"/>
    <w:rsid w:val="00B973A5"/>
    <w:rsid w:val="00B9742D"/>
    <w:rsid w:val="00BA0574"/>
    <w:rsid w:val="00BA0C4F"/>
    <w:rsid w:val="00BA0FDA"/>
    <w:rsid w:val="00BA137D"/>
    <w:rsid w:val="00BA1F56"/>
    <w:rsid w:val="00BA3FD2"/>
    <w:rsid w:val="00BA5953"/>
    <w:rsid w:val="00BA6A30"/>
    <w:rsid w:val="00BA7A6C"/>
    <w:rsid w:val="00BB35FC"/>
    <w:rsid w:val="00BB78C8"/>
    <w:rsid w:val="00BC0559"/>
    <w:rsid w:val="00BC21E2"/>
    <w:rsid w:val="00BC4253"/>
    <w:rsid w:val="00BC4D2B"/>
    <w:rsid w:val="00BC5796"/>
    <w:rsid w:val="00BC64B6"/>
    <w:rsid w:val="00BC6C77"/>
    <w:rsid w:val="00BD193E"/>
    <w:rsid w:val="00BD4BFE"/>
    <w:rsid w:val="00BD56F0"/>
    <w:rsid w:val="00BD7197"/>
    <w:rsid w:val="00BE0010"/>
    <w:rsid w:val="00BE059A"/>
    <w:rsid w:val="00BE2FC6"/>
    <w:rsid w:val="00BE3012"/>
    <w:rsid w:val="00BE4595"/>
    <w:rsid w:val="00BE64C7"/>
    <w:rsid w:val="00BF11D1"/>
    <w:rsid w:val="00BF2DC1"/>
    <w:rsid w:val="00BF4214"/>
    <w:rsid w:val="00BF552A"/>
    <w:rsid w:val="00BF7A10"/>
    <w:rsid w:val="00C014DC"/>
    <w:rsid w:val="00C01C27"/>
    <w:rsid w:val="00C03181"/>
    <w:rsid w:val="00C03429"/>
    <w:rsid w:val="00C03B81"/>
    <w:rsid w:val="00C06E52"/>
    <w:rsid w:val="00C10C1E"/>
    <w:rsid w:val="00C11C24"/>
    <w:rsid w:val="00C12B18"/>
    <w:rsid w:val="00C145DB"/>
    <w:rsid w:val="00C14D34"/>
    <w:rsid w:val="00C20840"/>
    <w:rsid w:val="00C21887"/>
    <w:rsid w:val="00C228FC"/>
    <w:rsid w:val="00C23B65"/>
    <w:rsid w:val="00C241CF"/>
    <w:rsid w:val="00C273AA"/>
    <w:rsid w:val="00C27BD2"/>
    <w:rsid w:val="00C30607"/>
    <w:rsid w:val="00C3445B"/>
    <w:rsid w:val="00C348CF"/>
    <w:rsid w:val="00C37D42"/>
    <w:rsid w:val="00C40A6E"/>
    <w:rsid w:val="00C423C2"/>
    <w:rsid w:val="00C44121"/>
    <w:rsid w:val="00C441E6"/>
    <w:rsid w:val="00C45EAB"/>
    <w:rsid w:val="00C46631"/>
    <w:rsid w:val="00C50D64"/>
    <w:rsid w:val="00C51618"/>
    <w:rsid w:val="00C52791"/>
    <w:rsid w:val="00C53D1A"/>
    <w:rsid w:val="00C549AB"/>
    <w:rsid w:val="00C56179"/>
    <w:rsid w:val="00C63138"/>
    <w:rsid w:val="00C6395B"/>
    <w:rsid w:val="00C63E97"/>
    <w:rsid w:val="00C666ED"/>
    <w:rsid w:val="00C66AAA"/>
    <w:rsid w:val="00C714AD"/>
    <w:rsid w:val="00C74F05"/>
    <w:rsid w:val="00C755F6"/>
    <w:rsid w:val="00C8029B"/>
    <w:rsid w:val="00C82AD9"/>
    <w:rsid w:val="00C846F9"/>
    <w:rsid w:val="00C85D7B"/>
    <w:rsid w:val="00C86239"/>
    <w:rsid w:val="00C8764F"/>
    <w:rsid w:val="00C87F16"/>
    <w:rsid w:val="00C93302"/>
    <w:rsid w:val="00CA0214"/>
    <w:rsid w:val="00CA034C"/>
    <w:rsid w:val="00CA1958"/>
    <w:rsid w:val="00CA2406"/>
    <w:rsid w:val="00CA2A28"/>
    <w:rsid w:val="00CA4026"/>
    <w:rsid w:val="00CA4B9F"/>
    <w:rsid w:val="00CB0063"/>
    <w:rsid w:val="00CB0CF7"/>
    <w:rsid w:val="00CB3547"/>
    <w:rsid w:val="00CB4ED6"/>
    <w:rsid w:val="00CB516C"/>
    <w:rsid w:val="00CB65AF"/>
    <w:rsid w:val="00CB7A67"/>
    <w:rsid w:val="00CC053F"/>
    <w:rsid w:val="00CC1B1C"/>
    <w:rsid w:val="00CC2ED2"/>
    <w:rsid w:val="00CC3409"/>
    <w:rsid w:val="00CC3C12"/>
    <w:rsid w:val="00CC765D"/>
    <w:rsid w:val="00CD08AE"/>
    <w:rsid w:val="00CD51A2"/>
    <w:rsid w:val="00CE1AD9"/>
    <w:rsid w:val="00CE2E87"/>
    <w:rsid w:val="00CE3CC4"/>
    <w:rsid w:val="00CE4CEE"/>
    <w:rsid w:val="00CE4DD0"/>
    <w:rsid w:val="00CE65C2"/>
    <w:rsid w:val="00CE77C7"/>
    <w:rsid w:val="00CF131B"/>
    <w:rsid w:val="00CF1345"/>
    <w:rsid w:val="00CF5BAF"/>
    <w:rsid w:val="00CF6871"/>
    <w:rsid w:val="00CF70BC"/>
    <w:rsid w:val="00D00A36"/>
    <w:rsid w:val="00D0100A"/>
    <w:rsid w:val="00D01786"/>
    <w:rsid w:val="00D01D3A"/>
    <w:rsid w:val="00D066CF"/>
    <w:rsid w:val="00D103CD"/>
    <w:rsid w:val="00D10AF0"/>
    <w:rsid w:val="00D11D54"/>
    <w:rsid w:val="00D16FB4"/>
    <w:rsid w:val="00D1742A"/>
    <w:rsid w:val="00D23C11"/>
    <w:rsid w:val="00D2520B"/>
    <w:rsid w:val="00D26002"/>
    <w:rsid w:val="00D2664C"/>
    <w:rsid w:val="00D27932"/>
    <w:rsid w:val="00D27BA4"/>
    <w:rsid w:val="00D30A57"/>
    <w:rsid w:val="00D31F3E"/>
    <w:rsid w:val="00D3208E"/>
    <w:rsid w:val="00D4019A"/>
    <w:rsid w:val="00D41106"/>
    <w:rsid w:val="00D43D18"/>
    <w:rsid w:val="00D457E2"/>
    <w:rsid w:val="00D459B9"/>
    <w:rsid w:val="00D50F1A"/>
    <w:rsid w:val="00D52FA8"/>
    <w:rsid w:val="00D563AB"/>
    <w:rsid w:val="00D576C6"/>
    <w:rsid w:val="00D5794F"/>
    <w:rsid w:val="00D63DEA"/>
    <w:rsid w:val="00D6497F"/>
    <w:rsid w:val="00D70028"/>
    <w:rsid w:val="00D71327"/>
    <w:rsid w:val="00D71C13"/>
    <w:rsid w:val="00D73480"/>
    <w:rsid w:val="00D75614"/>
    <w:rsid w:val="00D77A39"/>
    <w:rsid w:val="00D80383"/>
    <w:rsid w:val="00D8151F"/>
    <w:rsid w:val="00D81A2F"/>
    <w:rsid w:val="00D81E2D"/>
    <w:rsid w:val="00D8388C"/>
    <w:rsid w:val="00D85CBB"/>
    <w:rsid w:val="00D86835"/>
    <w:rsid w:val="00D871DD"/>
    <w:rsid w:val="00D91C51"/>
    <w:rsid w:val="00D93FB7"/>
    <w:rsid w:val="00D963EC"/>
    <w:rsid w:val="00DA065C"/>
    <w:rsid w:val="00DA0723"/>
    <w:rsid w:val="00DA33D2"/>
    <w:rsid w:val="00DA412D"/>
    <w:rsid w:val="00DA5AE7"/>
    <w:rsid w:val="00DB4C44"/>
    <w:rsid w:val="00DB5538"/>
    <w:rsid w:val="00DB6D83"/>
    <w:rsid w:val="00DB77E4"/>
    <w:rsid w:val="00DB7D75"/>
    <w:rsid w:val="00DC03E8"/>
    <w:rsid w:val="00DC0B65"/>
    <w:rsid w:val="00DC102E"/>
    <w:rsid w:val="00DC5202"/>
    <w:rsid w:val="00DC547E"/>
    <w:rsid w:val="00DC5735"/>
    <w:rsid w:val="00DC6B5C"/>
    <w:rsid w:val="00DD1217"/>
    <w:rsid w:val="00DD26A1"/>
    <w:rsid w:val="00DD2AEB"/>
    <w:rsid w:val="00DD2C60"/>
    <w:rsid w:val="00DD36BB"/>
    <w:rsid w:val="00DD45B2"/>
    <w:rsid w:val="00DD6C1A"/>
    <w:rsid w:val="00DE04FE"/>
    <w:rsid w:val="00DE59E1"/>
    <w:rsid w:val="00DE734D"/>
    <w:rsid w:val="00DF0DA3"/>
    <w:rsid w:val="00DF179C"/>
    <w:rsid w:val="00DF2448"/>
    <w:rsid w:val="00DF30B5"/>
    <w:rsid w:val="00E006E2"/>
    <w:rsid w:val="00E00CDD"/>
    <w:rsid w:val="00E00D00"/>
    <w:rsid w:val="00E03A59"/>
    <w:rsid w:val="00E0472E"/>
    <w:rsid w:val="00E04E24"/>
    <w:rsid w:val="00E06F2D"/>
    <w:rsid w:val="00E10E05"/>
    <w:rsid w:val="00E13070"/>
    <w:rsid w:val="00E14F03"/>
    <w:rsid w:val="00E15704"/>
    <w:rsid w:val="00E15998"/>
    <w:rsid w:val="00E17651"/>
    <w:rsid w:val="00E212F4"/>
    <w:rsid w:val="00E232A6"/>
    <w:rsid w:val="00E240B0"/>
    <w:rsid w:val="00E25077"/>
    <w:rsid w:val="00E27604"/>
    <w:rsid w:val="00E279EE"/>
    <w:rsid w:val="00E31930"/>
    <w:rsid w:val="00E35E2C"/>
    <w:rsid w:val="00E3734C"/>
    <w:rsid w:val="00E406AF"/>
    <w:rsid w:val="00E408E1"/>
    <w:rsid w:val="00E4097B"/>
    <w:rsid w:val="00E4420D"/>
    <w:rsid w:val="00E45A34"/>
    <w:rsid w:val="00E510D6"/>
    <w:rsid w:val="00E51B34"/>
    <w:rsid w:val="00E53022"/>
    <w:rsid w:val="00E55243"/>
    <w:rsid w:val="00E55624"/>
    <w:rsid w:val="00E569E3"/>
    <w:rsid w:val="00E60512"/>
    <w:rsid w:val="00E60C62"/>
    <w:rsid w:val="00E62479"/>
    <w:rsid w:val="00E62E6A"/>
    <w:rsid w:val="00E63BE8"/>
    <w:rsid w:val="00E63D84"/>
    <w:rsid w:val="00E64E5D"/>
    <w:rsid w:val="00E6741F"/>
    <w:rsid w:val="00E6749F"/>
    <w:rsid w:val="00E67A21"/>
    <w:rsid w:val="00E67A6E"/>
    <w:rsid w:val="00E7005E"/>
    <w:rsid w:val="00E710C1"/>
    <w:rsid w:val="00E713A6"/>
    <w:rsid w:val="00E7166C"/>
    <w:rsid w:val="00E716E5"/>
    <w:rsid w:val="00E725A6"/>
    <w:rsid w:val="00E75434"/>
    <w:rsid w:val="00E76F82"/>
    <w:rsid w:val="00E77ED0"/>
    <w:rsid w:val="00E80085"/>
    <w:rsid w:val="00E8090E"/>
    <w:rsid w:val="00E80E9C"/>
    <w:rsid w:val="00E81464"/>
    <w:rsid w:val="00E839BC"/>
    <w:rsid w:val="00E858EC"/>
    <w:rsid w:val="00E865FB"/>
    <w:rsid w:val="00E91729"/>
    <w:rsid w:val="00E97008"/>
    <w:rsid w:val="00E9782B"/>
    <w:rsid w:val="00EA1AF5"/>
    <w:rsid w:val="00EA22A3"/>
    <w:rsid w:val="00EA22D0"/>
    <w:rsid w:val="00EA29A3"/>
    <w:rsid w:val="00EA3785"/>
    <w:rsid w:val="00EA45A4"/>
    <w:rsid w:val="00EB0A15"/>
    <w:rsid w:val="00EB1211"/>
    <w:rsid w:val="00EB1517"/>
    <w:rsid w:val="00EB2890"/>
    <w:rsid w:val="00EB5FA3"/>
    <w:rsid w:val="00EB6FA7"/>
    <w:rsid w:val="00EC1645"/>
    <w:rsid w:val="00EC1828"/>
    <w:rsid w:val="00EC2FF1"/>
    <w:rsid w:val="00ED2E8A"/>
    <w:rsid w:val="00ED48F7"/>
    <w:rsid w:val="00ED515B"/>
    <w:rsid w:val="00EE0070"/>
    <w:rsid w:val="00EE4409"/>
    <w:rsid w:val="00EE55F0"/>
    <w:rsid w:val="00EF0A20"/>
    <w:rsid w:val="00EF5668"/>
    <w:rsid w:val="00EF6088"/>
    <w:rsid w:val="00F06A60"/>
    <w:rsid w:val="00F12288"/>
    <w:rsid w:val="00F12AA9"/>
    <w:rsid w:val="00F138BC"/>
    <w:rsid w:val="00F150FB"/>
    <w:rsid w:val="00F16256"/>
    <w:rsid w:val="00F16358"/>
    <w:rsid w:val="00F16AC2"/>
    <w:rsid w:val="00F16DD8"/>
    <w:rsid w:val="00F26D68"/>
    <w:rsid w:val="00F31D3F"/>
    <w:rsid w:val="00F326F8"/>
    <w:rsid w:val="00F332D5"/>
    <w:rsid w:val="00F354A1"/>
    <w:rsid w:val="00F35BAA"/>
    <w:rsid w:val="00F35C46"/>
    <w:rsid w:val="00F35CFA"/>
    <w:rsid w:val="00F37DBA"/>
    <w:rsid w:val="00F41708"/>
    <w:rsid w:val="00F419E1"/>
    <w:rsid w:val="00F4225D"/>
    <w:rsid w:val="00F45DCA"/>
    <w:rsid w:val="00F466B0"/>
    <w:rsid w:val="00F46C4F"/>
    <w:rsid w:val="00F506EC"/>
    <w:rsid w:val="00F53B2D"/>
    <w:rsid w:val="00F5455A"/>
    <w:rsid w:val="00F55A48"/>
    <w:rsid w:val="00F569E0"/>
    <w:rsid w:val="00F63CF3"/>
    <w:rsid w:val="00F63E2F"/>
    <w:rsid w:val="00F65273"/>
    <w:rsid w:val="00F6577B"/>
    <w:rsid w:val="00F71FED"/>
    <w:rsid w:val="00F723AC"/>
    <w:rsid w:val="00F72EC4"/>
    <w:rsid w:val="00F76138"/>
    <w:rsid w:val="00F77425"/>
    <w:rsid w:val="00F814BB"/>
    <w:rsid w:val="00F85704"/>
    <w:rsid w:val="00F87973"/>
    <w:rsid w:val="00F87DC2"/>
    <w:rsid w:val="00F9168B"/>
    <w:rsid w:val="00F91BCC"/>
    <w:rsid w:val="00F94B00"/>
    <w:rsid w:val="00F9668F"/>
    <w:rsid w:val="00F96AEE"/>
    <w:rsid w:val="00FA048B"/>
    <w:rsid w:val="00FA0C78"/>
    <w:rsid w:val="00FA3622"/>
    <w:rsid w:val="00FA4BE8"/>
    <w:rsid w:val="00FA70AD"/>
    <w:rsid w:val="00FA7E36"/>
    <w:rsid w:val="00FB0483"/>
    <w:rsid w:val="00FB17D0"/>
    <w:rsid w:val="00FB23E4"/>
    <w:rsid w:val="00FB511F"/>
    <w:rsid w:val="00FB5252"/>
    <w:rsid w:val="00FC01F4"/>
    <w:rsid w:val="00FC0885"/>
    <w:rsid w:val="00FC0A13"/>
    <w:rsid w:val="00FC2845"/>
    <w:rsid w:val="00FC2D20"/>
    <w:rsid w:val="00FC6003"/>
    <w:rsid w:val="00FC6789"/>
    <w:rsid w:val="00FC7B45"/>
    <w:rsid w:val="00FD0ACE"/>
    <w:rsid w:val="00FD12BF"/>
    <w:rsid w:val="00FD2016"/>
    <w:rsid w:val="00FD27B7"/>
    <w:rsid w:val="00FD685E"/>
    <w:rsid w:val="00FD719C"/>
    <w:rsid w:val="00FE3EC7"/>
    <w:rsid w:val="00FE4D24"/>
    <w:rsid w:val="00FE5865"/>
    <w:rsid w:val="00FE6756"/>
    <w:rsid w:val="00FF04D9"/>
    <w:rsid w:val="00FF47D7"/>
    <w:rsid w:val="00FF5426"/>
    <w:rsid w:val="00FF6430"/>
    <w:rsid w:val="00FF665A"/>
    <w:rsid w:val="00FF68D1"/>
    <w:rsid w:val="00FF6F6D"/>
    <w:rsid w:val="02600CC2"/>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9" w:name="heading 5"/>
    <w:lsdException w:qFormat="1" w:uiPriority="9" w:name="heading 6"/>
    <w:lsdException w:qFormat="1" w:uiPriority="9"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semiHidden="0" w:name="footnote text"/>
    <w:lsdException w:qFormat="1" w:uiPriority="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uiPriority="99" w:name="endnote text"/>
    <w:lsdException w:uiPriority="99" w:name="table of authorities"/>
    <w:lsdException w:uiPriority="99" w:name="macro"/>
    <w:lsdException w:uiPriority="99" w:name="toa heading"/>
    <w:lsdException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0" w:name="Body Text 2"/>
    <w:lsdException w:uiPriority="99" w:name="Body Text 3"/>
    <w:lsdException w:qFormat="1" w:uiPriority="99" w:name="Body Text Indent 2"/>
    <w:lsdException w:qFormat="1" w:uiPriority="99" w:semiHidden="0" w:name="Body Text Indent 3"/>
    <w:lsdException w:uiPriority="99" w:name="Block Text"/>
    <w:lsdException w:qFormat="1"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lv-LV" w:eastAsia="en-US" w:bidi="ar-SA"/>
    </w:rPr>
  </w:style>
  <w:style w:type="paragraph" w:styleId="2">
    <w:name w:val="heading 1"/>
    <w:basedOn w:val="1"/>
    <w:next w:val="1"/>
    <w:link w:val="31"/>
    <w:qFormat/>
    <w:uiPriority w:val="0"/>
    <w:pPr>
      <w:keepNext/>
      <w:spacing w:before="240" w:after="60" w:line="276" w:lineRule="auto"/>
      <w:outlineLvl w:val="0"/>
    </w:pPr>
    <w:rPr>
      <w:rFonts w:ascii="Arial" w:hAnsi="Arial" w:eastAsia="Calibri" w:cs="Arial"/>
      <w:b/>
      <w:bCs/>
      <w:kern w:val="32"/>
      <w:sz w:val="32"/>
      <w:szCs w:val="32"/>
      <w:lang w:val="en-US"/>
    </w:rPr>
  </w:style>
  <w:style w:type="paragraph" w:styleId="3">
    <w:name w:val="heading 2"/>
    <w:basedOn w:val="1"/>
    <w:next w:val="1"/>
    <w:link w:val="32"/>
    <w:semiHidden/>
    <w:unhideWhenUsed/>
    <w:qFormat/>
    <w:uiPriority w:val="0"/>
    <w:pPr>
      <w:keepNext/>
      <w:widowControl w:val="0"/>
      <w:overflowPunct w:val="0"/>
      <w:autoSpaceDE w:val="0"/>
      <w:autoSpaceDN w:val="0"/>
      <w:adjustRightInd w:val="0"/>
      <w:spacing w:before="240" w:after="60" w:line="240" w:lineRule="auto"/>
      <w:outlineLvl w:val="1"/>
    </w:pPr>
    <w:rPr>
      <w:rFonts w:ascii="Arial" w:hAnsi="Arial" w:eastAsia="Times New Roman" w:cs="Arial"/>
      <w:b/>
      <w:bCs/>
      <w:i/>
      <w:iCs/>
      <w:kern w:val="28"/>
      <w:sz w:val="28"/>
      <w:szCs w:val="28"/>
      <w:lang w:val="en-GB" w:eastAsia="lv-LV"/>
    </w:rPr>
  </w:style>
  <w:style w:type="paragraph" w:styleId="4">
    <w:name w:val="heading 3"/>
    <w:basedOn w:val="1"/>
    <w:next w:val="1"/>
    <w:link w:val="33"/>
    <w:semiHidden/>
    <w:unhideWhenUsed/>
    <w:qFormat/>
    <w:uiPriority w:val="0"/>
    <w:pPr>
      <w:keepNext/>
      <w:spacing w:before="240" w:after="60" w:line="276" w:lineRule="auto"/>
      <w:outlineLvl w:val="2"/>
    </w:pPr>
    <w:rPr>
      <w:rFonts w:ascii="Arial" w:hAnsi="Arial" w:eastAsia="Calibri" w:cs="Arial"/>
      <w:b/>
      <w:bCs/>
      <w:sz w:val="26"/>
      <w:szCs w:val="26"/>
      <w:lang w:val="en-US"/>
    </w:rPr>
  </w:style>
  <w:style w:type="paragraph" w:styleId="5">
    <w:name w:val="heading 4"/>
    <w:basedOn w:val="1"/>
    <w:next w:val="1"/>
    <w:link w:val="34"/>
    <w:semiHidden/>
    <w:unhideWhenUsed/>
    <w:qFormat/>
    <w:uiPriority w:val="0"/>
    <w:pPr>
      <w:keepNext/>
      <w:spacing w:before="240" w:after="60" w:line="276" w:lineRule="auto"/>
      <w:outlineLvl w:val="3"/>
    </w:pPr>
    <w:rPr>
      <w:rFonts w:ascii="Times New Roman" w:hAnsi="Times New Roman" w:eastAsia="Calibri" w:cs="Times New Roman"/>
      <w:b/>
      <w:bCs/>
      <w:sz w:val="28"/>
      <w:szCs w:val="28"/>
      <w:lang w:val="en-US"/>
    </w:rPr>
  </w:style>
  <w:style w:type="paragraph" w:styleId="6">
    <w:name w:val="heading 8"/>
    <w:basedOn w:val="1"/>
    <w:next w:val="7"/>
    <w:link w:val="35"/>
    <w:semiHidden/>
    <w:unhideWhenUsed/>
    <w:qFormat/>
    <w:uiPriority w:val="0"/>
    <w:pPr>
      <w:keepNext/>
      <w:widowControl w:val="0"/>
      <w:numPr>
        <w:ilvl w:val="7"/>
        <w:numId w:val="1"/>
      </w:numPr>
      <w:suppressAutoHyphens/>
      <w:spacing w:before="240" w:after="120" w:line="240" w:lineRule="auto"/>
      <w:outlineLvl w:val="7"/>
    </w:pPr>
    <w:rPr>
      <w:rFonts w:ascii="Arial" w:hAnsi="Arial" w:eastAsia="MS Mincho" w:cs="Tahoma"/>
      <w:b/>
      <w:bCs/>
      <w:sz w:val="21"/>
      <w:szCs w:val="21"/>
      <w:lang w:eastAsia="lv-LV"/>
    </w:rPr>
  </w:style>
  <w:style w:type="paragraph" w:styleId="8">
    <w:name w:val="heading 9"/>
    <w:basedOn w:val="1"/>
    <w:next w:val="7"/>
    <w:link w:val="36"/>
    <w:semiHidden/>
    <w:unhideWhenUsed/>
    <w:qFormat/>
    <w:uiPriority w:val="0"/>
    <w:pPr>
      <w:keepNext/>
      <w:widowControl w:val="0"/>
      <w:numPr>
        <w:ilvl w:val="8"/>
        <w:numId w:val="1"/>
      </w:numPr>
      <w:suppressAutoHyphens/>
      <w:spacing w:before="240" w:after="120" w:line="240" w:lineRule="auto"/>
      <w:outlineLvl w:val="8"/>
    </w:pPr>
    <w:rPr>
      <w:rFonts w:ascii="Arial" w:hAnsi="Arial" w:eastAsia="MS Mincho" w:cs="Tahoma"/>
      <w:b/>
      <w:bCs/>
      <w:sz w:val="21"/>
      <w:szCs w:val="21"/>
      <w:lang w:eastAsia="lv-LV"/>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7">
    <w:name w:val="Body Text"/>
    <w:basedOn w:val="1"/>
    <w:link w:val="41"/>
    <w:semiHidden/>
    <w:unhideWhenUsed/>
    <w:qFormat/>
    <w:uiPriority w:val="0"/>
    <w:pPr>
      <w:spacing w:after="120"/>
    </w:pPr>
  </w:style>
  <w:style w:type="paragraph" w:styleId="11">
    <w:name w:val="Balloon Text"/>
    <w:basedOn w:val="1"/>
    <w:link w:val="40"/>
    <w:unhideWhenUsed/>
    <w:qFormat/>
    <w:uiPriority w:val="99"/>
    <w:pPr>
      <w:spacing w:after="0" w:line="240" w:lineRule="auto"/>
    </w:pPr>
    <w:rPr>
      <w:rFonts w:ascii="Segoe UI" w:hAnsi="Segoe UI" w:cs="Segoe UI"/>
      <w:sz w:val="18"/>
      <w:szCs w:val="18"/>
    </w:rPr>
  </w:style>
  <w:style w:type="paragraph" w:styleId="12">
    <w:name w:val="Body Text 2"/>
    <w:basedOn w:val="1"/>
    <w:link w:val="54"/>
    <w:semiHidden/>
    <w:unhideWhenUsed/>
    <w:qFormat/>
    <w:uiPriority w:val="0"/>
    <w:pPr>
      <w:spacing w:after="120" w:line="480" w:lineRule="auto"/>
    </w:pPr>
    <w:rPr>
      <w:rFonts w:ascii="Calibri" w:hAnsi="Calibri" w:eastAsia="Calibri" w:cs="Times New Roman"/>
      <w:lang w:val="en-US"/>
    </w:rPr>
  </w:style>
  <w:style w:type="paragraph" w:styleId="13">
    <w:name w:val="Body Text Indent 2"/>
    <w:basedOn w:val="1"/>
    <w:link w:val="46"/>
    <w:semiHidden/>
    <w:unhideWhenUsed/>
    <w:qFormat/>
    <w:uiPriority w:val="99"/>
    <w:pPr>
      <w:spacing w:after="120" w:line="480" w:lineRule="auto"/>
      <w:ind w:left="283"/>
    </w:pPr>
  </w:style>
  <w:style w:type="paragraph" w:styleId="14">
    <w:name w:val="Body Text Indent 3"/>
    <w:basedOn w:val="1"/>
    <w:link w:val="47"/>
    <w:unhideWhenUsed/>
    <w:qFormat/>
    <w:uiPriority w:val="99"/>
    <w:pPr>
      <w:spacing w:after="120"/>
      <w:ind w:left="283"/>
    </w:pPr>
    <w:rPr>
      <w:sz w:val="16"/>
      <w:szCs w:val="16"/>
    </w:rPr>
  </w:style>
  <w:style w:type="paragraph" w:styleId="15">
    <w:name w:val="annotation text"/>
    <w:basedOn w:val="1"/>
    <w:link w:val="52"/>
    <w:semiHidden/>
    <w:unhideWhenUsed/>
    <w:qFormat/>
    <w:uiPriority w:val="0"/>
    <w:pPr>
      <w:spacing w:after="0" w:line="240" w:lineRule="auto"/>
    </w:pPr>
    <w:rPr>
      <w:rFonts w:ascii="Times New Roman" w:hAnsi="Times New Roman" w:eastAsia="Times New Roman" w:cs="Times New Roman"/>
      <w:sz w:val="20"/>
      <w:szCs w:val="20"/>
    </w:rPr>
  </w:style>
  <w:style w:type="character" w:styleId="16">
    <w:name w:val="Emphasis"/>
    <w:basedOn w:val="9"/>
    <w:qFormat/>
    <w:uiPriority w:val="20"/>
    <w:rPr>
      <w:i/>
      <w:iCs/>
    </w:rPr>
  </w:style>
  <w:style w:type="character" w:styleId="17">
    <w:name w:val="endnote reference"/>
    <w:basedOn w:val="9"/>
    <w:semiHidden/>
    <w:unhideWhenUsed/>
    <w:qFormat/>
    <w:uiPriority w:val="99"/>
    <w:rPr>
      <w:vertAlign w:val="superscript"/>
    </w:rPr>
  </w:style>
  <w:style w:type="paragraph" w:styleId="18">
    <w:name w:val="endnote text"/>
    <w:basedOn w:val="1"/>
    <w:link w:val="81"/>
    <w:semiHidden/>
    <w:unhideWhenUsed/>
    <w:uiPriority w:val="99"/>
    <w:pPr>
      <w:spacing w:after="0" w:line="240" w:lineRule="auto"/>
    </w:pPr>
    <w:rPr>
      <w:sz w:val="20"/>
      <w:szCs w:val="20"/>
    </w:rPr>
  </w:style>
  <w:style w:type="character" w:styleId="19">
    <w:name w:val="FollowedHyperlink"/>
    <w:basedOn w:val="9"/>
    <w:semiHidden/>
    <w:unhideWhenUsed/>
    <w:qFormat/>
    <w:uiPriority w:val="99"/>
    <w:rPr>
      <w:color w:val="954F72" w:themeColor="followedHyperlink"/>
      <w:u w:val="single"/>
      <w14:textFill>
        <w14:solidFill>
          <w14:schemeClr w14:val="folHlink"/>
        </w14:solidFill>
      </w14:textFill>
    </w:rPr>
  </w:style>
  <w:style w:type="paragraph" w:styleId="20">
    <w:name w:val="footer"/>
    <w:basedOn w:val="1"/>
    <w:link w:val="53"/>
    <w:unhideWhenUsed/>
    <w:qFormat/>
    <w:uiPriority w:val="0"/>
    <w:pPr>
      <w:widowControl w:val="0"/>
      <w:tabs>
        <w:tab w:val="center" w:pos="4320"/>
        <w:tab w:val="right" w:pos="8640"/>
      </w:tabs>
      <w:overflowPunct w:val="0"/>
      <w:autoSpaceDE w:val="0"/>
      <w:autoSpaceDN w:val="0"/>
      <w:adjustRightInd w:val="0"/>
      <w:spacing w:after="0" w:line="240" w:lineRule="auto"/>
    </w:pPr>
    <w:rPr>
      <w:rFonts w:ascii="Times New Roman" w:hAnsi="Times New Roman" w:eastAsia="Times New Roman" w:cs="Times New Roman"/>
      <w:kern w:val="28"/>
      <w:sz w:val="20"/>
      <w:szCs w:val="20"/>
      <w:lang w:val="en-GB" w:eastAsia="lv-LV"/>
    </w:rPr>
  </w:style>
  <w:style w:type="character" w:styleId="21">
    <w:name w:val="footnote reference"/>
    <w:basedOn w:val="9"/>
    <w:unhideWhenUsed/>
    <w:qFormat/>
    <w:uiPriority w:val="99"/>
    <w:rPr>
      <w:vertAlign w:val="superscript"/>
    </w:rPr>
  </w:style>
  <w:style w:type="paragraph" w:styleId="22">
    <w:name w:val="footnote text"/>
    <w:basedOn w:val="1"/>
    <w:link w:val="37"/>
    <w:unhideWhenUsed/>
    <w:qFormat/>
    <w:uiPriority w:val="0"/>
    <w:pPr>
      <w:spacing w:after="0" w:line="240" w:lineRule="auto"/>
    </w:pPr>
    <w:rPr>
      <w:rFonts w:ascii="Calibri" w:hAnsi="Calibri" w:eastAsia="Calibri" w:cs="Arial"/>
      <w:sz w:val="20"/>
      <w:szCs w:val="20"/>
    </w:rPr>
  </w:style>
  <w:style w:type="paragraph" w:styleId="23">
    <w:name w:val="header"/>
    <w:basedOn w:val="1"/>
    <w:link w:val="72"/>
    <w:unhideWhenUsed/>
    <w:qFormat/>
    <w:uiPriority w:val="99"/>
    <w:pPr>
      <w:tabs>
        <w:tab w:val="center" w:pos="4320"/>
        <w:tab w:val="right" w:pos="8640"/>
      </w:tabs>
      <w:spacing w:after="0" w:line="240" w:lineRule="auto"/>
    </w:pPr>
  </w:style>
  <w:style w:type="paragraph" w:styleId="24">
    <w:name w:val="HTML Preformatted"/>
    <w:basedOn w:val="1"/>
    <w:link w:val="87"/>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lv-LV"/>
    </w:rPr>
  </w:style>
  <w:style w:type="character" w:styleId="25">
    <w:name w:val="Hyperlink"/>
    <w:basedOn w:val="9"/>
    <w:unhideWhenUsed/>
    <w:qFormat/>
    <w:uiPriority w:val="0"/>
    <w:rPr>
      <w:color w:val="0563C1" w:themeColor="hyperlink"/>
      <w:u w:val="single"/>
      <w14:textFill>
        <w14:solidFill>
          <w14:schemeClr w14:val="hlink"/>
        </w14:solidFill>
      </w14:textFill>
    </w:rPr>
  </w:style>
  <w:style w:type="paragraph" w:styleId="26">
    <w:name w:val="List"/>
    <w:basedOn w:val="1"/>
    <w:uiPriority w:val="0"/>
    <w:pPr>
      <w:suppressAutoHyphens/>
      <w:spacing w:after="0" w:line="240" w:lineRule="auto"/>
      <w:ind w:left="283" w:hanging="283"/>
    </w:pPr>
    <w:rPr>
      <w:rFonts w:ascii="Times New Roman" w:hAnsi="Times New Roman" w:eastAsia="Times New Roman" w:cs="Times New Roman"/>
      <w:sz w:val="24"/>
      <w:szCs w:val="24"/>
      <w:lang w:eastAsia="ar-SA"/>
    </w:rPr>
  </w:style>
  <w:style w:type="paragraph" w:styleId="27">
    <w:name w:val="Normal (Web)"/>
    <w:basedOn w:val="1"/>
    <w:qFormat/>
    <w:uiPriority w:val="0"/>
    <w:pPr>
      <w:widowControl w:val="0"/>
      <w:suppressAutoHyphens/>
      <w:spacing w:before="100" w:after="0" w:line="240" w:lineRule="auto"/>
    </w:pPr>
    <w:rPr>
      <w:rFonts w:ascii="Times New Roman" w:hAnsi="Times New Roman" w:eastAsia="Lucida Sans Unicode" w:cs="Times New Roman"/>
      <w:color w:val="000000"/>
      <w:sz w:val="24"/>
      <w:szCs w:val="24"/>
      <w:lang w:val="en-GB" w:eastAsia="ar-SA"/>
    </w:rPr>
  </w:style>
  <w:style w:type="paragraph" w:styleId="28">
    <w:name w:val="Subtitle"/>
    <w:basedOn w:val="1"/>
    <w:link w:val="43"/>
    <w:qFormat/>
    <w:uiPriority w:val="0"/>
    <w:pPr>
      <w:spacing w:after="0" w:line="240" w:lineRule="auto"/>
      <w:jc w:val="center"/>
    </w:pPr>
    <w:rPr>
      <w:rFonts w:ascii="Arial" w:hAnsi="Arial" w:eastAsia="Times New Roman" w:cs="Arial"/>
      <w:b/>
      <w:bCs/>
      <w:sz w:val="24"/>
      <w:szCs w:val="24"/>
    </w:rPr>
  </w:style>
  <w:style w:type="table" w:styleId="29">
    <w:name w:val="Table Grid"/>
    <w:basedOn w:val="10"/>
    <w:qFormat/>
    <w:uiPriority w:val="59"/>
    <w:pPr>
      <w:spacing w:after="0" w:line="240" w:lineRule="auto"/>
    </w:pPr>
    <w:rPr>
      <w:rFonts w:ascii="Times New Roman" w:hAnsi="Times New Roman" w:eastAsia="Times New Roman" w:cs="Times New Roman"/>
      <w:sz w:val="20"/>
      <w:szCs w:val="20"/>
      <w:lang w:eastAsia="lv-LV"/>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0">
    <w:name w:val="Title"/>
    <w:basedOn w:val="1"/>
    <w:link w:val="42"/>
    <w:qFormat/>
    <w:uiPriority w:val="0"/>
    <w:pPr>
      <w:autoSpaceDE w:val="0"/>
      <w:autoSpaceDN w:val="0"/>
      <w:adjustRightInd w:val="0"/>
      <w:spacing w:after="0" w:line="240" w:lineRule="auto"/>
      <w:jc w:val="center"/>
    </w:pPr>
    <w:rPr>
      <w:rFonts w:ascii="Times New Roman" w:hAnsi="Times New Roman" w:eastAsia="Times New Roman" w:cs="Times New Roman"/>
      <w:b/>
      <w:bCs/>
      <w:sz w:val="24"/>
      <w:szCs w:val="20"/>
      <w:lang w:val="en-US"/>
    </w:rPr>
  </w:style>
  <w:style w:type="character" w:customStyle="1" w:styleId="31">
    <w:name w:val="Заголовок 1 Знак"/>
    <w:basedOn w:val="9"/>
    <w:link w:val="2"/>
    <w:qFormat/>
    <w:uiPriority w:val="0"/>
    <w:rPr>
      <w:rFonts w:ascii="Arial" w:hAnsi="Arial" w:eastAsia="Calibri" w:cs="Arial"/>
      <w:b/>
      <w:bCs/>
      <w:kern w:val="32"/>
      <w:sz w:val="32"/>
      <w:szCs w:val="32"/>
      <w:lang w:val="en-US"/>
    </w:rPr>
  </w:style>
  <w:style w:type="character" w:customStyle="1" w:styleId="32">
    <w:name w:val="Заголовок 2 Знак"/>
    <w:basedOn w:val="9"/>
    <w:link w:val="3"/>
    <w:semiHidden/>
    <w:qFormat/>
    <w:uiPriority w:val="0"/>
    <w:rPr>
      <w:rFonts w:ascii="Arial" w:hAnsi="Arial" w:eastAsia="Times New Roman" w:cs="Arial"/>
      <w:b/>
      <w:bCs/>
      <w:i/>
      <w:iCs/>
      <w:kern w:val="28"/>
      <w:sz w:val="28"/>
      <w:szCs w:val="28"/>
      <w:lang w:val="en-GB" w:eastAsia="lv-LV"/>
    </w:rPr>
  </w:style>
  <w:style w:type="character" w:customStyle="1" w:styleId="33">
    <w:name w:val="Заголовок 3 Знак"/>
    <w:basedOn w:val="9"/>
    <w:link w:val="4"/>
    <w:semiHidden/>
    <w:qFormat/>
    <w:uiPriority w:val="0"/>
    <w:rPr>
      <w:rFonts w:ascii="Arial" w:hAnsi="Arial" w:eastAsia="Calibri" w:cs="Arial"/>
      <w:b/>
      <w:bCs/>
      <w:sz w:val="26"/>
      <w:szCs w:val="26"/>
      <w:lang w:val="en-US"/>
    </w:rPr>
  </w:style>
  <w:style w:type="character" w:customStyle="1" w:styleId="34">
    <w:name w:val="Заголовок 4 Знак"/>
    <w:basedOn w:val="9"/>
    <w:link w:val="5"/>
    <w:semiHidden/>
    <w:qFormat/>
    <w:uiPriority w:val="0"/>
    <w:rPr>
      <w:rFonts w:ascii="Times New Roman" w:hAnsi="Times New Roman" w:eastAsia="Calibri" w:cs="Times New Roman"/>
      <w:b/>
      <w:bCs/>
      <w:sz w:val="28"/>
      <w:szCs w:val="28"/>
      <w:lang w:val="en-US"/>
    </w:rPr>
  </w:style>
  <w:style w:type="character" w:customStyle="1" w:styleId="35">
    <w:name w:val="Заголовок 8 Знак"/>
    <w:basedOn w:val="9"/>
    <w:link w:val="6"/>
    <w:semiHidden/>
    <w:qFormat/>
    <w:uiPriority w:val="0"/>
    <w:rPr>
      <w:rFonts w:ascii="Arial" w:hAnsi="Arial" w:eastAsia="MS Mincho" w:cs="Tahoma"/>
      <w:b/>
      <w:bCs/>
      <w:sz w:val="21"/>
      <w:szCs w:val="21"/>
      <w:lang w:eastAsia="lv-LV"/>
    </w:rPr>
  </w:style>
  <w:style w:type="character" w:customStyle="1" w:styleId="36">
    <w:name w:val="Заголовок 9 Знак"/>
    <w:basedOn w:val="9"/>
    <w:link w:val="8"/>
    <w:semiHidden/>
    <w:qFormat/>
    <w:uiPriority w:val="0"/>
    <w:rPr>
      <w:rFonts w:ascii="Arial" w:hAnsi="Arial" w:eastAsia="MS Mincho" w:cs="Tahoma"/>
      <w:b/>
      <w:bCs/>
      <w:sz w:val="21"/>
      <w:szCs w:val="21"/>
      <w:lang w:eastAsia="lv-LV"/>
    </w:rPr>
  </w:style>
  <w:style w:type="character" w:customStyle="1" w:styleId="37">
    <w:name w:val="Текст сноски Знак"/>
    <w:basedOn w:val="9"/>
    <w:link w:val="22"/>
    <w:qFormat/>
    <w:uiPriority w:val="0"/>
    <w:rPr>
      <w:rFonts w:ascii="Calibri" w:hAnsi="Calibri" w:eastAsia="Calibri" w:cs="Arial"/>
      <w:sz w:val="20"/>
      <w:szCs w:val="20"/>
    </w:rPr>
  </w:style>
  <w:style w:type="paragraph" w:styleId="38">
    <w:name w:val="List Paragraph"/>
    <w:basedOn w:val="1"/>
    <w:link w:val="48"/>
    <w:qFormat/>
    <w:uiPriority w:val="0"/>
    <w:pPr>
      <w:ind w:left="720"/>
      <w:contextualSpacing/>
    </w:pPr>
  </w:style>
  <w:style w:type="character" w:customStyle="1" w:styleId="39">
    <w:name w:val="Hyperlink1"/>
    <w:basedOn w:val="9"/>
    <w:unhideWhenUsed/>
    <w:qFormat/>
    <w:uiPriority w:val="99"/>
    <w:rPr>
      <w:color w:val="0563C1"/>
      <w:u w:val="single"/>
    </w:rPr>
  </w:style>
  <w:style w:type="character" w:customStyle="1" w:styleId="40">
    <w:name w:val="Текст выноски Знак"/>
    <w:basedOn w:val="9"/>
    <w:link w:val="11"/>
    <w:qFormat/>
    <w:uiPriority w:val="99"/>
    <w:rPr>
      <w:rFonts w:ascii="Segoe UI" w:hAnsi="Segoe UI" w:cs="Segoe UI"/>
      <w:sz w:val="18"/>
      <w:szCs w:val="18"/>
    </w:rPr>
  </w:style>
  <w:style w:type="character" w:customStyle="1" w:styleId="41">
    <w:name w:val="Основной текст Знак"/>
    <w:basedOn w:val="9"/>
    <w:link w:val="7"/>
    <w:semiHidden/>
    <w:qFormat/>
    <w:uiPriority w:val="0"/>
  </w:style>
  <w:style w:type="character" w:customStyle="1" w:styleId="42">
    <w:name w:val="Заголовок Знак"/>
    <w:basedOn w:val="9"/>
    <w:link w:val="30"/>
    <w:qFormat/>
    <w:uiPriority w:val="0"/>
    <w:rPr>
      <w:rFonts w:ascii="Times New Roman" w:hAnsi="Times New Roman" w:eastAsia="Times New Roman" w:cs="Times New Roman"/>
      <w:b/>
      <w:bCs/>
      <w:sz w:val="24"/>
      <w:szCs w:val="20"/>
      <w:lang w:val="en-US"/>
    </w:rPr>
  </w:style>
  <w:style w:type="character" w:customStyle="1" w:styleId="43">
    <w:name w:val="Подзаголовок Знак"/>
    <w:basedOn w:val="9"/>
    <w:link w:val="28"/>
    <w:qFormat/>
    <w:uiPriority w:val="0"/>
    <w:rPr>
      <w:rFonts w:ascii="Arial" w:hAnsi="Arial" w:eastAsia="Times New Roman" w:cs="Arial"/>
      <w:b/>
      <w:bCs/>
      <w:sz w:val="24"/>
      <w:szCs w:val="24"/>
    </w:rPr>
  </w:style>
  <w:style w:type="paragraph" w:customStyle="1" w:styleId="44">
    <w:name w:val="Apakšpunkts"/>
    <w:basedOn w:val="1"/>
    <w:link w:val="45"/>
    <w:qFormat/>
    <w:uiPriority w:val="0"/>
    <w:pPr>
      <w:numPr>
        <w:ilvl w:val="1"/>
        <w:numId w:val="2"/>
      </w:numPr>
      <w:spacing w:after="0" w:line="240" w:lineRule="auto"/>
    </w:pPr>
    <w:rPr>
      <w:rFonts w:ascii="Arial" w:hAnsi="Arial" w:eastAsia="Times New Roman" w:cs="Times New Roman"/>
      <w:b/>
      <w:sz w:val="20"/>
      <w:szCs w:val="24"/>
      <w:lang w:eastAsia="lv-LV"/>
    </w:rPr>
  </w:style>
  <w:style w:type="character" w:customStyle="1" w:styleId="45">
    <w:name w:val="Apakšpunkts Char"/>
    <w:link w:val="44"/>
    <w:qFormat/>
    <w:locked/>
    <w:uiPriority w:val="0"/>
    <w:rPr>
      <w:rFonts w:ascii="Arial" w:hAnsi="Arial" w:eastAsia="Times New Roman" w:cs="Times New Roman"/>
      <w:b/>
      <w:sz w:val="20"/>
      <w:szCs w:val="24"/>
      <w:lang w:eastAsia="lv-LV"/>
    </w:rPr>
  </w:style>
  <w:style w:type="character" w:customStyle="1" w:styleId="46">
    <w:name w:val="Основной текст с отступом 2 Знак"/>
    <w:basedOn w:val="9"/>
    <w:link w:val="13"/>
    <w:semiHidden/>
    <w:qFormat/>
    <w:uiPriority w:val="99"/>
  </w:style>
  <w:style w:type="character" w:customStyle="1" w:styleId="47">
    <w:name w:val="Основной текст с отступом 3 Знак"/>
    <w:basedOn w:val="9"/>
    <w:link w:val="14"/>
    <w:qFormat/>
    <w:uiPriority w:val="99"/>
    <w:rPr>
      <w:sz w:val="16"/>
      <w:szCs w:val="16"/>
    </w:rPr>
  </w:style>
  <w:style w:type="character" w:customStyle="1" w:styleId="48">
    <w:name w:val="Абзац списка Знак"/>
    <w:link w:val="38"/>
    <w:qFormat/>
    <w:uiPriority w:val="0"/>
  </w:style>
  <w:style w:type="character" w:customStyle="1" w:styleId="49">
    <w:name w:val="FollowedHyperlink1"/>
    <w:basedOn w:val="9"/>
    <w:semiHidden/>
    <w:unhideWhenUsed/>
    <w:qFormat/>
    <w:uiPriority w:val="99"/>
    <w:rPr>
      <w:color w:val="954F72"/>
      <w:u w:val="single"/>
    </w:rPr>
  </w:style>
  <w:style w:type="paragraph" w:customStyle="1" w:styleId="50">
    <w:name w:val="Char2"/>
    <w:basedOn w:val="1"/>
    <w:qFormat/>
    <w:uiPriority w:val="0"/>
    <w:pPr>
      <w:spacing w:before="120" w:line="240" w:lineRule="exact"/>
      <w:ind w:firstLine="720"/>
      <w:jc w:val="both"/>
    </w:pPr>
    <w:rPr>
      <w:rFonts w:ascii="Verdana" w:hAnsi="Verdana" w:eastAsia="Times New Roman" w:cs="Times New Roman"/>
      <w:sz w:val="20"/>
      <w:szCs w:val="20"/>
      <w:lang w:val="en-US"/>
    </w:rPr>
  </w:style>
  <w:style w:type="table" w:customStyle="1" w:styleId="51">
    <w:name w:val="Table Grid1"/>
    <w:basedOn w:val="10"/>
    <w:qFormat/>
    <w:uiPriority w:val="39"/>
    <w:pPr>
      <w:spacing w:after="0" w:line="240" w:lineRule="auto"/>
    </w:pPr>
    <w:rPr>
      <w:rFonts w:ascii="Times New Roman" w:hAnsi="Times New Roman" w:eastAsia="Times New Roman" w:cs="Times New Roman"/>
      <w:sz w:val="20"/>
      <w:szCs w:val="20"/>
      <w:lang w:eastAsia="lv-LV"/>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2">
    <w:name w:val="Текст примечания Знак"/>
    <w:basedOn w:val="9"/>
    <w:link w:val="15"/>
    <w:semiHidden/>
    <w:qFormat/>
    <w:uiPriority w:val="0"/>
    <w:rPr>
      <w:rFonts w:ascii="Times New Roman" w:hAnsi="Times New Roman" w:eastAsia="Times New Roman" w:cs="Times New Roman"/>
      <w:sz w:val="20"/>
      <w:szCs w:val="20"/>
    </w:rPr>
  </w:style>
  <w:style w:type="character" w:customStyle="1" w:styleId="53">
    <w:name w:val="Нижний колонтитул Знак"/>
    <w:basedOn w:val="9"/>
    <w:link w:val="20"/>
    <w:qFormat/>
    <w:uiPriority w:val="0"/>
    <w:rPr>
      <w:rFonts w:ascii="Times New Roman" w:hAnsi="Times New Roman" w:eastAsia="Times New Roman" w:cs="Times New Roman"/>
      <w:kern w:val="28"/>
      <w:sz w:val="20"/>
      <w:szCs w:val="20"/>
      <w:lang w:val="en-GB" w:eastAsia="lv-LV"/>
    </w:rPr>
  </w:style>
  <w:style w:type="character" w:customStyle="1" w:styleId="54">
    <w:name w:val="Основной текст 2 Знак"/>
    <w:basedOn w:val="9"/>
    <w:link w:val="12"/>
    <w:semiHidden/>
    <w:qFormat/>
    <w:uiPriority w:val="0"/>
    <w:rPr>
      <w:rFonts w:ascii="Calibri" w:hAnsi="Calibri" w:eastAsia="Calibri" w:cs="Times New Roman"/>
      <w:lang w:val="en-US"/>
    </w:rPr>
  </w:style>
  <w:style w:type="paragraph" w:customStyle="1" w:styleId="55">
    <w:name w:val="P"/>
    <w:basedOn w:val="1"/>
    <w:qFormat/>
    <w:uiPriority w:val="0"/>
    <w:pPr>
      <w:spacing w:before="140" w:after="140" w:line="240" w:lineRule="auto"/>
      <w:jc w:val="both"/>
    </w:pPr>
    <w:rPr>
      <w:rFonts w:ascii="Verdana" w:hAnsi="Verdana" w:eastAsia="Times New Roman" w:cs="Times New Roman"/>
      <w:bCs/>
      <w:szCs w:val="24"/>
    </w:rPr>
  </w:style>
  <w:style w:type="paragraph" w:customStyle="1" w:styleId="56">
    <w:name w:val="Default"/>
    <w:qFormat/>
    <w:uiPriority w:val="0"/>
    <w:pPr>
      <w:autoSpaceDE w:val="0"/>
      <w:autoSpaceDN w:val="0"/>
      <w:adjustRightInd w:val="0"/>
      <w:spacing w:after="0" w:line="240" w:lineRule="auto"/>
    </w:pPr>
    <w:rPr>
      <w:rFonts w:ascii="Times New Roman" w:hAnsi="Times New Roman" w:eastAsia="Times New Roman" w:cs="Times New Roman"/>
      <w:color w:val="000000"/>
      <w:sz w:val="24"/>
      <w:szCs w:val="24"/>
      <w:lang w:val="en-US" w:eastAsia="en-US" w:bidi="ar-SA"/>
    </w:rPr>
  </w:style>
  <w:style w:type="paragraph" w:customStyle="1" w:styleId="57">
    <w:name w:val="naisf"/>
    <w:basedOn w:val="1"/>
    <w:qFormat/>
    <w:uiPriority w:val="0"/>
    <w:pPr>
      <w:spacing w:before="100" w:beforeAutospacing="1" w:after="100" w:afterAutospacing="1" w:line="240" w:lineRule="auto"/>
      <w:jc w:val="both"/>
    </w:pPr>
    <w:rPr>
      <w:rFonts w:ascii="Times New Roman" w:hAnsi="Times New Roman" w:eastAsia="Calibri" w:cs="Times New Roman"/>
      <w:sz w:val="24"/>
      <w:szCs w:val="24"/>
      <w:lang w:val="en-GB"/>
    </w:rPr>
  </w:style>
  <w:style w:type="paragraph" w:customStyle="1" w:styleId="58">
    <w:name w:val="V 2L"/>
    <w:basedOn w:val="1"/>
    <w:qFormat/>
    <w:uiPriority w:val="0"/>
    <w:pPr>
      <w:tabs>
        <w:tab w:val="left" w:pos="851"/>
      </w:tabs>
      <w:spacing w:before="140" w:after="140" w:line="240" w:lineRule="auto"/>
      <w:ind w:left="851" w:hanging="851"/>
      <w:jc w:val="both"/>
      <w:outlineLvl w:val="1"/>
    </w:pPr>
    <w:rPr>
      <w:rFonts w:ascii="Verdana" w:hAnsi="Verdana" w:eastAsia="Times New Roman" w:cs="Times New Roman"/>
      <w:bCs/>
      <w:szCs w:val="24"/>
    </w:rPr>
  </w:style>
  <w:style w:type="paragraph" w:customStyle="1" w:styleId="59">
    <w:name w:val="Rindkopa"/>
    <w:basedOn w:val="1"/>
    <w:next w:val="1"/>
    <w:qFormat/>
    <w:uiPriority w:val="0"/>
    <w:pPr>
      <w:suppressAutoHyphens/>
      <w:spacing w:after="0" w:line="240" w:lineRule="auto"/>
      <w:ind w:left="851"/>
      <w:jc w:val="both"/>
    </w:pPr>
    <w:rPr>
      <w:rFonts w:ascii="Arial" w:hAnsi="Arial" w:eastAsia="Times New Roman" w:cs="Times New Roman"/>
      <w:sz w:val="20"/>
      <w:szCs w:val="24"/>
      <w:lang w:eastAsia="ar-SA"/>
    </w:rPr>
  </w:style>
  <w:style w:type="paragraph" w:customStyle="1" w:styleId="60">
    <w:name w:val="xl6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20"/>
      <w:szCs w:val="20"/>
      <w:lang w:val="ru-RU" w:eastAsia="ru-RU"/>
    </w:rPr>
  </w:style>
  <w:style w:type="paragraph" w:customStyle="1" w:styleId="61">
    <w:name w:val="xl6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Times New Roman" w:hAnsi="Times New Roman" w:eastAsia="Times New Roman" w:cs="Times New Roman"/>
      <w:sz w:val="20"/>
      <w:szCs w:val="20"/>
      <w:lang w:val="ru-RU" w:eastAsia="ru-RU"/>
    </w:rPr>
  </w:style>
  <w:style w:type="paragraph" w:customStyle="1" w:styleId="62">
    <w:name w:val="xl7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20"/>
      <w:szCs w:val="20"/>
      <w:lang w:val="ru-RU" w:eastAsia="ru-RU"/>
    </w:rPr>
  </w:style>
  <w:style w:type="paragraph" w:customStyle="1" w:styleId="63">
    <w:name w:val="xl7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Times New Roman" w:hAnsi="Times New Roman" w:eastAsia="Times New Roman" w:cs="Times New Roman"/>
      <w:sz w:val="20"/>
      <w:szCs w:val="20"/>
      <w:lang w:val="ru-RU" w:eastAsia="ru-RU"/>
    </w:rPr>
  </w:style>
  <w:style w:type="paragraph" w:customStyle="1" w:styleId="64">
    <w:name w:val="xl92"/>
    <w:basedOn w:val="1"/>
    <w:qFormat/>
    <w:uiPriority w:val="0"/>
    <w:pPr>
      <w:pBdr>
        <w:top w:val="single" w:color="auto" w:sz="4" w:space="0"/>
        <w:left w:val="single" w:color="auto" w:sz="4" w:space="0"/>
        <w:right w:val="single" w:color="auto" w:sz="4" w:space="0"/>
      </w:pBdr>
      <w:spacing w:before="100" w:beforeAutospacing="1" w:after="100" w:afterAutospacing="1" w:line="240" w:lineRule="auto"/>
      <w:jc w:val="center"/>
    </w:pPr>
    <w:rPr>
      <w:rFonts w:ascii="Times New Roman" w:hAnsi="Times New Roman" w:eastAsia="Times New Roman" w:cs="Times New Roman"/>
      <w:b/>
      <w:bCs/>
      <w:sz w:val="20"/>
      <w:szCs w:val="20"/>
      <w:lang w:val="ru-RU" w:eastAsia="ru-RU"/>
    </w:rPr>
  </w:style>
  <w:style w:type="paragraph" w:customStyle="1" w:styleId="65">
    <w:name w:val="section"/>
    <w:basedOn w:val="1"/>
    <w:qFormat/>
    <w:uiPriority w:val="0"/>
    <w:pPr>
      <w:spacing w:after="0" w:line="240" w:lineRule="auto"/>
      <w:ind w:firstLine="539"/>
    </w:pPr>
    <w:rPr>
      <w:rFonts w:ascii="Times New Roman" w:hAnsi="Times New Roman" w:eastAsia="Arial Unicode MS" w:cs="Times New Roman"/>
      <w:b/>
      <w:bCs/>
      <w:sz w:val="16"/>
      <w:szCs w:val="16"/>
      <w:lang w:val="en-GB"/>
    </w:rPr>
  </w:style>
  <w:style w:type="paragraph" w:customStyle="1" w:styleId="66">
    <w:name w:val="Virsraksts 21"/>
    <w:basedOn w:val="1"/>
    <w:next w:val="1"/>
    <w:qFormat/>
    <w:uiPriority w:val="0"/>
    <w:pPr>
      <w:keepNext/>
      <w:widowControl w:val="0"/>
      <w:numPr>
        <w:ilvl w:val="1"/>
        <w:numId w:val="1"/>
      </w:numPr>
      <w:tabs>
        <w:tab w:val="left" w:pos="996"/>
      </w:tabs>
      <w:suppressAutoHyphens/>
      <w:spacing w:before="240" w:after="60" w:line="240" w:lineRule="auto"/>
      <w:ind w:left="420"/>
      <w:outlineLvl w:val="1"/>
    </w:pPr>
    <w:rPr>
      <w:rFonts w:ascii="Times New Roman" w:hAnsi="Times New Roman" w:eastAsia="Arial Unicode MS" w:cs="Arial"/>
      <w:b/>
      <w:bCs/>
      <w:iCs/>
      <w:color w:val="000000"/>
      <w:sz w:val="24"/>
      <w:szCs w:val="24"/>
      <w:lang w:eastAsia="lv-LV"/>
    </w:rPr>
  </w:style>
  <w:style w:type="paragraph" w:customStyle="1" w:styleId="67">
    <w:name w:val="Virsraksts 11"/>
    <w:basedOn w:val="1"/>
    <w:next w:val="1"/>
    <w:qFormat/>
    <w:uiPriority w:val="0"/>
    <w:pPr>
      <w:keepNext/>
      <w:widowControl w:val="0"/>
      <w:numPr>
        <w:ilvl w:val="0"/>
        <w:numId w:val="1"/>
      </w:numPr>
      <w:suppressAutoHyphens/>
      <w:spacing w:before="240" w:after="60" w:line="240" w:lineRule="auto"/>
      <w:jc w:val="center"/>
      <w:outlineLvl w:val="0"/>
    </w:pPr>
    <w:rPr>
      <w:rFonts w:ascii="Times New Roman" w:hAnsi="Times New Roman" w:eastAsia="Arial Unicode MS" w:cs="Arial"/>
      <w:b/>
      <w:bCs/>
      <w:color w:val="000000"/>
      <w:kern w:val="2"/>
      <w:sz w:val="24"/>
      <w:szCs w:val="24"/>
      <w:lang w:eastAsia="lv-LV"/>
    </w:rPr>
  </w:style>
  <w:style w:type="paragraph" w:customStyle="1" w:styleId="68">
    <w:name w:val="Virsraksts 31"/>
    <w:basedOn w:val="1"/>
    <w:next w:val="1"/>
    <w:qFormat/>
    <w:uiPriority w:val="0"/>
    <w:pPr>
      <w:keepNext/>
      <w:widowControl w:val="0"/>
      <w:numPr>
        <w:ilvl w:val="2"/>
        <w:numId w:val="1"/>
      </w:numPr>
      <w:tabs>
        <w:tab w:val="left" w:pos="720"/>
      </w:tabs>
      <w:suppressAutoHyphens/>
      <w:spacing w:before="240" w:after="60" w:line="240" w:lineRule="auto"/>
      <w:outlineLvl w:val="2"/>
    </w:pPr>
    <w:rPr>
      <w:rFonts w:ascii="Times New Roman" w:hAnsi="Times New Roman" w:eastAsia="Arial Unicode MS" w:cs="Arial"/>
      <w:b/>
      <w:bCs/>
      <w:sz w:val="26"/>
      <w:szCs w:val="26"/>
      <w:lang w:eastAsia="lv-LV"/>
    </w:rPr>
  </w:style>
  <w:style w:type="paragraph" w:customStyle="1" w:styleId="69">
    <w:name w:val="Virsraksts 41"/>
    <w:basedOn w:val="1"/>
    <w:next w:val="1"/>
    <w:qFormat/>
    <w:uiPriority w:val="0"/>
    <w:pPr>
      <w:keepNext/>
      <w:widowControl w:val="0"/>
      <w:numPr>
        <w:ilvl w:val="3"/>
        <w:numId w:val="1"/>
      </w:numPr>
      <w:tabs>
        <w:tab w:val="left" w:pos="864"/>
        <w:tab w:val="left" w:pos="1080"/>
      </w:tabs>
      <w:suppressAutoHyphens/>
      <w:spacing w:before="240" w:after="60" w:line="240" w:lineRule="auto"/>
      <w:outlineLvl w:val="3"/>
    </w:pPr>
    <w:rPr>
      <w:rFonts w:ascii="Times New Roman" w:hAnsi="Times New Roman" w:eastAsia="Arial Unicode MS" w:cs="Times New Roman"/>
      <w:b/>
      <w:bCs/>
      <w:sz w:val="24"/>
      <w:szCs w:val="24"/>
      <w:lang w:eastAsia="lv-LV"/>
    </w:rPr>
  </w:style>
  <w:style w:type="paragraph" w:customStyle="1" w:styleId="70">
    <w:name w:val="Virsraksts 71"/>
    <w:basedOn w:val="1"/>
    <w:next w:val="1"/>
    <w:qFormat/>
    <w:uiPriority w:val="0"/>
    <w:pPr>
      <w:widowControl w:val="0"/>
      <w:numPr>
        <w:ilvl w:val="6"/>
        <w:numId w:val="1"/>
      </w:numPr>
      <w:tabs>
        <w:tab w:val="left" w:pos="1296"/>
      </w:tabs>
      <w:suppressAutoHyphens/>
      <w:spacing w:before="240" w:after="60" w:line="240" w:lineRule="auto"/>
      <w:outlineLvl w:val="6"/>
    </w:pPr>
    <w:rPr>
      <w:rFonts w:ascii="Times New Roman" w:hAnsi="Times New Roman" w:eastAsia="Arial Unicode MS" w:cs="Times New Roman"/>
      <w:sz w:val="24"/>
      <w:szCs w:val="24"/>
      <w:lang w:eastAsia="lv-LV"/>
    </w:rPr>
  </w:style>
  <w:style w:type="paragraph" w:customStyle="1" w:styleId="71">
    <w:name w:val="Virsraksts 51"/>
    <w:basedOn w:val="1"/>
    <w:next w:val="1"/>
    <w:qFormat/>
    <w:uiPriority w:val="0"/>
    <w:pPr>
      <w:widowControl w:val="0"/>
      <w:numPr>
        <w:ilvl w:val="4"/>
        <w:numId w:val="1"/>
      </w:numPr>
      <w:tabs>
        <w:tab w:val="left" w:pos="1008"/>
      </w:tabs>
      <w:suppressAutoHyphens/>
      <w:spacing w:before="240" w:after="60" w:line="240" w:lineRule="auto"/>
      <w:outlineLvl w:val="4"/>
    </w:pPr>
    <w:rPr>
      <w:rFonts w:ascii="Times New Roman" w:hAnsi="Times New Roman" w:eastAsia="Arial Unicode MS" w:cs="Times New Roman"/>
      <w:b/>
      <w:bCs/>
      <w:i/>
      <w:iCs/>
      <w:sz w:val="26"/>
      <w:szCs w:val="26"/>
      <w:lang w:eastAsia="lv-LV"/>
    </w:rPr>
  </w:style>
  <w:style w:type="character" w:customStyle="1" w:styleId="72">
    <w:name w:val="Верхний колонтитул Знак"/>
    <w:basedOn w:val="9"/>
    <w:link w:val="23"/>
    <w:qFormat/>
    <w:uiPriority w:val="99"/>
  </w:style>
  <w:style w:type="paragraph" w:customStyle="1" w:styleId="73">
    <w:name w:val="Style1"/>
    <w:autoRedefine/>
    <w:qFormat/>
    <w:uiPriority w:val="0"/>
    <w:pPr>
      <w:numPr>
        <w:ilvl w:val="1"/>
        <w:numId w:val="3"/>
      </w:numPr>
      <w:tabs>
        <w:tab w:val="left" w:pos="567"/>
        <w:tab w:val="clear" w:pos="1210"/>
      </w:tabs>
      <w:suppressAutoHyphens/>
      <w:spacing w:after="0" w:line="240" w:lineRule="auto"/>
      <w:ind w:left="567" w:hanging="567"/>
      <w:jc w:val="both"/>
    </w:pPr>
    <w:rPr>
      <w:rFonts w:ascii="Times New Roman" w:hAnsi="Times New Roman" w:eastAsia="Cambria" w:cs="Times New Roman"/>
      <w:sz w:val="24"/>
      <w:szCs w:val="24"/>
      <w:lang w:val="lv-LV" w:eastAsia="en-US" w:bidi="ar-SA"/>
    </w:rPr>
  </w:style>
  <w:style w:type="character" w:customStyle="1" w:styleId="74">
    <w:name w:val="Neatrisināta pieminēšana1"/>
    <w:basedOn w:val="9"/>
    <w:semiHidden/>
    <w:unhideWhenUsed/>
    <w:uiPriority w:val="99"/>
    <w:rPr>
      <w:color w:val="605E5C"/>
      <w:shd w:val="clear" w:color="auto" w:fill="E1DFDD"/>
    </w:rPr>
  </w:style>
  <w:style w:type="table" w:customStyle="1" w:styleId="75">
    <w:name w:val="Table Grid2"/>
    <w:basedOn w:val="10"/>
    <w:uiPriority w:val="39"/>
    <w:pPr>
      <w:spacing w:after="0" w:line="240" w:lineRule="auto"/>
    </w:pPr>
    <w:rPr>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6">
    <w:name w:val="Paragrāfs"/>
    <w:basedOn w:val="1"/>
    <w:next w:val="1"/>
    <w:qFormat/>
    <w:uiPriority w:val="0"/>
    <w:pPr>
      <w:tabs>
        <w:tab w:val="left" w:pos="1031"/>
      </w:tabs>
      <w:spacing w:after="0" w:line="240" w:lineRule="auto"/>
      <w:ind w:left="1031" w:hanging="851"/>
      <w:jc w:val="both"/>
    </w:pPr>
    <w:rPr>
      <w:rFonts w:ascii="Arial" w:hAnsi="Arial" w:eastAsia="Times New Roman" w:cs="Times New Roman"/>
      <w:sz w:val="20"/>
      <w:szCs w:val="24"/>
      <w:lang w:eastAsia="lv-LV"/>
    </w:rPr>
  </w:style>
  <w:style w:type="character" w:customStyle="1" w:styleId="77">
    <w:name w:val="Body text_"/>
    <w:link w:val="78"/>
    <w:uiPriority w:val="0"/>
    <w:rPr>
      <w:spacing w:val="6"/>
      <w:sz w:val="14"/>
      <w:szCs w:val="14"/>
      <w:shd w:val="clear" w:color="auto" w:fill="FFFFFF"/>
    </w:rPr>
  </w:style>
  <w:style w:type="paragraph" w:customStyle="1" w:styleId="78">
    <w:name w:val="Pamatteksts2"/>
    <w:basedOn w:val="1"/>
    <w:link w:val="77"/>
    <w:uiPriority w:val="0"/>
    <w:pPr>
      <w:widowControl w:val="0"/>
      <w:shd w:val="clear" w:color="auto" w:fill="FFFFFF"/>
      <w:spacing w:after="180" w:line="0" w:lineRule="atLeast"/>
      <w:ind w:hanging="760"/>
      <w:jc w:val="both"/>
    </w:pPr>
    <w:rPr>
      <w:spacing w:val="6"/>
      <w:sz w:val="14"/>
      <w:szCs w:val="14"/>
    </w:rPr>
  </w:style>
  <w:style w:type="paragraph" w:customStyle="1" w:styleId="79">
    <w:name w:val="Rakstz. Rakstz._0"/>
    <w:basedOn w:val="1"/>
    <w:next w:val="1"/>
    <w:qFormat/>
    <w:uiPriority w:val="0"/>
    <w:pPr>
      <w:spacing w:before="120" w:line="240" w:lineRule="exact"/>
      <w:ind w:firstLine="720"/>
      <w:jc w:val="both"/>
    </w:pPr>
    <w:rPr>
      <w:rFonts w:ascii="Verdana" w:hAnsi="Verdana" w:eastAsia="Times New Roman" w:cs="Times New Roman"/>
      <w:sz w:val="20"/>
      <w:szCs w:val="20"/>
      <w:lang w:val="en-US"/>
    </w:rPr>
  </w:style>
  <w:style w:type="character" w:customStyle="1" w:styleId="80">
    <w:name w:val="Neatrisināta pieminēšana2"/>
    <w:basedOn w:val="9"/>
    <w:semiHidden/>
    <w:unhideWhenUsed/>
    <w:qFormat/>
    <w:uiPriority w:val="99"/>
    <w:rPr>
      <w:color w:val="605E5C"/>
      <w:shd w:val="clear" w:color="auto" w:fill="E1DFDD"/>
    </w:rPr>
  </w:style>
  <w:style w:type="character" w:customStyle="1" w:styleId="81">
    <w:name w:val="Текст концевой сноски Знак"/>
    <w:basedOn w:val="9"/>
    <w:link w:val="18"/>
    <w:semiHidden/>
    <w:uiPriority w:val="99"/>
    <w:rPr>
      <w:sz w:val="20"/>
      <w:szCs w:val="20"/>
    </w:rPr>
  </w:style>
  <w:style w:type="paragraph" w:customStyle="1" w:styleId="82">
    <w:name w:val="Rakstz. Rakstz._1"/>
    <w:basedOn w:val="1"/>
    <w:qFormat/>
    <w:uiPriority w:val="0"/>
    <w:pPr>
      <w:spacing w:line="240" w:lineRule="exact"/>
    </w:pPr>
    <w:rPr>
      <w:rFonts w:ascii="Symbol" w:hAnsi="Symbol" w:eastAsia="Wingdings" w:cs="Wingdings"/>
      <w:sz w:val="20"/>
      <w:szCs w:val="20"/>
      <w:lang w:val="en-US"/>
    </w:rPr>
  </w:style>
  <w:style w:type="character" w:customStyle="1" w:styleId="83">
    <w:name w:val="st1"/>
    <w:uiPriority w:val="0"/>
  </w:style>
  <w:style w:type="paragraph" w:customStyle="1" w:styleId="84">
    <w:name w:val="tv213"/>
    <w:basedOn w:val="1"/>
    <w:uiPriority w:val="0"/>
    <w:pPr>
      <w:spacing w:before="100" w:beforeAutospacing="1" w:after="100" w:afterAutospacing="1" w:line="240" w:lineRule="auto"/>
    </w:pPr>
    <w:rPr>
      <w:rFonts w:ascii="Times New Roman" w:hAnsi="Times New Roman" w:eastAsia="Times New Roman" w:cs="Times New Roman"/>
      <w:sz w:val="24"/>
      <w:szCs w:val="24"/>
      <w:lang w:eastAsia="lv-LV"/>
    </w:rPr>
  </w:style>
  <w:style w:type="table" w:customStyle="1" w:styleId="85">
    <w:name w:val="Table Grid11"/>
    <w:basedOn w:val="10"/>
    <w:uiPriority w:val="59"/>
    <w:pPr>
      <w:spacing w:after="0" w:line="240" w:lineRule="auto"/>
    </w:pPr>
    <w:rPr>
      <w:rFonts w:ascii="Times New Roman" w:hAnsi="Times New Roman" w:eastAsia="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6">
    <w:name w:val="Neatrisināta pieminēšana3"/>
    <w:basedOn w:val="9"/>
    <w:semiHidden/>
    <w:unhideWhenUsed/>
    <w:uiPriority w:val="99"/>
    <w:rPr>
      <w:color w:val="605E5C"/>
      <w:shd w:val="clear" w:color="auto" w:fill="E1DFDD"/>
    </w:rPr>
  </w:style>
  <w:style w:type="character" w:customStyle="1" w:styleId="87">
    <w:name w:val="Стандартный HTML Знак"/>
    <w:basedOn w:val="9"/>
    <w:link w:val="24"/>
    <w:uiPriority w:val="99"/>
    <w:rPr>
      <w:rFonts w:ascii="Courier New" w:hAnsi="Courier New" w:eastAsia="Times New Roman" w:cs="Courier New"/>
      <w:sz w:val="20"/>
      <w:szCs w:val="20"/>
      <w:lang w:eastAsia="lv-LV"/>
    </w:rPr>
  </w:style>
  <w:style w:type="character" w:customStyle="1" w:styleId="88">
    <w:name w:val="Unresolved Mention"/>
    <w:basedOn w:val="9"/>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1.GIF"/><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B95B1E-8CF8-48F2-B22F-69B51D9C7899}">
  <ds:schemaRefs/>
</ds:datastoreItem>
</file>

<file path=docProps/app.xml><?xml version="1.0" encoding="utf-8"?>
<Properties xmlns="http://schemas.openxmlformats.org/officeDocument/2006/extended-properties" xmlns:vt="http://schemas.openxmlformats.org/officeDocument/2006/docPropsVTypes">
  <Template>Normal</Template>
  <Pages>6</Pages>
  <Words>2699</Words>
  <Characters>15385</Characters>
  <Lines>128</Lines>
  <Paragraphs>36</Paragraphs>
  <TotalTime>0</TotalTime>
  <ScaleCrop>false</ScaleCrop>
  <LinksUpToDate>false</LinksUpToDate>
  <CharactersWithSpaces>18048</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2025-11-20T09:56:00Z</dcterms:created>
  <dc:creator>Inga Purina Eglite</dc:creator>
  <cp:lastModifiedBy>irina.bogdanova</cp:lastModifiedBy>
  <cp:lastPrinted>2023-01-24T09:00:00Z</cp:lastPrinted>
  <dcterms:modified xsi:type="dcterms:W3CDTF">2025-11-21T12:13:23Z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EBD08D56B919414E9323B2867E0B0E5E_13</vt:lpwstr>
  </property>
</Properties>
</file>