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B46BB" w14:textId="326287DD" w:rsidR="00F60C0D" w:rsidRPr="00F42F45" w:rsidRDefault="00F60C0D" w:rsidP="00AF4CD2">
      <w:pPr>
        <w:jc w:val="right"/>
        <w:rPr>
          <w:rFonts w:ascii="Arial" w:hAnsi="Arial" w:cs="Arial"/>
          <w:spacing w:val="-2"/>
          <w:sz w:val="18"/>
          <w:szCs w:val="18"/>
        </w:rPr>
      </w:pPr>
      <w:proofErr w:type="spellStart"/>
      <w:r w:rsidRPr="00F42F45">
        <w:rPr>
          <w:rFonts w:ascii="Arial" w:hAnsi="Arial" w:cs="Arial"/>
          <w:b/>
          <w:spacing w:val="-2"/>
          <w:sz w:val="18"/>
          <w:szCs w:val="18"/>
        </w:rPr>
        <w:t>Annex</w:t>
      </w:r>
      <w:proofErr w:type="spellEnd"/>
      <w:r w:rsidRPr="00F42F45">
        <w:rPr>
          <w:rFonts w:ascii="Arial" w:hAnsi="Arial" w:cs="Arial"/>
          <w:b/>
          <w:spacing w:val="-2"/>
          <w:sz w:val="18"/>
          <w:szCs w:val="18"/>
        </w:rPr>
        <w:t xml:space="preserve"> 2</w:t>
      </w:r>
    </w:p>
    <w:p w14:paraId="6AA3CE14" w14:textId="0002715F" w:rsidR="00BD01DE" w:rsidRPr="00F42F45" w:rsidRDefault="00BD01DE" w:rsidP="00AF4CD2">
      <w:pPr>
        <w:jc w:val="right"/>
        <w:rPr>
          <w:rFonts w:ascii="Arial" w:hAnsi="Arial" w:cs="Arial"/>
          <w:iCs/>
          <w:spacing w:val="-2"/>
          <w:sz w:val="18"/>
          <w:szCs w:val="18"/>
        </w:rPr>
      </w:pPr>
      <w:r w:rsidRPr="00F42F45">
        <w:rPr>
          <w:rFonts w:ascii="Arial" w:hAnsi="Arial" w:cs="Arial"/>
          <w:iCs/>
          <w:spacing w:val="-2"/>
          <w:sz w:val="18"/>
          <w:szCs w:val="18"/>
        </w:rPr>
        <w:t>DPS “</w:t>
      </w:r>
      <w:proofErr w:type="spellStart"/>
      <w:r w:rsidRPr="00F42F45">
        <w:rPr>
          <w:rFonts w:ascii="Arial" w:hAnsi="Arial" w:cs="Arial"/>
          <w:iCs/>
          <w:spacing w:val="-2"/>
          <w:sz w:val="18"/>
          <w:szCs w:val="18"/>
        </w:rPr>
        <w:t>Purchase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of</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Medium-Voltage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Switching</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Devices</w:t>
      </w:r>
      <w:proofErr w:type="spellEnd"/>
      <w:r w:rsidRPr="00F42F45">
        <w:rPr>
          <w:rFonts w:ascii="Arial" w:hAnsi="Arial" w:cs="Arial"/>
          <w:iCs/>
          <w:spacing w:val="-2"/>
          <w:sz w:val="18"/>
          <w:szCs w:val="18"/>
        </w:rPr>
        <w:t>”,</w:t>
      </w:r>
    </w:p>
    <w:p w14:paraId="042BF2EE" w14:textId="4633912A" w:rsidR="00F60C0D" w:rsidRPr="00F42F45" w:rsidRDefault="00AF4CD2" w:rsidP="00AF4CD2">
      <w:pPr>
        <w:jc w:val="right"/>
        <w:rPr>
          <w:rFonts w:ascii="Arial" w:hAnsi="Arial" w:cs="Arial"/>
          <w:iCs/>
          <w:spacing w:val="-2"/>
          <w:sz w:val="18"/>
          <w:szCs w:val="18"/>
        </w:rPr>
      </w:pPr>
      <w:r w:rsidRPr="00F42F45">
        <w:rPr>
          <w:rFonts w:ascii="Arial" w:hAnsi="Arial" w:cs="Arial"/>
          <w:iCs/>
          <w:spacing w:val="-2"/>
          <w:sz w:val="18"/>
          <w:szCs w:val="18"/>
        </w:rPr>
        <w:t>to the Regulations, identification No. ST 2026/21</w:t>
      </w:r>
    </w:p>
    <w:p w14:paraId="0F65607C" w14:textId="77777777" w:rsidR="00AF4CD2" w:rsidRPr="00F42F45" w:rsidRDefault="00AF4CD2" w:rsidP="00BD01DE">
      <w:pPr>
        <w:jc w:val="right"/>
        <w:rPr>
          <w:rFonts w:ascii="Arial" w:hAnsi="Arial" w:cs="Arial"/>
          <w:spacing w:val="-2"/>
          <w:sz w:val="22"/>
        </w:rPr>
      </w:pPr>
    </w:p>
    <w:p w14:paraId="25133AFA" w14:textId="77777777" w:rsidR="00F60C0D" w:rsidRPr="00F42F45" w:rsidRDefault="00F60C0D" w:rsidP="00F60C0D">
      <w:pPr>
        <w:jc w:val="center"/>
        <w:rPr>
          <w:rFonts w:ascii="Arial" w:hAnsi="Arial" w:cs="Arial"/>
          <w:b/>
          <w:bCs/>
          <w:iCs/>
          <w:spacing w:val="-2"/>
          <w:sz w:val="22"/>
        </w:rPr>
      </w:pPr>
      <w:r w:rsidRPr="00F42F45">
        <w:rPr>
          <w:rFonts w:ascii="Arial" w:hAnsi="Arial" w:cs="Arial"/>
          <w:b/>
          <w:bCs/>
          <w:iCs/>
          <w:spacing w:val="-2"/>
          <w:sz w:val="22"/>
        </w:rPr>
        <w:t>TECHNICAL SPECIFICATION</w:t>
      </w:r>
    </w:p>
    <w:p w14:paraId="6DCA4A3B" w14:textId="6C3B4E03" w:rsidR="00F60C0D" w:rsidRPr="00F42F45" w:rsidRDefault="00F60C0D" w:rsidP="00F60C0D">
      <w:pPr>
        <w:jc w:val="center"/>
        <w:rPr>
          <w:rFonts w:ascii="Arial" w:hAnsi="Arial" w:cs="Arial"/>
          <w:b/>
          <w:bCs/>
          <w:iCs/>
          <w:spacing w:val="-2"/>
          <w:sz w:val="22"/>
        </w:rPr>
      </w:pPr>
      <w:r w:rsidRPr="00F42F45">
        <w:rPr>
          <w:rFonts w:ascii="Arial" w:hAnsi="Arial" w:cs="Arial"/>
          <w:b/>
          <w:bCs/>
          <w:iCs/>
          <w:spacing w:val="-2"/>
          <w:sz w:val="22"/>
        </w:rPr>
        <w:t>(DESCRIPTION AND SCOPE OF THE SUBJECT-MATTER OF THE PROCUREMENT)</w:t>
      </w:r>
    </w:p>
    <w:p w14:paraId="048EA93B" w14:textId="77777777" w:rsidR="00F60C0D" w:rsidRPr="00F42F45" w:rsidRDefault="00F60C0D" w:rsidP="00F60C0D">
      <w:pPr>
        <w:rPr>
          <w:rFonts w:ascii="Arial" w:hAnsi="Arial" w:cs="Arial"/>
          <w:spacing w:val="-2"/>
          <w:sz w:val="22"/>
        </w:rPr>
      </w:pPr>
    </w:p>
    <w:p w14:paraId="7B9523A2" w14:textId="3E53ADB7" w:rsidR="00E417FC" w:rsidRPr="00F42F45" w:rsidRDefault="00FA2EA1">
      <w:pPr>
        <w:numPr>
          <w:ilvl w:val="0"/>
          <w:numId w:val="55"/>
        </w:numPr>
        <w:jc w:val="both"/>
        <w:rPr>
          <w:rFonts w:ascii="Arial" w:hAnsi="Arial" w:cs="Arial"/>
          <w:spacing w:val="-2"/>
          <w:sz w:val="22"/>
        </w:rPr>
      </w:pPr>
      <w:r w:rsidRPr="00F42F45">
        <w:rPr>
          <w:rFonts w:ascii="Arial" w:hAnsi="Arial" w:cs="Arial"/>
          <w:spacing w:val="-2"/>
          <w:sz w:val="22"/>
        </w:rPr>
        <w:t xml:space="preserve">The subject-matter of the procurement is the purchase and delivery of medium-voltage switching devices in accordance with the technical specifications attached in a separate ZIP file “Annex 2_Technical Specification (Description and Scope of the Subject-matter of the Procurement)”. At the same time, we inform you that the technical specifications are for information purposes and may be specified or updated in line with the needs existing at the time when the Tenderers are sent the invitation to submit a tender. The current list of technical specifications is available on the website of AS “Sadales tīkls” at https://sadalestikls.lv/lv/tehnisko-specifikaciju-saraksts; the group applicable within this </w:t>
      </w:r>
      <w:proofErr w:type="spellStart"/>
      <w:r w:rsidRPr="00F42F45">
        <w:rPr>
          <w:rFonts w:ascii="Arial" w:hAnsi="Arial" w:cs="Arial"/>
          <w:spacing w:val="-2"/>
          <w:sz w:val="22"/>
        </w:rPr>
        <w:t>Procedure</w:t>
      </w:r>
      <w:proofErr w:type="spellEnd"/>
      <w:r w:rsidRPr="00F42F45">
        <w:rPr>
          <w:rFonts w:ascii="Arial" w:hAnsi="Arial" w:cs="Arial"/>
          <w:spacing w:val="-2"/>
          <w:sz w:val="22"/>
        </w:rPr>
        <w:t xml:space="preserve"> </w:t>
      </w:r>
      <w:proofErr w:type="spellStart"/>
      <w:r w:rsidRPr="00F42F45">
        <w:rPr>
          <w:rFonts w:ascii="Arial" w:hAnsi="Arial" w:cs="Arial"/>
          <w:spacing w:val="-2"/>
          <w:sz w:val="22"/>
        </w:rPr>
        <w:t>is</w:t>
      </w:r>
      <w:proofErr w:type="spellEnd"/>
      <w:r w:rsidRPr="00F42F45">
        <w:rPr>
          <w:rFonts w:ascii="Arial" w:hAnsi="Arial" w:cs="Arial"/>
          <w:spacing w:val="-2"/>
          <w:sz w:val="22"/>
        </w:rPr>
        <w:t xml:space="preserve"> 26 “</w:t>
      </w:r>
      <w:proofErr w:type="spellStart"/>
      <w:r w:rsidRPr="00F42F45">
        <w:rPr>
          <w:rFonts w:ascii="Arial" w:hAnsi="Arial" w:cs="Arial"/>
          <w:spacing w:val="-2"/>
          <w:sz w:val="22"/>
        </w:rPr>
        <w:t>Medium</w:t>
      </w:r>
      <w:proofErr w:type="spellEnd"/>
      <w:r w:rsidRPr="00F42F45">
        <w:rPr>
          <w:rFonts w:ascii="Arial" w:hAnsi="Arial" w:cs="Arial"/>
          <w:spacing w:val="-2"/>
          <w:sz w:val="22"/>
        </w:rPr>
        <w:t xml:space="preserve"> </w:t>
      </w:r>
      <w:proofErr w:type="spellStart"/>
      <w:r w:rsidRPr="00F42F45">
        <w:rPr>
          <w:rFonts w:ascii="Arial" w:hAnsi="Arial" w:cs="Arial"/>
          <w:spacing w:val="-2"/>
          <w:sz w:val="22"/>
        </w:rPr>
        <w:t>and</w:t>
      </w:r>
      <w:proofErr w:type="spellEnd"/>
      <w:r w:rsidRPr="00F42F45">
        <w:rPr>
          <w:rFonts w:ascii="Arial" w:hAnsi="Arial" w:cs="Arial"/>
          <w:spacing w:val="-2"/>
          <w:sz w:val="22"/>
        </w:rPr>
        <w:t xml:space="preserve"> </w:t>
      </w:r>
      <w:proofErr w:type="spellStart"/>
      <w:r w:rsidRPr="00F42F45">
        <w:rPr>
          <w:rFonts w:ascii="Arial" w:hAnsi="Arial" w:cs="Arial"/>
          <w:spacing w:val="-2"/>
          <w:sz w:val="22"/>
        </w:rPr>
        <w:t>High</w:t>
      </w:r>
      <w:proofErr w:type="spellEnd"/>
      <w:r w:rsidR="001B3A68">
        <w:rPr>
          <w:rFonts w:ascii="Arial" w:hAnsi="Arial" w:cs="Arial"/>
          <w:spacing w:val="-2"/>
          <w:sz w:val="22"/>
        </w:rPr>
        <w:t xml:space="preserve"> </w:t>
      </w:r>
      <w:proofErr w:type="spellStart"/>
      <w:r w:rsidRPr="00F42F45">
        <w:rPr>
          <w:rFonts w:ascii="Arial" w:hAnsi="Arial" w:cs="Arial"/>
          <w:spacing w:val="-2"/>
          <w:sz w:val="22"/>
        </w:rPr>
        <w:t>Voltage</w:t>
      </w:r>
      <w:proofErr w:type="spellEnd"/>
      <w:r w:rsidRPr="00F42F45">
        <w:rPr>
          <w:rFonts w:ascii="Arial" w:hAnsi="Arial" w:cs="Arial"/>
          <w:spacing w:val="-2"/>
          <w:sz w:val="22"/>
        </w:rPr>
        <w:t xml:space="preserve"> </w:t>
      </w:r>
      <w:proofErr w:type="spellStart"/>
      <w:r w:rsidRPr="00F42F45">
        <w:rPr>
          <w:rFonts w:ascii="Arial" w:hAnsi="Arial" w:cs="Arial"/>
          <w:spacing w:val="-2"/>
          <w:sz w:val="22"/>
        </w:rPr>
        <w:t>Switching</w:t>
      </w:r>
      <w:proofErr w:type="spellEnd"/>
      <w:r w:rsidRPr="00F42F45">
        <w:rPr>
          <w:rFonts w:ascii="Arial" w:hAnsi="Arial" w:cs="Arial"/>
          <w:spacing w:val="-2"/>
          <w:sz w:val="22"/>
        </w:rPr>
        <w:t xml:space="preserve"> </w:t>
      </w:r>
      <w:proofErr w:type="spellStart"/>
      <w:r w:rsidRPr="00F42F45">
        <w:rPr>
          <w:rFonts w:ascii="Arial" w:hAnsi="Arial" w:cs="Arial"/>
          <w:spacing w:val="-2"/>
          <w:sz w:val="22"/>
        </w:rPr>
        <w:t>Devices</w:t>
      </w:r>
      <w:proofErr w:type="spellEnd"/>
      <w:r w:rsidRPr="00F42F45">
        <w:rPr>
          <w:rFonts w:ascii="Arial" w:hAnsi="Arial" w:cs="Arial"/>
          <w:spacing w:val="-2"/>
          <w:sz w:val="22"/>
        </w:rPr>
        <w:t>”.</w:t>
      </w:r>
      <w:hyperlink r:id="rId8" w:history="1"/>
    </w:p>
    <w:p w14:paraId="4C7A8844" w14:textId="6DBFF5CF" w:rsidR="002B2791" w:rsidRPr="00F42F45" w:rsidRDefault="002B2791">
      <w:pPr>
        <w:numPr>
          <w:ilvl w:val="0"/>
          <w:numId w:val="55"/>
        </w:numPr>
        <w:jc w:val="both"/>
        <w:rPr>
          <w:rFonts w:ascii="Arial" w:hAnsi="Arial" w:cs="Arial"/>
          <w:spacing w:val="-2"/>
          <w:sz w:val="22"/>
        </w:rPr>
      </w:pPr>
      <w:r w:rsidRPr="00F42F45">
        <w:rPr>
          <w:rFonts w:ascii="Arial" w:hAnsi="Arial" w:cs="Arial"/>
          <w:spacing w:val="-2"/>
          <w:sz w:val="22"/>
        </w:rPr>
        <w:t xml:space="preserve">The scope of the subject-matter of the procurement, available in the separate ZIP file “Annex 2_Technical Specification (Description and Scope of </w:t>
      </w:r>
      <w:proofErr w:type="spellStart"/>
      <w:r w:rsidRPr="00F42F45">
        <w:rPr>
          <w:rFonts w:ascii="Arial" w:hAnsi="Arial" w:cs="Arial"/>
          <w:spacing w:val="-2"/>
          <w:sz w:val="22"/>
        </w:rPr>
        <w:t>the</w:t>
      </w:r>
      <w:proofErr w:type="spellEnd"/>
      <w:r w:rsidRPr="00F42F45">
        <w:rPr>
          <w:rFonts w:ascii="Arial" w:hAnsi="Arial" w:cs="Arial"/>
          <w:spacing w:val="-2"/>
          <w:sz w:val="22"/>
        </w:rPr>
        <w:t xml:space="preserve"> </w:t>
      </w:r>
      <w:proofErr w:type="spellStart"/>
      <w:r w:rsidRPr="00F42F45">
        <w:rPr>
          <w:rFonts w:ascii="Arial" w:hAnsi="Arial" w:cs="Arial"/>
          <w:spacing w:val="-2"/>
          <w:sz w:val="22"/>
        </w:rPr>
        <w:t>Subject-matter</w:t>
      </w:r>
      <w:proofErr w:type="spellEnd"/>
      <w:r w:rsidRPr="00F42F45">
        <w:rPr>
          <w:rFonts w:ascii="Arial" w:hAnsi="Arial" w:cs="Arial"/>
          <w:spacing w:val="-2"/>
          <w:sz w:val="22"/>
        </w:rPr>
        <w:t xml:space="preserve"> </w:t>
      </w:r>
      <w:proofErr w:type="spellStart"/>
      <w:r w:rsidRPr="00F42F45">
        <w:rPr>
          <w:rFonts w:ascii="Arial" w:hAnsi="Arial" w:cs="Arial"/>
          <w:spacing w:val="-2"/>
          <w:sz w:val="22"/>
        </w:rPr>
        <w:t>of</w:t>
      </w:r>
      <w:proofErr w:type="spellEnd"/>
      <w:r w:rsidRPr="00F42F45">
        <w:rPr>
          <w:rFonts w:ascii="Arial" w:hAnsi="Arial" w:cs="Arial"/>
          <w:spacing w:val="-2"/>
          <w:sz w:val="22"/>
        </w:rPr>
        <w:t xml:space="preserve"> </w:t>
      </w:r>
      <w:proofErr w:type="spellStart"/>
      <w:r w:rsidRPr="00F42F45">
        <w:rPr>
          <w:rFonts w:ascii="Arial" w:hAnsi="Arial" w:cs="Arial"/>
          <w:spacing w:val="-2"/>
          <w:sz w:val="22"/>
        </w:rPr>
        <w:t>the</w:t>
      </w:r>
      <w:proofErr w:type="spellEnd"/>
      <w:r w:rsidRPr="00F42F45">
        <w:rPr>
          <w:rFonts w:ascii="Arial" w:hAnsi="Arial" w:cs="Arial"/>
          <w:spacing w:val="-2"/>
          <w:sz w:val="22"/>
        </w:rPr>
        <w:t xml:space="preserve"> </w:t>
      </w:r>
      <w:proofErr w:type="spellStart"/>
      <w:r w:rsidRPr="00F42F45">
        <w:rPr>
          <w:rFonts w:ascii="Arial" w:hAnsi="Arial" w:cs="Arial"/>
          <w:spacing w:val="-2"/>
          <w:sz w:val="22"/>
        </w:rPr>
        <w:t>Procurement</w:t>
      </w:r>
      <w:proofErr w:type="spellEnd"/>
      <w:r w:rsidRPr="00F42F45">
        <w:rPr>
          <w:rFonts w:ascii="Arial" w:hAnsi="Arial" w:cs="Arial"/>
          <w:spacing w:val="-2"/>
          <w:sz w:val="22"/>
        </w:rPr>
        <w:t xml:space="preserve">)”, </w:t>
      </w:r>
      <w:proofErr w:type="spellStart"/>
      <w:r w:rsidRPr="00F42F45">
        <w:rPr>
          <w:rFonts w:ascii="Arial" w:hAnsi="Arial" w:cs="Arial"/>
          <w:spacing w:val="-2"/>
          <w:sz w:val="22"/>
        </w:rPr>
        <w:t>is</w:t>
      </w:r>
      <w:proofErr w:type="spellEnd"/>
      <w:r w:rsidRPr="00F42F45">
        <w:rPr>
          <w:rFonts w:ascii="Arial" w:hAnsi="Arial" w:cs="Arial"/>
          <w:spacing w:val="-2"/>
          <w:sz w:val="22"/>
        </w:rPr>
        <w:t xml:space="preserve"> </w:t>
      </w:r>
      <w:proofErr w:type="spellStart"/>
      <w:r w:rsidRPr="00F42F45">
        <w:rPr>
          <w:rFonts w:ascii="Arial" w:hAnsi="Arial" w:cs="Arial"/>
          <w:spacing w:val="-2"/>
          <w:sz w:val="22"/>
        </w:rPr>
        <w:t>provisional</w:t>
      </w:r>
      <w:proofErr w:type="spellEnd"/>
      <w:r w:rsidRPr="00F42F45">
        <w:rPr>
          <w:rFonts w:ascii="Arial" w:hAnsi="Arial" w:cs="Arial"/>
          <w:spacing w:val="-2"/>
          <w:sz w:val="22"/>
        </w:rPr>
        <w:t>.</w:t>
      </w:r>
    </w:p>
    <w:p w14:paraId="22520ECD" w14:textId="730ED72E" w:rsidR="00F60C0D" w:rsidRPr="00F42F45" w:rsidRDefault="00FA2EA1">
      <w:pPr>
        <w:numPr>
          <w:ilvl w:val="0"/>
          <w:numId w:val="55"/>
        </w:numPr>
        <w:jc w:val="both"/>
        <w:rPr>
          <w:rFonts w:ascii="Arial" w:hAnsi="Arial" w:cs="Arial"/>
          <w:spacing w:val="-2"/>
          <w:sz w:val="22"/>
        </w:rPr>
      </w:pPr>
      <w:r w:rsidRPr="00F42F45">
        <w:rPr>
          <w:rFonts w:ascii="Arial" w:hAnsi="Arial" w:cs="Arial"/>
          <w:spacing w:val="-2"/>
          <w:sz w:val="22"/>
        </w:rPr>
        <w:t>The technical compliance of the Goods may be certified in one of the following two ways:</w:t>
      </w:r>
    </w:p>
    <w:p w14:paraId="410E9787" w14:textId="61A59C08" w:rsidR="00F60C0D" w:rsidRPr="00C854AB" w:rsidRDefault="00FA2EA1">
      <w:pPr>
        <w:numPr>
          <w:ilvl w:val="0"/>
          <w:numId w:val="56"/>
        </w:numPr>
        <w:tabs>
          <w:tab w:val="clear" w:pos="432"/>
        </w:tabs>
        <w:ind w:left="851"/>
        <w:jc w:val="both"/>
        <w:rPr>
          <w:rFonts w:ascii="Arial" w:hAnsi="Arial" w:cs="Arial"/>
          <w:spacing w:val="-2"/>
          <w:sz w:val="22"/>
        </w:rPr>
      </w:pPr>
      <w:r w:rsidRPr="00F42F45">
        <w:rPr>
          <w:rFonts w:ascii="Arial" w:hAnsi="Arial" w:cs="Arial"/>
          <w:spacing w:val="-2"/>
          <w:sz w:val="22"/>
        </w:rPr>
        <w:t xml:space="preserve">The Tenderer may offer Goods whose technical compliance has already been evaluated in accordance with the material technical compliance assessment system of AS “Sadales tīkls” and which are included in the material register of AS “Sadales tīkls” (https://sadalestikls.lv/lv/materialu-registrs). Please see the included product groups in the register according to the first two digits of the material </w:t>
      </w:r>
      <w:proofErr w:type="spellStart"/>
      <w:r w:rsidRPr="00F42F45">
        <w:rPr>
          <w:rFonts w:ascii="Arial" w:hAnsi="Arial" w:cs="Arial"/>
          <w:spacing w:val="-2"/>
          <w:sz w:val="22"/>
        </w:rPr>
        <w:t>category</w:t>
      </w:r>
      <w:proofErr w:type="spellEnd"/>
      <w:r w:rsidRPr="00F42F45">
        <w:rPr>
          <w:rFonts w:ascii="Arial" w:hAnsi="Arial" w:cs="Arial"/>
          <w:spacing w:val="-2"/>
          <w:sz w:val="22"/>
        </w:rPr>
        <w:t xml:space="preserve"> </w:t>
      </w:r>
      <w:proofErr w:type="spellStart"/>
      <w:r w:rsidRPr="00F42F45">
        <w:rPr>
          <w:rFonts w:ascii="Arial" w:hAnsi="Arial" w:cs="Arial"/>
          <w:spacing w:val="-2"/>
          <w:sz w:val="22"/>
        </w:rPr>
        <w:t>number</w:t>
      </w:r>
      <w:proofErr w:type="spellEnd"/>
      <w:r w:rsidRPr="00F42F45">
        <w:rPr>
          <w:rFonts w:ascii="Arial" w:hAnsi="Arial" w:cs="Arial"/>
          <w:spacing w:val="-2"/>
          <w:sz w:val="22"/>
        </w:rPr>
        <w:t xml:space="preserve"> </w:t>
      </w:r>
      <w:proofErr w:type="spellStart"/>
      <w:r w:rsidRPr="00F42F45">
        <w:rPr>
          <w:rFonts w:ascii="Arial" w:hAnsi="Arial" w:cs="Arial"/>
          <w:spacing w:val="-2"/>
          <w:sz w:val="22"/>
        </w:rPr>
        <w:t>of</w:t>
      </w:r>
      <w:proofErr w:type="spellEnd"/>
      <w:r w:rsidRPr="00F42F45">
        <w:rPr>
          <w:rFonts w:ascii="Arial" w:hAnsi="Arial" w:cs="Arial"/>
          <w:spacing w:val="-2"/>
          <w:sz w:val="22"/>
        </w:rPr>
        <w:t xml:space="preserve"> </w:t>
      </w:r>
      <w:proofErr w:type="spellStart"/>
      <w:r w:rsidRPr="00F42F45">
        <w:rPr>
          <w:rFonts w:ascii="Arial" w:hAnsi="Arial" w:cs="Arial"/>
          <w:spacing w:val="-2"/>
          <w:sz w:val="22"/>
        </w:rPr>
        <w:t>the</w:t>
      </w:r>
      <w:proofErr w:type="spellEnd"/>
      <w:r w:rsidRPr="00F42F45">
        <w:rPr>
          <w:rFonts w:ascii="Arial" w:hAnsi="Arial" w:cs="Arial"/>
          <w:spacing w:val="-2"/>
          <w:sz w:val="22"/>
        </w:rPr>
        <w:t xml:space="preserve"> relevant </w:t>
      </w:r>
      <w:proofErr w:type="spellStart"/>
      <w:r w:rsidRPr="00F42F45">
        <w:rPr>
          <w:rFonts w:ascii="Arial" w:hAnsi="Arial" w:cs="Arial"/>
          <w:spacing w:val="-2"/>
          <w:sz w:val="22"/>
        </w:rPr>
        <w:t>Goods</w:t>
      </w:r>
      <w:proofErr w:type="spellEnd"/>
      <w:r w:rsidRPr="00F42F45">
        <w:rPr>
          <w:rFonts w:ascii="Arial" w:hAnsi="Arial" w:cs="Arial"/>
          <w:spacing w:val="-2"/>
          <w:sz w:val="22"/>
        </w:rPr>
        <w:t xml:space="preserve">, </w:t>
      </w:r>
      <w:proofErr w:type="spellStart"/>
      <w:r w:rsidRPr="00F42F45">
        <w:rPr>
          <w:rFonts w:ascii="Arial" w:hAnsi="Arial" w:cs="Arial"/>
          <w:spacing w:val="-2"/>
          <w:sz w:val="22"/>
        </w:rPr>
        <w:t>or</w:t>
      </w:r>
      <w:proofErr w:type="spellEnd"/>
      <w:hyperlink r:id="rId9" w:history="1"/>
    </w:p>
    <w:p w14:paraId="67D7F3B4" w14:textId="77777777" w:rsidR="00FA2EA1" w:rsidRPr="00C854AB" w:rsidRDefault="00FA2EA1">
      <w:pPr>
        <w:numPr>
          <w:ilvl w:val="0"/>
          <w:numId w:val="56"/>
        </w:numPr>
        <w:tabs>
          <w:tab w:val="clear" w:pos="432"/>
        </w:tabs>
        <w:ind w:left="851"/>
        <w:jc w:val="both"/>
        <w:rPr>
          <w:rFonts w:ascii="Arial" w:hAnsi="Arial" w:cs="Arial"/>
          <w:spacing w:val="-2"/>
          <w:sz w:val="22"/>
        </w:rPr>
      </w:pPr>
      <w:r w:rsidRPr="00C854AB">
        <w:rPr>
          <w:rFonts w:ascii="Arial" w:hAnsi="Arial" w:cs="Arial"/>
          <w:spacing w:val="-2"/>
          <w:sz w:val="22"/>
        </w:rPr>
        <w:t>The Tenderer may offer Goods that comply with the technical specification by completing and submitting it with respect to the lot for which the tender will be submitted.</w:t>
      </w:r>
    </w:p>
    <w:p w14:paraId="61A4C474" w14:textId="16B43BDB" w:rsidR="00AF4CD2" w:rsidRPr="00C854AB" w:rsidRDefault="00AF4CD2">
      <w:pPr>
        <w:numPr>
          <w:ilvl w:val="0"/>
          <w:numId w:val="55"/>
        </w:numPr>
        <w:jc w:val="both"/>
        <w:rPr>
          <w:rFonts w:ascii="Arial" w:hAnsi="Arial" w:cs="Arial"/>
          <w:spacing w:val="-2"/>
          <w:sz w:val="22"/>
        </w:rPr>
      </w:pPr>
      <w:r w:rsidRPr="00C854AB">
        <w:rPr>
          <w:rFonts w:ascii="Arial" w:hAnsi="Arial" w:cs="Arial"/>
          <w:spacing w:val="-2"/>
          <w:sz w:val="22"/>
        </w:rPr>
        <w:t>Delivery of the Goods shall be carried out within the term to be determined in each separate procurement procedure within the DPS. When determining the delivery period of the Goods, it will be ensured that it is not shorter than 8 (eight) weeks from the date on which the procurement contract is signed by both parties.</w:t>
      </w:r>
    </w:p>
    <w:p w14:paraId="261ED7BF" w14:textId="77777777" w:rsidR="00F60C0D" w:rsidRPr="00F42F45" w:rsidRDefault="00FA2EA1">
      <w:pPr>
        <w:numPr>
          <w:ilvl w:val="0"/>
          <w:numId w:val="55"/>
        </w:numPr>
        <w:jc w:val="both"/>
        <w:rPr>
          <w:rFonts w:ascii="Arial" w:hAnsi="Arial" w:cs="Arial"/>
          <w:spacing w:val="-2"/>
          <w:sz w:val="22"/>
        </w:rPr>
      </w:pPr>
      <w:r w:rsidRPr="00F42F45">
        <w:rPr>
          <w:rFonts w:ascii="Arial" w:hAnsi="Arial" w:cs="Arial"/>
          <w:spacing w:val="-2"/>
          <w:sz w:val="22"/>
        </w:rPr>
        <w:t>Delivery address – AS “Sadales tīkls” warehouse, Stigu iela 8, Riga, Latvia.</w:t>
      </w:r>
    </w:p>
    <w:p w14:paraId="3C4B50E8" w14:textId="67D40E7F" w:rsidR="00BA41CE" w:rsidRPr="001208F6" w:rsidRDefault="00F60C0D" w:rsidP="001208F6">
      <w:pPr>
        <w:numPr>
          <w:ilvl w:val="0"/>
          <w:numId w:val="55"/>
        </w:numPr>
        <w:jc w:val="both"/>
        <w:rPr>
          <w:rFonts w:ascii="Arial" w:hAnsi="Arial" w:cs="Arial"/>
          <w:spacing w:val="-2"/>
          <w:sz w:val="22"/>
        </w:rPr>
      </w:pPr>
      <w:r w:rsidRPr="00C854AB">
        <w:rPr>
          <w:rFonts w:ascii="Arial" w:hAnsi="Arial" w:cs="Arial"/>
          <w:spacing w:val="-2"/>
          <w:sz w:val="22"/>
        </w:rPr>
        <w:t>All Goods must be provided with a warranty of at least 36 (thirty-six) months after their delivery (unless the manufacturer or the supplier has specified a longer period).</w:t>
      </w:r>
    </w:p>
    <w:sectPr w:rsidR="00BA41CE" w:rsidRPr="001208F6" w:rsidSect="00506A36">
      <w:footerReference w:type="default" r:id="rId10"/>
      <w:head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32C94" w14:textId="77777777" w:rsidR="00F33B66" w:rsidRPr="00CB4D04" w:rsidRDefault="00F33B66">
      <w:r w:rsidRPr="00CB4D04">
        <w:separator/>
      </w:r>
    </w:p>
  </w:endnote>
  <w:endnote w:type="continuationSeparator" w:id="0">
    <w:p w14:paraId="31B26E82" w14:textId="77777777" w:rsidR="00F33B66" w:rsidRPr="00CB4D04" w:rsidRDefault="00F33B66">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Times New Roman"/>
    <w:charset w:val="BA"/>
    <w:family w:val="roman"/>
    <w:pitch w:val="variable"/>
    <w:sig w:usb0="800002AF" w:usb1="5000204A" w:usb2="00000000" w:usb3="00000000" w:csb0="0000009F" w:csb1="00000000"/>
  </w:font>
  <w:font w:name="RimHelvetica">
    <w:altName w:val="Arial"/>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750D" w14:textId="77777777" w:rsidR="00F33B66" w:rsidRPr="00CB4D04" w:rsidRDefault="00F33B66">
      <w:r w:rsidRPr="00CB4D04">
        <w:separator/>
      </w:r>
    </w:p>
  </w:footnote>
  <w:footnote w:type="continuationSeparator" w:id="0">
    <w:p w14:paraId="52504204" w14:textId="77777777" w:rsidR="00F33B66" w:rsidRPr="00CB4D04" w:rsidRDefault="00F33B66">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8F6"/>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566"/>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A68"/>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B66"/>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578"/>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dalestikls.lv/lv/tehnisko-specifikaciju-saraks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dalestikls.lv/lv/materialu-regist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1642</Words>
  <Characters>936</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2573</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3</cp:revision>
  <cp:lastPrinted>2024-09-23T12:53:00Z</cp:lastPrinted>
  <dcterms:created xsi:type="dcterms:W3CDTF">2026-07-08T17:51:00Z</dcterms:created>
  <dcterms:modified xsi:type="dcterms:W3CDTF">2026-07-10T04:53:00Z</dcterms:modified>
</cp:coreProperties>
</file>