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60C11" w14:textId="3B928BDB" w:rsidR="006E402C" w:rsidRPr="00F572E7" w:rsidRDefault="00F572E7" w:rsidP="00F572E7">
      <w:pPr>
        <w:jc w:val="both"/>
      </w:pPr>
      <w:r>
        <w:t>Pielikums __</w:t>
      </w:r>
    </w:p>
    <w:p w14:paraId="000C2408" w14:textId="75682244" w:rsidR="00F572E7" w:rsidRPr="00F572E7" w:rsidRDefault="00F572E7" w:rsidP="00F572E7">
      <w:pPr>
        <w:jc w:val="both"/>
        <w:rPr>
          <w:b/>
          <w:bCs/>
        </w:rPr>
      </w:pPr>
      <w:r>
        <w:rPr>
          <w:b/>
        </w:rPr>
        <w:t xml:space="preserve">Apdrošināšanas prasības </w:t>
      </w:r>
      <w:r w:rsidR="00616D86">
        <w:rPr>
          <w:b/>
        </w:rPr>
        <w:t>Būvuzņēmējam</w:t>
      </w:r>
    </w:p>
    <w:p w14:paraId="153FEB3B" w14:textId="09CA24BF" w:rsidR="00F572E7" w:rsidRDefault="00F572E7" w:rsidP="00F572E7">
      <w:pPr>
        <w:jc w:val="both"/>
      </w:pPr>
      <w:r>
        <w:rPr>
          <w:b/>
          <w:u w:val="single"/>
        </w:rPr>
        <w:t>Prasības polisei</w:t>
      </w:r>
      <w:r>
        <w:t>: Būvuzņēmējam jāiegādājas un norādītajā termiņā pilnībā jāuztur spēkā Līguma dokumentos norādītās un tālāk uzskaitītās standarta apdrošināšanas seguma polises (Polises segums). Uz visām polisēm attiecas šādi noteikumi:</w:t>
      </w:r>
    </w:p>
    <w:p w14:paraId="21EAD991" w14:textId="0B7FF892" w:rsidR="00F572E7" w:rsidRDefault="00F572E7" w:rsidP="40086FCF">
      <w:pPr>
        <w:pStyle w:val="ListParagraph"/>
        <w:numPr>
          <w:ilvl w:val="0"/>
          <w:numId w:val="1"/>
        </w:numPr>
        <w:ind w:left="714" w:hanging="357"/>
        <w:jc w:val="both"/>
      </w:pPr>
      <w:r>
        <w:t>Visās polisēs (izņemot strādnieku atlīdzību/ darba devēja atbildības apdrošināšanu) kā papildu apdrošinātās personas attiecībā uz atbildību, kas izriet no šajā Līgumā aprakstītajiem darbiem, ir jānorāda ĪPAŠNIEKS un tā amatpersonas, aģenti, darbinieki, saistītās struktūras, tiesību pārņēmēji. Turklāt apstiprinājums paredz, ka papildu apdrošinātās personas neietekmē jebkādi BŪVUZŅĒMĒJA pieļauti jebkura minētās polises noteikuma pārkāpumi.</w:t>
      </w:r>
    </w:p>
    <w:p w14:paraId="3B169966" w14:textId="55A01ACC" w:rsidR="007C5E81" w:rsidRDefault="007C5E81" w:rsidP="007C5E81">
      <w:pPr>
        <w:pStyle w:val="ListParagraph"/>
        <w:numPr>
          <w:ilvl w:val="0"/>
          <w:numId w:val="1"/>
        </w:numPr>
        <w:ind w:left="714" w:hanging="357"/>
        <w:contextualSpacing w:val="0"/>
        <w:jc w:val="both"/>
      </w:pPr>
      <w:r>
        <w:t>Apdrošināšanas prasības nepieļauj novirzes no noteikuma par BŪVUZŅĒMĒJA pienākumu nodrošināt kompensāciju ĪPAŠNIEKAM.</w:t>
      </w:r>
    </w:p>
    <w:p w14:paraId="7A30F805" w14:textId="223ED9BB" w:rsidR="007C5E81" w:rsidRDefault="007C5E81" w:rsidP="40086FCF">
      <w:pPr>
        <w:pStyle w:val="ListParagraph"/>
        <w:numPr>
          <w:ilvl w:val="0"/>
          <w:numId w:val="1"/>
        </w:numPr>
        <w:ind w:left="714" w:hanging="357"/>
        <w:jc w:val="both"/>
      </w:pPr>
      <w:r>
        <w:t xml:space="preserve">Visām apdrošināšanas polisēm jābūt primārām un ar iemaksām nesaistītām, un tām jābūt iegādātām apdrošināšanas sabiedrībā, kurai piešķirts aktuāls A.M. Best reitings (vai līdzīgs reitings, ja minētais vairs nav pieejams) A/VIII vai augstākā līmenī un kurai atļauts veikt uzņēmējdarbību </w:t>
      </w:r>
      <w:r>
        <w:rPr>
          <w:u w:val="single"/>
        </w:rPr>
        <w:t>Ņujorkas štatā</w:t>
      </w:r>
      <w:r>
        <w:t>.</w:t>
      </w:r>
    </w:p>
    <w:p w14:paraId="4548915F" w14:textId="50067AE1" w:rsidR="007C5E81" w:rsidRDefault="00E02ADB" w:rsidP="3CD3995E">
      <w:pPr>
        <w:pStyle w:val="ListParagraph"/>
        <w:numPr>
          <w:ilvl w:val="0"/>
          <w:numId w:val="1"/>
        </w:numPr>
        <w:ind w:left="714" w:hanging="357"/>
        <w:jc w:val="both"/>
      </w:pPr>
      <w:r>
        <w:t>Visās polisēs jābūt paredzētam, ka paziņojums par atcelšanu jāsniedz vismaz 30 dienas iepriekš, ar nosacījumu, ka jebkuru paziņojumu par atcelšanu iepriekš rakstiski apstiprina ĪPAŠNIEKS.</w:t>
      </w:r>
    </w:p>
    <w:p w14:paraId="356FEBDE" w14:textId="10D8E757" w:rsidR="00E02ADB" w:rsidRDefault="003812FA" w:rsidP="007C5E81">
      <w:pPr>
        <w:pStyle w:val="ListParagraph"/>
        <w:numPr>
          <w:ilvl w:val="0"/>
          <w:numId w:val="1"/>
        </w:numPr>
        <w:ind w:left="714" w:hanging="357"/>
        <w:contextualSpacing w:val="0"/>
        <w:jc w:val="both"/>
      </w:pPr>
      <w:r>
        <w:t xml:space="preserve">BŪVUZŅĒMĒJS pirms darbu uzsākšanas iesniedz apdrošināšanas </w:t>
      </w:r>
      <w:r w:rsidR="003F10E0">
        <w:t>polises</w:t>
      </w:r>
      <w:r>
        <w:t>, kas apliecina, ka BŪVUZŅĒMĒJA apdrošināšana atbilst šī Līguma prasībām. BŪVUZŅĒMĒJS 60 dienu laikā pirms polišu derīguma termiņa beigām iesniedz atjauno</w:t>
      </w:r>
      <w:r w:rsidR="009E2F64">
        <w:t>tas</w:t>
      </w:r>
      <w:r>
        <w:t xml:space="preserve"> </w:t>
      </w:r>
      <w:r w:rsidR="00D02E8F">
        <w:t>polises</w:t>
      </w:r>
      <w:r>
        <w:t>.</w:t>
      </w:r>
    </w:p>
    <w:p w14:paraId="6660C4DE" w14:textId="60944168" w:rsidR="009C52FA" w:rsidRDefault="00B43D28" w:rsidP="007C5E81">
      <w:pPr>
        <w:pStyle w:val="ListParagraph"/>
        <w:numPr>
          <w:ilvl w:val="0"/>
          <w:numId w:val="1"/>
        </w:numPr>
        <w:ind w:left="714" w:hanging="357"/>
        <w:contextualSpacing w:val="0"/>
        <w:jc w:val="both"/>
      </w:pPr>
      <w:r>
        <w:t xml:space="preserve">BŪVUZŅĒMĒJS pēc ĪPAŠNIEKA pieprasījuma iesniedz arī apdrošināšanas polises apliecinošus </w:t>
      </w:r>
      <w:r w:rsidR="000C01D9">
        <w:t>līgumus</w:t>
      </w:r>
      <w:r w:rsidR="000C01D9" w:rsidRPr="000C01D9">
        <w:t xml:space="preserve"> </w:t>
      </w:r>
      <w:r w:rsidR="000C01D9">
        <w:t>(</w:t>
      </w:r>
      <w:r w:rsidR="000C01D9">
        <w:t>sertifikātus</w:t>
      </w:r>
      <w:r w:rsidR="000C01D9">
        <w:t>)</w:t>
      </w:r>
      <w:r>
        <w:t>.</w:t>
      </w:r>
    </w:p>
    <w:p w14:paraId="1FD6A7E9" w14:textId="404B3985" w:rsidR="008D5A0D" w:rsidRDefault="008D5A0D" w:rsidP="007C5E81">
      <w:pPr>
        <w:pStyle w:val="ListParagraph"/>
        <w:numPr>
          <w:ilvl w:val="0"/>
          <w:numId w:val="1"/>
        </w:numPr>
        <w:ind w:left="714" w:hanging="357"/>
        <w:contextualSpacing w:val="0"/>
        <w:jc w:val="both"/>
      </w:pPr>
      <w:r>
        <w:t>Ja BŪVUZŅĒMĒJS neiegādājas un neuztur nekādu Līguma dokumentos prasīto apdrošināšanu, ĪPAŠNIEKS, piecas (5) dienas iepriekš par to rakstiski paziņojot BŪVUZŅĒMĒJAM, var, bet tam nav pienākuma</w:t>
      </w:r>
      <w:r w:rsidR="003A4B26">
        <w:t>,</w:t>
      </w:r>
      <w:r>
        <w:t xml:space="preserve"> BŪVUZŅĒMĒJA vārdā iegādāties šādu apdrošināšanu un saņemt no BŪVUZŅĒMĒJA visu ĪPAŠNIEKA par šādu apdrošināšanu veikto maksājuma summu kompensāciju, vai arī ĪPAŠNIEKS attiecīgās summas var ieturēt no BŪVUZŅĒMĒJAM maksājamajām summām.</w:t>
      </w:r>
    </w:p>
    <w:p w14:paraId="56EA92C4" w14:textId="37566A6E" w:rsidR="004219D9" w:rsidRPr="00D91AA1" w:rsidRDefault="003C6972" w:rsidP="40086FCF">
      <w:pPr>
        <w:pStyle w:val="ListParagraph"/>
        <w:numPr>
          <w:ilvl w:val="0"/>
          <w:numId w:val="1"/>
        </w:numPr>
        <w:ind w:left="714" w:hanging="357"/>
        <w:jc w:val="both"/>
      </w:pPr>
      <w:r>
        <w:t>Visās polisēs jābūt ietvertam apdrošināšanas sabiedrības apliecinājumam, ka apdrošināšanas segums paliek spēkā arī tad, ja BŪVUZŅĒMĒJS kļūst maksātnespējīgs, bankrotē vai tiek likvidēts.</w:t>
      </w:r>
    </w:p>
    <w:p w14:paraId="26B09132" w14:textId="2BB6E0A3" w:rsidR="00587630" w:rsidRDefault="003A3A1B" w:rsidP="002B2A7D">
      <w:pPr>
        <w:ind w:left="357"/>
        <w:jc w:val="both"/>
      </w:pPr>
      <w:r>
        <w:rPr>
          <w:b/>
          <w:u w:val="single"/>
        </w:rPr>
        <w:t>Polises segums</w:t>
      </w:r>
      <w:r>
        <w:t xml:space="preserve"> Zemāk ir uzskaitīti BŪVUZŅĒMĒJA spēkā uzturamie standarta polises segumi. ĪPAŠNIEKS drīkst periodiski sniegt BŪVUZŅĒMĒJAM norādes palielināt uzturamā seguma summu vai pieprasīt lielākas seguma summas gadījumā, ja ir veicami sevišķi bīstami darbi. Visu šādu polišu noteikumus un nosacījumus, tostarp atskaitījumu summu, pārskata un pamatoti apstiprina ĪPAŠNIEKS.</w:t>
      </w:r>
    </w:p>
    <w:p w14:paraId="21D496B9" w14:textId="4C5C958B" w:rsidR="004A32ED" w:rsidRDefault="00875BFE" w:rsidP="00875BFE">
      <w:pPr>
        <w:pStyle w:val="ListParagraph"/>
        <w:numPr>
          <w:ilvl w:val="0"/>
          <w:numId w:val="2"/>
        </w:numPr>
        <w:jc w:val="both"/>
      </w:pPr>
      <w:r>
        <w:t>Strādniek</w:t>
      </w:r>
      <w:r w:rsidR="00AC0EED">
        <w:t>u</w:t>
      </w:r>
      <w:r>
        <w:t xml:space="preserve"> </w:t>
      </w:r>
      <w:r w:rsidR="00AC0EED">
        <w:t>atlīdzība</w:t>
      </w:r>
      <w:r>
        <w:t>, ievērojot likumā noteiktos ierobežojumus, sedz visu darbinieku medicīniskās izmaksas un zaudēto algu saskaņā ar vietējiem štata tiesību aktiem.</w:t>
      </w:r>
    </w:p>
    <w:p w14:paraId="30EF1641" w14:textId="77777777" w:rsidR="00403EA7" w:rsidRPr="00DF6EB4" w:rsidRDefault="00403EA7" w:rsidP="00403EA7">
      <w:pPr>
        <w:pStyle w:val="ListParagraph"/>
        <w:ind w:left="717"/>
        <w:jc w:val="both"/>
      </w:pPr>
    </w:p>
    <w:p w14:paraId="0760067C" w14:textId="08952330" w:rsidR="00875BFE" w:rsidRDefault="006B21D1" w:rsidP="00875BFE">
      <w:pPr>
        <w:pStyle w:val="ListParagraph"/>
        <w:numPr>
          <w:ilvl w:val="0"/>
          <w:numId w:val="2"/>
        </w:numPr>
        <w:jc w:val="both"/>
      </w:pPr>
      <w:r>
        <w:t xml:space="preserve">Darba devēja atbildības apdrošināšana ar šādiem minimālajiem </w:t>
      </w:r>
      <w:r w:rsidR="009832C5">
        <w:t>atlīdzības limitiem</w:t>
      </w:r>
      <w:r>
        <w:t>:</w:t>
      </w:r>
    </w:p>
    <w:p w14:paraId="673ACBD6" w14:textId="2D52CB76" w:rsidR="00DC0FE7" w:rsidRDefault="00DC0FE7" w:rsidP="00DC0FE7">
      <w:pPr>
        <w:pStyle w:val="ListParagraph"/>
        <w:numPr>
          <w:ilvl w:val="1"/>
          <w:numId w:val="2"/>
        </w:numPr>
        <w:jc w:val="both"/>
      </w:pPr>
      <w:r>
        <w:t>Miesas bojājumi slimības dēļ uz vienu personu</w:t>
      </w:r>
      <w:r w:rsidR="00DF6EB4">
        <w:tab/>
      </w:r>
      <w:r w:rsidR="00DF6EB4">
        <w:tab/>
      </w:r>
      <w:r w:rsidR="00DF6EB4">
        <w:tab/>
      </w:r>
      <w:r>
        <w:t xml:space="preserve">$ </w:t>
      </w:r>
      <w:bookmarkStart w:id="0" w:name="_Hlk124336902"/>
      <w:r>
        <w:t>1 000 000,00</w:t>
      </w:r>
      <w:bookmarkEnd w:id="0"/>
      <w:r w:rsidR="00B04649">
        <w:t xml:space="preserve"> </w:t>
      </w:r>
    </w:p>
    <w:p w14:paraId="494CC501" w14:textId="1E90F41A" w:rsidR="00D3473F" w:rsidRDefault="00D3473F" w:rsidP="00D3473F">
      <w:pPr>
        <w:pStyle w:val="ListParagraph"/>
        <w:numPr>
          <w:ilvl w:val="1"/>
          <w:numId w:val="2"/>
        </w:numPr>
        <w:jc w:val="both"/>
      </w:pPr>
      <w:r>
        <w:t>Miesas bojājumi slimības dēļ, polises limits</w:t>
      </w:r>
      <w:r w:rsidR="00DF6EB4">
        <w:tab/>
      </w:r>
      <w:r w:rsidR="00DF6EB4">
        <w:tab/>
      </w:r>
      <w:r w:rsidR="00DF6EB4">
        <w:tab/>
      </w:r>
      <w:r>
        <w:t>$ 1 000 000,00</w:t>
      </w:r>
      <w:r w:rsidR="00B04649">
        <w:t xml:space="preserve"> </w:t>
      </w:r>
    </w:p>
    <w:p w14:paraId="39EA8B9C" w14:textId="00392D94" w:rsidR="00D3473F" w:rsidRDefault="00D3473F" w:rsidP="00DC0FE7">
      <w:pPr>
        <w:pStyle w:val="ListParagraph"/>
        <w:numPr>
          <w:ilvl w:val="1"/>
          <w:numId w:val="2"/>
        </w:numPr>
        <w:jc w:val="both"/>
      </w:pPr>
      <w:r>
        <w:lastRenderedPageBreak/>
        <w:t>Miesas bojājumi, kas gūti nelaimes gadījumā, uz vienu personu</w:t>
      </w:r>
      <w:r w:rsidR="00DF6EB4">
        <w:tab/>
      </w:r>
      <w:r>
        <w:t>$ 1 000 000,00</w:t>
      </w:r>
    </w:p>
    <w:p w14:paraId="7DAC3CFD" w14:textId="1BA3DE6C" w:rsidR="004B05EE" w:rsidRDefault="004B05EE" w:rsidP="00DC0FE7">
      <w:pPr>
        <w:pStyle w:val="ListParagraph"/>
        <w:numPr>
          <w:ilvl w:val="1"/>
          <w:numId w:val="2"/>
        </w:numPr>
        <w:jc w:val="both"/>
      </w:pPr>
      <w:r>
        <w:t>Miesas bojājumi, kas gūti nelaimes gadījumā, polises limits</w:t>
      </w:r>
      <w:r w:rsidR="00DF6EB4">
        <w:tab/>
      </w:r>
      <w:r>
        <w:t>$ 1 000 000,00</w:t>
      </w:r>
    </w:p>
    <w:p w14:paraId="188A1D43" w14:textId="77777777" w:rsidR="00403EA7" w:rsidRPr="00DF6EB4" w:rsidRDefault="00403EA7" w:rsidP="00403EA7">
      <w:pPr>
        <w:pStyle w:val="ListParagraph"/>
        <w:ind w:left="1437"/>
        <w:jc w:val="both"/>
      </w:pPr>
    </w:p>
    <w:p w14:paraId="227CCCF5" w14:textId="2C570026" w:rsidR="00CF2F82" w:rsidRDefault="00275845" w:rsidP="006D7256">
      <w:pPr>
        <w:pStyle w:val="ListParagraph"/>
        <w:numPr>
          <w:ilvl w:val="0"/>
          <w:numId w:val="2"/>
        </w:numPr>
        <w:jc w:val="both"/>
      </w:pPr>
      <w:r>
        <w:t xml:space="preserve">Komerciālās vispārējās atbildības apdrošināšana, tostarp līgumiskās atbildības apdrošināšana katrai atrašanās vietai ar šādiem minimālajiem </w:t>
      </w:r>
      <w:r w:rsidR="00331CDF">
        <w:t xml:space="preserve">atlīdzības </w:t>
      </w:r>
      <w:r>
        <w:t>limitiem:</w:t>
      </w:r>
    </w:p>
    <w:p w14:paraId="1249C4D5" w14:textId="26C8A3AD" w:rsidR="00403EA7" w:rsidRDefault="00403EA7" w:rsidP="00403EA7">
      <w:pPr>
        <w:pStyle w:val="ListParagraph"/>
        <w:numPr>
          <w:ilvl w:val="1"/>
          <w:numId w:val="2"/>
        </w:numPr>
        <w:jc w:val="both"/>
      </w:pPr>
      <w:r>
        <w:t>Vispārējā kopsumma</w:t>
      </w:r>
      <w:r w:rsidR="00DF6EB4">
        <w:tab/>
      </w:r>
      <w:r w:rsidR="00DF6EB4">
        <w:tab/>
      </w:r>
      <w:r w:rsidR="00DF6EB4">
        <w:tab/>
      </w:r>
      <w:r w:rsidR="00DF6EB4">
        <w:tab/>
      </w:r>
      <w:r w:rsidR="00DF6EB4">
        <w:tab/>
      </w:r>
      <w:r w:rsidR="00DF6EB4">
        <w:tab/>
      </w:r>
      <w:r>
        <w:t>$ 1 000 000,00</w:t>
      </w:r>
    </w:p>
    <w:p w14:paraId="665F3D5B" w14:textId="2418CC93" w:rsidR="00403EA7" w:rsidRDefault="00647255" w:rsidP="00403EA7">
      <w:pPr>
        <w:pStyle w:val="ListParagraph"/>
        <w:numPr>
          <w:ilvl w:val="1"/>
          <w:numId w:val="2"/>
        </w:numPr>
        <w:jc w:val="both"/>
      </w:pPr>
      <w:r>
        <w:t>Produktu/ pabeigtas darbības kopsumma</w:t>
      </w:r>
      <w:r w:rsidR="00DF6EB4">
        <w:tab/>
      </w:r>
      <w:r w:rsidR="00DF6EB4">
        <w:tab/>
      </w:r>
      <w:r w:rsidR="00DF6EB4">
        <w:tab/>
      </w:r>
      <w:r>
        <w:t>$ 1 000 000,00</w:t>
      </w:r>
    </w:p>
    <w:p w14:paraId="7AB63EA9" w14:textId="7543E43B" w:rsidR="00647255" w:rsidRDefault="00647255" w:rsidP="00403EA7">
      <w:pPr>
        <w:pStyle w:val="ListParagraph"/>
        <w:numPr>
          <w:ilvl w:val="1"/>
          <w:numId w:val="2"/>
        </w:numPr>
        <w:jc w:val="both"/>
      </w:pPr>
      <w:r>
        <w:t>Katrs gadījums</w:t>
      </w:r>
      <w:r w:rsidR="00DF6EB4">
        <w:tab/>
      </w:r>
      <w:r w:rsidR="00DF6EB4">
        <w:tab/>
      </w:r>
      <w:r w:rsidR="00DF6EB4">
        <w:tab/>
      </w:r>
      <w:r w:rsidR="00DF6EB4">
        <w:tab/>
      </w:r>
      <w:r w:rsidR="00DF6EB4">
        <w:tab/>
      </w:r>
      <w:r w:rsidR="00DF6EB4">
        <w:tab/>
      </w:r>
      <w:r w:rsidR="00DF6EB4">
        <w:tab/>
      </w:r>
      <w:r>
        <w:t>$ 1 000 000,00</w:t>
      </w:r>
    </w:p>
    <w:p w14:paraId="44D44CDD" w14:textId="4EFF9F96" w:rsidR="00647255" w:rsidRDefault="00647255" w:rsidP="00403EA7">
      <w:pPr>
        <w:pStyle w:val="ListParagraph"/>
        <w:numPr>
          <w:ilvl w:val="1"/>
          <w:numId w:val="2"/>
        </w:numPr>
        <w:jc w:val="both"/>
      </w:pPr>
      <w:r>
        <w:t>Personiska rakstura un reklāmas ietvaros gūtas traumas</w:t>
      </w:r>
      <w:r w:rsidR="00DF6EB4">
        <w:tab/>
      </w:r>
      <w:r w:rsidR="00DF6EB4">
        <w:tab/>
      </w:r>
      <w:r>
        <w:t>$ 1 000 000,00</w:t>
      </w:r>
    </w:p>
    <w:p w14:paraId="10918A6A" w14:textId="7027F122" w:rsidR="00647255" w:rsidRDefault="00CC4540" w:rsidP="00CC4540">
      <w:pPr>
        <w:ind w:left="720"/>
        <w:jc w:val="both"/>
      </w:pPr>
      <w:r>
        <w:t>Pierādījumi par produktu/ pabeigto darbību segumu jāuzrāda vismaz divus gadus pēc šajā Līgumā aprakstītā darba pabeigšanas.</w:t>
      </w:r>
    </w:p>
    <w:p w14:paraId="475A8C4E" w14:textId="087B594A" w:rsidR="009C202F" w:rsidRDefault="007C1D37" w:rsidP="009C202F">
      <w:pPr>
        <w:pStyle w:val="ListParagraph"/>
        <w:numPr>
          <w:ilvl w:val="0"/>
          <w:numId w:val="2"/>
        </w:numPr>
        <w:jc w:val="both"/>
      </w:pPr>
      <w:r>
        <w:t>Automobiļu civiltiesiskās atbildības apdrošināšana ar kombinēto vienreizējo limitu, kas nav mazāks par $ 1 000 000,00. Šī apdrošināšana attiecas uz visiem īpašumā esošajiem, īpašumā neesošajiem un nomātajiem mehāniskajiem transportlīdzekļiem, kas tiek ekspluatēti BŪVUZŅĒMĒJA vārdā atbilstoši BŪVUZŅĒMĒJA darbībai saskaņā ar šo līgumu. Ja BŪVUZŅĒMĒJAM nepieder nekādi transportlīdzekļi, BŪVUZŅĒMĒJAM īpašumā neesošajiem un nomātajiem mehāniskajiem transportlīdzekļiem jānodrošina civiltiesiskās atbildības segums vismaz $ 1 000 000,00 apmērā.</w:t>
      </w:r>
    </w:p>
    <w:p w14:paraId="7D2E48D9" w14:textId="77777777" w:rsidR="002A4C5E" w:rsidRPr="00DF6EB4" w:rsidRDefault="002A4C5E" w:rsidP="002A4C5E">
      <w:pPr>
        <w:pStyle w:val="ListParagraph"/>
        <w:ind w:left="717"/>
        <w:jc w:val="both"/>
      </w:pPr>
    </w:p>
    <w:p w14:paraId="4AF3D89B" w14:textId="0B1F6FFE" w:rsidR="00FD2A56" w:rsidRDefault="00592EEF" w:rsidP="009C202F">
      <w:pPr>
        <w:pStyle w:val="ListParagraph"/>
        <w:numPr>
          <w:ilvl w:val="0"/>
          <w:numId w:val="2"/>
        </w:numPr>
        <w:jc w:val="both"/>
      </w:pPr>
      <w:r>
        <w:t>Jumta/ atbildības apdrošināšana par to daļu, kas pārsniedz primārās polises summu, pamatojoties uz šādu veidlapu, visām iepriekšminētajām polisēm (izņemot strādnieku atalgojuma apdrošināšanu) ar šādiem minimālajiem limitiem:</w:t>
      </w:r>
    </w:p>
    <w:p w14:paraId="5018109B" w14:textId="54E7F589" w:rsidR="008E19ED" w:rsidRPr="00DC1A83" w:rsidRDefault="008E19ED" w:rsidP="008E19ED">
      <w:pPr>
        <w:pStyle w:val="ListParagraph"/>
        <w:numPr>
          <w:ilvl w:val="1"/>
          <w:numId w:val="2"/>
        </w:numPr>
        <w:jc w:val="both"/>
      </w:pPr>
      <w:r>
        <w:t>Vispārējā kopsumma</w:t>
      </w:r>
      <w:r w:rsidR="00DF6EB4">
        <w:tab/>
      </w:r>
      <w:r w:rsidR="00DF6EB4">
        <w:tab/>
      </w:r>
      <w:r w:rsidR="00DF6EB4">
        <w:tab/>
      </w:r>
      <w:r w:rsidR="00DF6EB4">
        <w:tab/>
      </w:r>
      <w:r w:rsidR="00DF6EB4">
        <w:tab/>
      </w:r>
      <w:r w:rsidR="00DF6EB4">
        <w:tab/>
      </w:r>
      <w:r>
        <w:t>$ 5 000 000,00</w:t>
      </w:r>
    </w:p>
    <w:p w14:paraId="4B180903" w14:textId="695DD208" w:rsidR="008E19ED" w:rsidRPr="00DC1A83" w:rsidRDefault="008E19ED" w:rsidP="008E19ED">
      <w:pPr>
        <w:pStyle w:val="ListParagraph"/>
        <w:numPr>
          <w:ilvl w:val="1"/>
          <w:numId w:val="2"/>
        </w:numPr>
        <w:jc w:val="both"/>
      </w:pPr>
      <w:r>
        <w:t>Katrs gadījums</w:t>
      </w:r>
      <w:r w:rsidR="00DF6EB4">
        <w:tab/>
      </w:r>
      <w:r w:rsidR="00DF6EB4">
        <w:tab/>
      </w:r>
      <w:r w:rsidR="00DF6EB4">
        <w:tab/>
      </w:r>
      <w:r w:rsidR="00DF6EB4">
        <w:tab/>
      </w:r>
      <w:r w:rsidR="00DF6EB4">
        <w:tab/>
      </w:r>
      <w:r w:rsidR="00DF6EB4">
        <w:tab/>
      </w:r>
      <w:r w:rsidR="00DF6EB4">
        <w:tab/>
      </w:r>
      <w:r>
        <w:t>$ 5 000 000,00</w:t>
      </w:r>
    </w:p>
    <w:p w14:paraId="21D0CA8C" w14:textId="79102F29" w:rsidR="008E19ED" w:rsidRDefault="00053406" w:rsidP="008E19ED">
      <w:pPr>
        <w:ind w:left="720"/>
        <w:jc w:val="both"/>
      </w:pPr>
      <w:r>
        <w:t>Pierādījumi par produktu/ pabeigto darbību segumu jāuzrāda vismaz divus gadus pēc šajā Līgumā aprakstītā darba pabeigšanas.</w:t>
      </w:r>
    </w:p>
    <w:p w14:paraId="4709D7DF" w14:textId="2FA50127" w:rsidR="005B1B99" w:rsidRDefault="005B1B99" w:rsidP="005B1B99">
      <w:pPr>
        <w:jc w:val="both"/>
      </w:pPr>
      <w:r>
        <w:rPr>
          <w:b/>
          <w:u w:val="single"/>
        </w:rPr>
        <w:t>Apakšuzņēmēja prasības</w:t>
      </w:r>
      <w:r>
        <w:t xml:space="preserve"> BŪVUZŅĒMĒJS nodrošina, ka arī visiem jebkura līmeņa apakšuzņēmējiem ir tāda pati apdrošināšana un segums, kā noteikts iepriekš, un norāda savās attiecīgajās civiltiesiskās atbildības polisēs ĪPAŠNIEKU (tostarp tā amatpersonas, aģentus, darbiniekus, saistītās struktūras, tiesību pārņēmējus un cesionārus) kā papildu apdrošinātās personas, kā noteikts šajā dokumentā.</w:t>
      </w:r>
    </w:p>
    <w:p w14:paraId="7EBCAF49" w14:textId="57833F72" w:rsidR="00D870EE" w:rsidRDefault="005F0EB8" w:rsidP="005B1B99">
      <w:pPr>
        <w:jc w:val="both"/>
      </w:pPr>
      <w:r>
        <w:rPr>
          <w:b/>
          <w:u w:val="single"/>
        </w:rPr>
        <w:t>Kompensācija</w:t>
      </w:r>
      <w:r>
        <w:t xml:space="preserve"> BŪVUZŅĒMĒJS garantē kaitējuma kompensāciju, atbrīvošanu no atbildības un nodrošina tiesisko aizsardzību ĪPAŠNIEKAM un tā amatpersonām, aģentiem, darbiniekiem, saistītajām struktūrām, tiesību pārņēmējiem un cesionāriem attiecībā uz jebkādiem prasījumiem, prasībām, parādiem, tiesvedībām, zaudējumiem, kaitējumu, soda naudām, sodiem, saistībām, izmaksām un izdevumiem, tostarp juristu honorāriem, izdevumiem, tiesas izmaksām vai jebkāda veida prasībām gan saskaņā ar tiesību aktiem, gan taisnīguma principiem, (i) kas izriet vai par kuriem tiek apgalvots, ka tie izriet no BŪVUZŅĒMĒJA vai BŪVUZŅĒMĒJA jebkura līmeņa apakšuzņēmēju, licenciātu, uzaicināto personu, aģentu vai darbinieku bezdarbības, vainas, darbības, nolaidības vai pārkāpumu dēļ, vai (ii) kas izriet no BŪVUZŅĒMĒJA nespējas izpildīt savas vienošanās un saistības saskaņā ar šo Līgumu. BŪVUZŅĒMĒJS piekrīt, ka šajā Līgumā uzņemtās saistības paliek spēkā arī pēc šā Līguma termiņa beigām. BŪVUZŅĒMĒJS pieprasa, lai visi jebkura līmeņa apakšuzņēmēji nodrošinātu līdzīgu kompensāciju ĪPAŠNIEKA struktūrām.</w:t>
      </w:r>
    </w:p>
    <w:p w14:paraId="0EBA32BF" w14:textId="7C8ADAC6" w:rsidR="000B741B" w:rsidRDefault="00E902D8" w:rsidP="005B1B99">
      <w:pPr>
        <w:jc w:val="both"/>
      </w:pPr>
      <w:r>
        <w:rPr>
          <w:b/>
          <w:u w:val="single"/>
        </w:rPr>
        <w:t>Personiskais īpašums</w:t>
      </w:r>
      <w:r>
        <w:t xml:space="preserve"> Par visām iekārtām, mantām un jebkāda veida īpašumu, kas pieder BŪVUZŅĒMĒJAM un visām personām, kas sevi pozicionē par tā īpašniekiem ar BŪVUZŅĒMĒJA </w:t>
      </w:r>
      <w:r>
        <w:lastRenderedPageBreak/>
        <w:t>starpniecību vai tā pakļautībā, un kas atrodas Īpašumos, risku un atbildību par kaitējumu uzņemas tikai un vienīgi BŪVUZŅĒMĒJS, un, ja viss minētais īpašums vai kāda tā daļa tiek iznīcināta, sabojāta vai nozagta, neviena daļa no minētā zaudējuma vai kaitējuma nav jāuzņemas vai jāsedz ĪPAŠNIEKAM. Beidzoties šā Līguma darbības termiņam vai to izbeidzot pirms termiņa, BŪVUZŅĒMĒJS no Īpašumiem aizvāc visu savu personīgo īpašumu.</w:t>
      </w:r>
    </w:p>
    <w:p w14:paraId="663BBA15" w14:textId="379DFCD0" w:rsidR="00C4526D" w:rsidRDefault="00677C3B" w:rsidP="005B1B99">
      <w:pPr>
        <w:jc w:val="both"/>
      </w:pPr>
      <w:r>
        <w:rPr>
          <w:b/>
          <w:u w:val="single"/>
        </w:rPr>
        <w:t>Prasības pārņemšanas aizliegums</w:t>
      </w:r>
      <w:r>
        <w:t xml:space="preserve"> Visās apdrošināšanas polisēs, kuras saskaņā ar šo Līgumu jānodrošina un jāuztur BŪVUZŅĒMĒJAM, jāiekļauj klauzula, kas nosaka, ka apdrošinātājs atsakās no jebkādām piedziņas tiesībām, prasības pārņemšanas rezultātā vai citādi, pret ĪPAŠNIEKU (tostarp tā amatpersonām, aģentiem, darbiniekiem, saistītajām struktūrām, tiesību pārņēmējiem un cesionāriem). Visās šādās polisēs iekļauj klauzulu vai apstiprinājumu, kas liedz apdrošinātājam tiesības uz prasības pārņemšanu pret otru pusi, ciktāl apdrošinātais ir atteicies no tiesībām pirms traumas vai zaudējumu rašanās, un polises neaizliedz šādu atteikšanos. Neatkarīgi no jebkādiem pretējiem šā Līguma noteikumiem abas puses ar šo atsakās no jebkādām zaudējumu piedziņas tiesībām saistībā ar traumu vai zaudējumiem, ciktāl tos sedz šāda apdrošināšana (vai kas tiktu segti, ja šī puse būtu apdrošināta saskaņā ar šajā Līgumā prasīto). Visi atskaitījumi no šādas apdrošināšanas tiek uzskatīti par "apdrošināšanu" iepriekšminētā atteikuma izpratnē. Šis atteikums attiecas uz ĪPAŠNIEKU un ir par labu ĪPAŠNIEKAM. BŪVUZŅĒMĒJS pieprasa, lai līdzīgu atteikumu iesniegtu visi jebkura līmeņa apakšuzņēmēji.</w:t>
      </w:r>
    </w:p>
    <w:p w14:paraId="3C59501B" w14:textId="29F7A535" w:rsidR="00A47BFA" w:rsidRDefault="00C4526D" w:rsidP="005B1B99">
      <w:pPr>
        <w:jc w:val="both"/>
      </w:pPr>
      <w:r>
        <w:t>Tālāk sniegtā informācija ir jānorāda kā papildu apdrošinātie</w:t>
      </w:r>
      <w:r>
        <w:br/>
        <w:t>visās apdrošināšanas polisēs, kas jānodrošina BŪVUZŅĒMĒJAM un Apakšuzņēmējam saskaņā ar BŪVUZŅĒMĒJA dokumentiem; to var norādīt sertifikāta pielikumā:</w:t>
      </w:r>
    </w:p>
    <w:p w14:paraId="73E868E5" w14:textId="19733509" w:rsidR="005F0EB8" w:rsidRPr="005B1B99" w:rsidRDefault="001F35CE" w:rsidP="005B1B99">
      <w:pPr>
        <w:jc w:val="both"/>
      </w:pPr>
      <w:r>
        <w:t>ĪPAŠNIEKA nosaukums: VAS "Valsts nekustamie īpašumi", Latvijas Republikā reģistrēta valsts akciju sabiedrība, reģ. Nr. Latvijā 40003294758.</w:t>
      </w:r>
    </w:p>
    <w:p w14:paraId="09AB72A8" w14:textId="77777777" w:rsidR="00F572E7" w:rsidRPr="00F572E7" w:rsidRDefault="00F572E7" w:rsidP="00F572E7">
      <w:pPr>
        <w:jc w:val="both"/>
        <w:rPr>
          <w:lang w:val="en-US"/>
        </w:rPr>
      </w:pPr>
    </w:p>
    <w:p w14:paraId="5D4C51DA" w14:textId="77777777" w:rsidR="00F572E7" w:rsidRPr="00F572E7" w:rsidRDefault="00F572E7">
      <w:pPr>
        <w:rPr>
          <w:lang w:val="en-US"/>
        </w:rPr>
      </w:pPr>
    </w:p>
    <w:sectPr w:rsidR="00F572E7" w:rsidRPr="00F572E7" w:rsidSect="00DF6EB4">
      <w:headerReference w:type="even" r:id="rId10"/>
      <w:headerReference w:type="default" r:id="rId11"/>
      <w:footerReference w:type="default" r:id="rId12"/>
      <w:headerReference w:type="first" r:id="rId13"/>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69036" w14:textId="77777777" w:rsidR="001B63E1" w:rsidRDefault="001B63E1" w:rsidP="007C5E81">
      <w:pPr>
        <w:spacing w:after="0" w:line="240" w:lineRule="auto"/>
      </w:pPr>
      <w:r>
        <w:separator/>
      </w:r>
    </w:p>
  </w:endnote>
  <w:endnote w:type="continuationSeparator" w:id="0">
    <w:p w14:paraId="36B8FA58" w14:textId="77777777" w:rsidR="001B63E1" w:rsidRDefault="001B63E1" w:rsidP="007C5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5058338"/>
      <w:docPartObj>
        <w:docPartGallery w:val="Page Numbers (Bottom of Page)"/>
        <w:docPartUnique/>
      </w:docPartObj>
    </w:sdtPr>
    <w:sdtEndPr>
      <w:rPr>
        <w:noProof/>
      </w:rPr>
    </w:sdtEndPr>
    <w:sdtContent>
      <w:p w14:paraId="6A330D23" w14:textId="78D82B35" w:rsidR="00646ABD" w:rsidRDefault="00646ABD">
        <w:pPr>
          <w:pStyle w:val="Footer"/>
          <w:jc w:val="center"/>
        </w:pPr>
        <w:r>
          <w:fldChar w:fldCharType="begin"/>
        </w:r>
        <w:r>
          <w:instrText xml:space="preserve"> PAGE   \* MERGEFORMAT </w:instrText>
        </w:r>
        <w:r>
          <w:fldChar w:fldCharType="separate"/>
        </w:r>
        <w:r>
          <w:t>2</w:t>
        </w:r>
        <w:r>
          <w:fldChar w:fldCharType="end"/>
        </w:r>
      </w:p>
    </w:sdtContent>
  </w:sdt>
  <w:p w14:paraId="76A9A00C" w14:textId="77777777" w:rsidR="00646ABD" w:rsidRDefault="00646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90F74" w14:textId="77777777" w:rsidR="001B63E1" w:rsidRDefault="001B63E1" w:rsidP="007C5E81">
      <w:pPr>
        <w:spacing w:after="0" w:line="240" w:lineRule="auto"/>
      </w:pPr>
      <w:r>
        <w:separator/>
      </w:r>
    </w:p>
  </w:footnote>
  <w:footnote w:type="continuationSeparator" w:id="0">
    <w:p w14:paraId="575F62B7" w14:textId="77777777" w:rsidR="001B63E1" w:rsidRDefault="001B63E1" w:rsidP="007C5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0CC52" w14:textId="79001FD5" w:rsidR="00FE2DAF" w:rsidRDefault="00FE2DAF">
    <w:pPr>
      <w:pStyle w:val="Header"/>
    </w:pPr>
    <w:r>
      <w:rPr>
        <w:noProof/>
      </w:rPr>
      <mc:AlternateContent>
        <mc:Choice Requires="wps">
          <w:drawing>
            <wp:anchor distT="0" distB="0" distL="0" distR="0" simplePos="0" relativeHeight="251659264" behindDoc="0" locked="0" layoutInCell="1" allowOverlap="1" wp14:anchorId="14D22571" wp14:editId="31B75D28">
              <wp:simplePos x="635" y="635"/>
              <wp:positionH relativeFrom="column">
                <wp:align>center</wp:align>
              </wp:positionH>
              <wp:positionV relativeFrom="paragraph">
                <wp:posOffset>635</wp:posOffset>
              </wp:positionV>
              <wp:extent cx="443865" cy="443865"/>
              <wp:effectExtent l="0" t="0" r="17145" b="10160"/>
              <wp:wrapSquare wrapText="bothSides"/>
              <wp:docPr id="2" name="Text Box 2" descr="Client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63BDAA" w14:textId="206FF69B" w:rsidR="00FE2DAF" w:rsidRPr="00FE2DAF" w:rsidRDefault="00FE2DAF">
                          <w:pPr>
                            <w:rPr>
                              <w:rFonts w:ascii="Calibri" w:eastAsia="Calibri" w:hAnsi="Calibri" w:cs="Calibri"/>
                              <w:noProof/>
                              <w:color w:val="000000"/>
                              <w:sz w:val="14"/>
                              <w:szCs w:val="14"/>
                            </w:rPr>
                          </w:pPr>
                          <w:r>
                            <w:rPr>
                              <w:rFonts w:ascii="Calibri" w:hAnsi="Calibri"/>
                              <w:color w:val="000000"/>
                              <w:sz w:val="14"/>
                            </w:rPr>
                            <w:t>Konfidenciāls klients</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4D22571" id="_x0000_t202" coordsize="21600,21600" o:spt="202" path="m,l,21600r21600,l21600,xe">
              <v:stroke joinstyle="miter"/>
              <v:path gradientshapeok="t" o:connecttype="rect"/>
            </v:shapetype>
            <v:shape id="Text Box 2" o:spid="_x0000_s1026" type="#_x0000_t202" alt="Client Confidenti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2F63BDAA" w14:textId="206FF69B" w:rsidR="00FE2DAF" w:rsidRPr="00FE2DAF" w:rsidRDefault="00FE2DAF">
                    <w:pPr>
                      <w:rPr>
                        <w:rFonts w:ascii="Calibri" w:eastAsia="Calibri" w:hAnsi="Calibri" w:cs="Calibri"/>
                        <w:noProof/>
                        <w:color w:val="000000"/>
                        <w:sz w:val="14"/>
                        <w:szCs w:val="14"/>
                      </w:rPr>
                    </w:pPr>
                    <w:r>
                      <w:rPr>
                        <w:rFonts w:ascii="Calibri" w:hAnsi="Calibri"/>
                        <w:color w:val="000000"/>
                        <w:sz w:val="14"/>
                      </w:rPr>
                      <w:t>Konfidenciāls klients</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8C2BE" w14:textId="0646067A" w:rsidR="00FE2DAF" w:rsidRDefault="00FE2DAF">
    <w:pPr>
      <w:pStyle w:val="Header"/>
    </w:pPr>
    <w:r>
      <w:rPr>
        <w:noProof/>
      </w:rPr>
      <mc:AlternateContent>
        <mc:Choice Requires="wps">
          <w:drawing>
            <wp:anchor distT="0" distB="0" distL="0" distR="0" simplePos="0" relativeHeight="251660288" behindDoc="0" locked="0" layoutInCell="1" allowOverlap="1" wp14:anchorId="47731C89" wp14:editId="1D98E69B">
              <wp:simplePos x="635" y="635"/>
              <wp:positionH relativeFrom="column">
                <wp:align>center</wp:align>
              </wp:positionH>
              <wp:positionV relativeFrom="paragraph">
                <wp:posOffset>635</wp:posOffset>
              </wp:positionV>
              <wp:extent cx="443865" cy="443865"/>
              <wp:effectExtent l="0" t="0" r="17145" b="10160"/>
              <wp:wrapSquare wrapText="bothSides"/>
              <wp:docPr id="3" name="Text Box 3" descr="Client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74F8B1" w14:textId="6C810B43" w:rsidR="00FE2DAF" w:rsidRPr="00FE2DAF" w:rsidRDefault="00FE2DAF">
                          <w:pPr>
                            <w:rPr>
                              <w:rFonts w:ascii="Calibri" w:eastAsia="Calibri" w:hAnsi="Calibri" w:cs="Calibri"/>
                              <w:noProof/>
                              <w:color w:val="000000"/>
                              <w:sz w:val="14"/>
                              <w:szCs w:val="14"/>
                            </w:rPr>
                          </w:pP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7731C89" id="_x0000_t202" coordsize="21600,21600" o:spt="202" path="m,l,21600r21600,l21600,xe">
              <v:stroke joinstyle="miter"/>
              <v:path gradientshapeok="t" o:connecttype="rect"/>
            </v:shapetype>
            <v:shape id="Text Box 3" o:spid="_x0000_s1027" type="#_x0000_t202" alt="Client Confidential"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6F74F8B1" w14:textId="6C810B43" w:rsidR="00FE2DAF" w:rsidRPr="00FE2DAF" w:rsidRDefault="00FE2DAF">
                    <w:pPr>
                      <w:rPr>
                        <w:rFonts w:ascii="Calibri" w:eastAsia="Calibri" w:hAnsi="Calibri" w:cs="Calibri"/>
                        <w:noProof/>
                        <w:color w:val="000000"/>
                        <w:sz w:val="14"/>
                        <w:szCs w:val="14"/>
                      </w:rPr>
                    </w:pP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9B1DA" w14:textId="6FBD1452" w:rsidR="00FE2DAF" w:rsidRDefault="00FE2DAF">
    <w:pPr>
      <w:pStyle w:val="Header"/>
    </w:pPr>
    <w:r>
      <w:rPr>
        <w:noProof/>
      </w:rPr>
      <mc:AlternateContent>
        <mc:Choice Requires="wps">
          <w:drawing>
            <wp:anchor distT="0" distB="0" distL="0" distR="0" simplePos="0" relativeHeight="251658240" behindDoc="0" locked="0" layoutInCell="1" allowOverlap="1" wp14:anchorId="43C175DD" wp14:editId="16E47A84">
              <wp:simplePos x="635" y="635"/>
              <wp:positionH relativeFrom="column">
                <wp:align>center</wp:align>
              </wp:positionH>
              <wp:positionV relativeFrom="paragraph">
                <wp:posOffset>635</wp:posOffset>
              </wp:positionV>
              <wp:extent cx="443865" cy="443865"/>
              <wp:effectExtent l="0" t="0" r="17145" b="10160"/>
              <wp:wrapSquare wrapText="bothSides"/>
              <wp:docPr id="1" name="Text Box 1" descr="Client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86FA2A" w14:textId="0D37D874" w:rsidR="00FE2DAF" w:rsidRPr="00FE2DAF" w:rsidRDefault="00FE2DAF">
                          <w:pPr>
                            <w:rPr>
                              <w:rFonts w:ascii="Calibri" w:eastAsia="Calibri" w:hAnsi="Calibri" w:cs="Calibri"/>
                              <w:noProof/>
                              <w:color w:val="000000"/>
                              <w:sz w:val="14"/>
                              <w:szCs w:val="14"/>
                            </w:rPr>
                          </w:pPr>
                          <w:r>
                            <w:rPr>
                              <w:rFonts w:ascii="Calibri" w:hAnsi="Calibri"/>
                              <w:color w:val="000000"/>
                              <w:sz w:val="14"/>
                            </w:rPr>
                            <w:t>Konfidenciāls klients</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3C175DD" id="_x0000_t202" coordsize="21600,21600" o:spt="202" path="m,l,21600r21600,l21600,xe">
              <v:stroke joinstyle="miter"/>
              <v:path gradientshapeok="t" o:connecttype="rect"/>
            </v:shapetype>
            <v:shape id="Text Box 1" o:spid="_x0000_s1028" type="#_x0000_t202" alt="Client Confident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1886FA2A" w14:textId="0D37D874" w:rsidR="00FE2DAF" w:rsidRPr="00FE2DAF" w:rsidRDefault="00FE2DAF">
                    <w:pPr>
                      <w:rPr>
                        <w:rFonts w:ascii="Calibri" w:eastAsia="Calibri" w:hAnsi="Calibri" w:cs="Calibri"/>
                        <w:noProof/>
                        <w:color w:val="000000"/>
                        <w:sz w:val="14"/>
                        <w:szCs w:val="14"/>
                      </w:rPr>
                    </w:pPr>
                    <w:r>
                      <w:rPr>
                        <w:rFonts w:ascii="Calibri" w:hAnsi="Calibri"/>
                        <w:color w:val="000000"/>
                        <w:sz w:val="14"/>
                      </w:rPr>
                      <w:t>Konfidenciāls klients</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9402A"/>
    <w:multiLevelType w:val="hybridMultilevel"/>
    <w:tmpl w:val="EE76A880"/>
    <w:lvl w:ilvl="0" w:tplc="2CEA5CB4">
      <w:start w:val="1"/>
      <w:numFmt w:val="upperLetter"/>
      <w:lvlText w:val="%1."/>
      <w:lvlJc w:val="left"/>
      <w:pPr>
        <w:ind w:left="717" w:hanging="360"/>
      </w:pPr>
      <w:rPr>
        <w:rFonts w:hint="default"/>
        <w:b/>
      </w:rPr>
    </w:lvl>
    <w:lvl w:ilvl="1" w:tplc="04260019">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1" w15:restartNumberingAfterBreak="0">
    <w:nsid w:val="3DCB60BC"/>
    <w:multiLevelType w:val="hybridMultilevel"/>
    <w:tmpl w:val="BF3C08A6"/>
    <w:lvl w:ilvl="0" w:tplc="1840BA46">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34801069">
    <w:abstractNumId w:val="1"/>
  </w:num>
  <w:num w:numId="2" w16cid:durableId="787241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2E7"/>
    <w:rsid w:val="00014C99"/>
    <w:rsid w:val="0004170E"/>
    <w:rsid w:val="000501D8"/>
    <w:rsid w:val="00051991"/>
    <w:rsid w:val="00053406"/>
    <w:rsid w:val="00071709"/>
    <w:rsid w:val="00072D83"/>
    <w:rsid w:val="000B741B"/>
    <w:rsid w:val="000C01D9"/>
    <w:rsid w:val="000C1E8B"/>
    <w:rsid w:val="000D0038"/>
    <w:rsid w:val="000E259C"/>
    <w:rsid w:val="00134F29"/>
    <w:rsid w:val="0014140B"/>
    <w:rsid w:val="00153CD0"/>
    <w:rsid w:val="00154EED"/>
    <w:rsid w:val="0016413D"/>
    <w:rsid w:val="00182210"/>
    <w:rsid w:val="001938BD"/>
    <w:rsid w:val="001B3D7F"/>
    <w:rsid w:val="001B63E1"/>
    <w:rsid w:val="001D3F2B"/>
    <w:rsid w:val="001E3725"/>
    <w:rsid w:val="001F35CE"/>
    <w:rsid w:val="002043B8"/>
    <w:rsid w:val="0024729E"/>
    <w:rsid w:val="00275845"/>
    <w:rsid w:val="002A4C5E"/>
    <w:rsid w:val="002A71C9"/>
    <w:rsid w:val="002A78F9"/>
    <w:rsid w:val="002B2A7D"/>
    <w:rsid w:val="002B5A38"/>
    <w:rsid w:val="002B66A8"/>
    <w:rsid w:val="002C0D61"/>
    <w:rsid w:val="002D596A"/>
    <w:rsid w:val="002E3539"/>
    <w:rsid w:val="003216C1"/>
    <w:rsid w:val="00326CB9"/>
    <w:rsid w:val="00331CDF"/>
    <w:rsid w:val="003346CC"/>
    <w:rsid w:val="003512AF"/>
    <w:rsid w:val="00351B07"/>
    <w:rsid w:val="00355C4D"/>
    <w:rsid w:val="00380356"/>
    <w:rsid w:val="003812FA"/>
    <w:rsid w:val="003829A3"/>
    <w:rsid w:val="00387FCF"/>
    <w:rsid w:val="003960B4"/>
    <w:rsid w:val="003A3A1B"/>
    <w:rsid w:val="003A4B26"/>
    <w:rsid w:val="003A5BC0"/>
    <w:rsid w:val="003B16F3"/>
    <w:rsid w:val="003C6972"/>
    <w:rsid w:val="003E4513"/>
    <w:rsid w:val="003F10E0"/>
    <w:rsid w:val="003F27F9"/>
    <w:rsid w:val="003F3472"/>
    <w:rsid w:val="00400C2B"/>
    <w:rsid w:val="00403EA7"/>
    <w:rsid w:val="00410F0D"/>
    <w:rsid w:val="004219D9"/>
    <w:rsid w:val="0045278F"/>
    <w:rsid w:val="004554D5"/>
    <w:rsid w:val="0047082A"/>
    <w:rsid w:val="00482178"/>
    <w:rsid w:val="0048481A"/>
    <w:rsid w:val="004928C6"/>
    <w:rsid w:val="004A30F1"/>
    <w:rsid w:val="004A32ED"/>
    <w:rsid w:val="004B05EE"/>
    <w:rsid w:val="00504009"/>
    <w:rsid w:val="00504756"/>
    <w:rsid w:val="00507974"/>
    <w:rsid w:val="005170F2"/>
    <w:rsid w:val="005219DF"/>
    <w:rsid w:val="0054172F"/>
    <w:rsid w:val="005642E3"/>
    <w:rsid w:val="00571F55"/>
    <w:rsid w:val="00576251"/>
    <w:rsid w:val="00587630"/>
    <w:rsid w:val="00592EEF"/>
    <w:rsid w:val="00597462"/>
    <w:rsid w:val="005A012A"/>
    <w:rsid w:val="005A3131"/>
    <w:rsid w:val="005B1B99"/>
    <w:rsid w:val="005B1EEE"/>
    <w:rsid w:val="005B671F"/>
    <w:rsid w:val="005E4F81"/>
    <w:rsid w:val="005E7C87"/>
    <w:rsid w:val="005F0EB8"/>
    <w:rsid w:val="0061150A"/>
    <w:rsid w:val="00611B73"/>
    <w:rsid w:val="00616421"/>
    <w:rsid w:val="00616D86"/>
    <w:rsid w:val="006306B5"/>
    <w:rsid w:val="00646ABD"/>
    <w:rsid w:val="00647190"/>
    <w:rsid w:val="00647255"/>
    <w:rsid w:val="00677C3B"/>
    <w:rsid w:val="00691570"/>
    <w:rsid w:val="00692366"/>
    <w:rsid w:val="00697383"/>
    <w:rsid w:val="006A16B8"/>
    <w:rsid w:val="006A448A"/>
    <w:rsid w:val="006B21D1"/>
    <w:rsid w:val="006C3FFE"/>
    <w:rsid w:val="006C77A6"/>
    <w:rsid w:val="006D0F75"/>
    <w:rsid w:val="006D6074"/>
    <w:rsid w:val="006D7256"/>
    <w:rsid w:val="006E402C"/>
    <w:rsid w:val="006E647D"/>
    <w:rsid w:val="006F205F"/>
    <w:rsid w:val="0070590E"/>
    <w:rsid w:val="00707348"/>
    <w:rsid w:val="00711E1D"/>
    <w:rsid w:val="00732F82"/>
    <w:rsid w:val="00764056"/>
    <w:rsid w:val="00784843"/>
    <w:rsid w:val="007872A0"/>
    <w:rsid w:val="00787702"/>
    <w:rsid w:val="007A7862"/>
    <w:rsid w:val="007C1D37"/>
    <w:rsid w:val="007C5E81"/>
    <w:rsid w:val="007D1DBB"/>
    <w:rsid w:val="007F3C5A"/>
    <w:rsid w:val="007F4B4B"/>
    <w:rsid w:val="00803946"/>
    <w:rsid w:val="00806478"/>
    <w:rsid w:val="008133F2"/>
    <w:rsid w:val="008276A1"/>
    <w:rsid w:val="008462A6"/>
    <w:rsid w:val="008713A9"/>
    <w:rsid w:val="00875BFE"/>
    <w:rsid w:val="008C1B6C"/>
    <w:rsid w:val="008D5537"/>
    <w:rsid w:val="008D5A0D"/>
    <w:rsid w:val="008D7329"/>
    <w:rsid w:val="008E19ED"/>
    <w:rsid w:val="0090038C"/>
    <w:rsid w:val="00904351"/>
    <w:rsid w:val="00904F5C"/>
    <w:rsid w:val="00916EC8"/>
    <w:rsid w:val="00947B34"/>
    <w:rsid w:val="00967623"/>
    <w:rsid w:val="009703E8"/>
    <w:rsid w:val="009832C5"/>
    <w:rsid w:val="009B5D13"/>
    <w:rsid w:val="009C202F"/>
    <w:rsid w:val="009C52FA"/>
    <w:rsid w:val="009D1CE1"/>
    <w:rsid w:val="009D497E"/>
    <w:rsid w:val="009E2F64"/>
    <w:rsid w:val="009E6E13"/>
    <w:rsid w:val="009F1493"/>
    <w:rsid w:val="00A01DA2"/>
    <w:rsid w:val="00A03094"/>
    <w:rsid w:val="00A10341"/>
    <w:rsid w:val="00A26AFF"/>
    <w:rsid w:val="00A26D99"/>
    <w:rsid w:val="00A36A78"/>
    <w:rsid w:val="00A36C2F"/>
    <w:rsid w:val="00A47BFA"/>
    <w:rsid w:val="00A61D95"/>
    <w:rsid w:val="00A80008"/>
    <w:rsid w:val="00AB2A4E"/>
    <w:rsid w:val="00AB30FD"/>
    <w:rsid w:val="00AB5860"/>
    <w:rsid w:val="00AC0EED"/>
    <w:rsid w:val="00AC60D1"/>
    <w:rsid w:val="00AE461E"/>
    <w:rsid w:val="00AF193A"/>
    <w:rsid w:val="00AF712D"/>
    <w:rsid w:val="00B04649"/>
    <w:rsid w:val="00B21FCD"/>
    <w:rsid w:val="00B22FEC"/>
    <w:rsid w:val="00B27799"/>
    <w:rsid w:val="00B41BA5"/>
    <w:rsid w:val="00B43D28"/>
    <w:rsid w:val="00B553BD"/>
    <w:rsid w:val="00B7441B"/>
    <w:rsid w:val="00BB6C9F"/>
    <w:rsid w:val="00BE0F4E"/>
    <w:rsid w:val="00BE2A64"/>
    <w:rsid w:val="00BE5F7E"/>
    <w:rsid w:val="00C05BE0"/>
    <w:rsid w:val="00C06CC4"/>
    <w:rsid w:val="00C42EAB"/>
    <w:rsid w:val="00C43928"/>
    <w:rsid w:val="00C4526D"/>
    <w:rsid w:val="00C72DC4"/>
    <w:rsid w:val="00C837E6"/>
    <w:rsid w:val="00C910AB"/>
    <w:rsid w:val="00CB0404"/>
    <w:rsid w:val="00CB4A51"/>
    <w:rsid w:val="00CB6618"/>
    <w:rsid w:val="00CC277F"/>
    <w:rsid w:val="00CC4540"/>
    <w:rsid w:val="00CC467E"/>
    <w:rsid w:val="00CC6EB6"/>
    <w:rsid w:val="00CF2F82"/>
    <w:rsid w:val="00D02E8F"/>
    <w:rsid w:val="00D11D3E"/>
    <w:rsid w:val="00D12225"/>
    <w:rsid w:val="00D253DC"/>
    <w:rsid w:val="00D2786A"/>
    <w:rsid w:val="00D31688"/>
    <w:rsid w:val="00D3473F"/>
    <w:rsid w:val="00D511E5"/>
    <w:rsid w:val="00D54371"/>
    <w:rsid w:val="00D606DA"/>
    <w:rsid w:val="00D60ED8"/>
    <w:rsid w:val="00D62B35"/>
    <w:rsid w:val="00D84E50"/>
    <w:rsid w:val="00D870EE"/>
    <w:rsid w:val="00D91AA1"/>
    <w:rsid w:val="00D929FB"/>
    <w:rsid w:val="00DA1A49"/>
    <w:rsid w:val="00DB4945"/>
    <w:rsid w:val="00DC0FE7"/>
    <w:rsid w:val="00DC1A83"/>
    <w:rsid w:val="00DE3EDA"/>
    <w:rsid w:val="00DF6EB4"/>
    <w:rsid w:val="00E02ADB"/>
    <w:rsid w:val="00E312CD"/>
    <w:rsid w:val="00E44BA5"/>
    <w:rsid w:val="00E45FE9"/>
    <w:rsid w:val="00E51A38"/>
    <w:rsid w:val="00E82F8E"/>
    <w:rsid w:val="00E83864"/>
    <w:rsid w:val="00E902D8"/>
    <w:rsid w:val="00E96A86"/>
    <w:rsid w:val="00EA5370"/>
    <w:rsid w:val="00EF430F"/>
    <w:rsid w:val="00F365AA"/>
    <w:rsid w:val="00F51091"/>
    <w:rsid w:val="00F572E7"/>
    <w:rsid w:val="00F6192B"/>
    <w:rsid w:val="00F61B64"/>
    <w:rsid w:val="00F87772"/>
    <w:rsid w:val="00F90BD2"/>
    <w:rsid w:val="00F92EF5"/>
    <w:rsid w:val="00FB20EA"/>
    <w:rsid w:val="00FD2A56"/>
    <w:rsid w:val="00FE2DAF"/>
    <w:rsid w:val="0EE37C55"/>
    <w:rsid w:val="107F4CB6"/>
    <w:rsid w:val="21A0C839"/>
    <w:rsid w:val="22392E67"/>
    <w:rsid w:val="2FACBD9E"/>
    <w:rsid w:val="3CD3995E"/>
    <w:rsid w:val="3F1AD3FA"/>
    <w:rsid w:val="40086FCF"/>
    <w:rsid w:val="428E8206"/>
    <w:rsid w:val="442A5267"/>
    <w:rsid w:val="6696F3BF"/>
    <w:rsid w:val="69554AFD"/>
    <w:rsid w:val="7D2446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ACA39"/>
  <w15:chartTrackingRefBased/>
  <w15:docId w15:val="{2440483B-AF69-42E8-B7B3-2DD000AC8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2E7"/>
    <w:pPr>
      <w:ind w:left="720"/>
      <w:contextualSpacing/>
    </w:pPr>
  </w:style>
  <w:style w:type="character" w:styleId="CommentReference">
    <w:name w:val="annotation reference"/>
    <w:basedOn w:val="DefaultParagraphFont"/>
    <w:uiPriority w:val="99"/>
    <w:semiHidden/>
    <w:unhideWhenUsed/>
    <w:rsid w:val="00154EED"/>
    <w:rPr>
      <w:sz w:val="16"/>
      <w:szCs w:val="16"/>
    </w:rPr>
  </w:style>
  <w:style w:type="paragraph" w:styleId="CommentText">
    <w:name w:val="annotation text"/>
    <w:basedOn w:val="Normal"/>
    <w:link w:val="CommentTextChar"/>
    <w:uiPriority w:val="99"/>
    <w:unhideWhenUsed/>
    <w:rsid w:val="00154EED"/>
    <w:pPr>
      <w:spacing w:line="240" w:lineRule="auto"/>
    </w:pPr>
    <w:rPr>
      <w:sz w:val="20"/>
      <w:szCs w:val="20"/>
    </w:rPr>
  </w:style>
  <w:style w:type="character" w:customStyle="1" w:styleId="CommentTextChar">
    <w:name w:val="Comment Text Char"/>
    <w:basedOn w:val="DefaultParagraphFont"/>
    <w:link w:val="CommentText"/>
    <w:uiPriority w:val="99"/>
    <w:rsid w:val="00154EED"/>
    <w:rPr>
      <w:sz w:val="20"/>
      <w:szCs w:val="20"/>
    </w:rPr>
  </w:style>
  <w:style w:type="paragraph" w:styleId="CommentSubject">
    <w:name w:val="annotation subject"/>
    <w:basedOn w:val="CommentText"/>
    <w:next w:val="CommentText"/>
    <w:link w:val="CommentSubjectChar"/>
    <w:uiPriority w:val="99"/>
    <w:semiHidden/>
    <w:unhideWhenUsed/>
    <w:rsid w:val="00154EED"/>
    <w:rPr>
      <w:b/>
      <w:bCs/>
    </w:rPr>
  </w:style>
  <w:style w:type="character" w:customStyle="1" w:styleId="CommentSubjectChar">
    <w:name w:val="Comment Subject Char"/>
    <w:basedOn w:val="CommentTextChar"/>
    <w:link w:val="CommentSubject"/>
    <w:uiPriority w:val="99"/>
    <w:semiHidden/>
    <w:rsid w:val="00154EED"/>
    <w:rPr>
      <w:b/>
      <w:bCs/>
      <w:sz w:val="20"/>
      <w:szCs w:val="20"/>
    </w:rPr>
  </w:style>
  <w:style w:type="character" w:styleId="Mention">
    <w:name w:val="Mention"/>
    <w:basedOn w:val="DefaultParagraphFont"/>
    <w:uiPriority w:val="99"/>
    <w:unhideWhenUsed/>
    <w:rsid w:val="00D929FB"/>
    <w:rPr>
      <w:color w:val="2B579A"/>
      <w:shd w:val="clear" w:color="auto" w:fill="E1DFDD"/>
    </w:rPr>
  </w:style>
  <w:style w:type="paragraph" w:styleId="Header">
    <w:name w:val="header"/>
    <w:basedOn w:val="Normal"/>
    <w:link w:val="HeaderChar"/>
    <w:uiPriority w:val="99"/>
    <w:unhideWhenUsed/>
    <w:rsid w:val="00FE2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DAF"/>
  </w:style>
  <w:style w:type="paragraph" w:styleId="Footer">
    <w:name w:val="footer"/>
    <w:basedOn w:val="Normal"/>
    <w:link w:val="FooterChar"/>
    <w:uiPriority w:val="99"/>
    <w:unhideWhenUsed/>
    <w:rsid w:val="00FE2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81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SharedWithUsers xmlns="d73c6baf-9cf2-4cf2-a117-76c67141543a">
      <UserInfo>
        <DisplayName>Ritvars Auziņš</DisplayName>
        <AccountId>285</AccountId>
        <AccountType/>
      </UserInfo>
      <UserInfo>
        <DisplayName>Mārcis Grīviņš</DisplayName>
        <AccountId>376</AccountId>
        <AccountType/>
      </UserInfo>
    </SharedWithUsers>
  </documentManagement>
</p:properties>
</file>

<file path=customXml/itemProps1.xml><?xml version="1.0" encoding="utf-8"?>
<ds:datastoreItem xmlns:ds="http://schemas.openxmlformats.org/officeDocument/2006/customXml" ds:itemID="{47196979-8FCA-4BC0-87C1-8768D26C76A4}"/>
</file>

<file path=customXml/itemProps2.xml><?xml version="1.0" encoding="utf-8"?>
<ds:datastoreItem xmlns:ds="http://schemas.openxmlformats.org/officeDocument/2006/customXml" ds:itemID="{8E953C81-15D1-46DE-A6FD-6A80A47031C6}">
  <ds:schemaRefs>
    <ds:schemaRef ds:uri="http://schemas.microsoft.com/sharepoint/v3/contenttype/forms"/>
  </ds:schemaRefs>
</ds:datastoreItem>
</file>

<file path=customXml/itemProps3.xml><?xml version="1.0" encoding="utf-8"?>
<ds:datastoreItem xmlns:ds="http://schemas.openxmlformats.org/officeDocument/2006/customXml" ds:itemID="{17056B5E-79B8-402C-AB46-2AB1CE2415AF}">
  <ds:schemaRefs>
    <ds:schemaRef ds:uri="http://schemas.microsoft.com/office/2006/metadata/properties"/>
    <ds:schemaRef ds:uri="http://schemas.microsoft.com/office/infopath/2007/PartnerControls"/>
    <ds:schemaRef ds:uri="http://schemas.microsoft.com/sharepoint/v3"/>
    <ds:schemaRef ds:uri="1bc3c780-2bb1-47eb-9d86-5e03f4973a45"/>
    <ds:schemaRef ds:uri="d73c6baf-9cf2-4cf2-a117-76c67141543a"/>
    <ds:schemaRef ds:uri="a69edea8-00eb-4580-9f73-f1910d8c677f"/>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5256</Words>
  <Characters>2997</Characters>
  <Application>Microsoft Office Word</Application>
  <DocSecurity>0</DocSecurity>
  <Lines>24</Lines>
  <Paragraphs>16</Paragraphs>
  <ScaleCrop>false</ScaleCrop>
  <Company>VAS Valsts nekustamie ipasumi</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Varesa</dc:creator>
  <cp:keywords/>
  <dc:description/>
  <cp:lastModifiedBy>Ritvars Auziņš</cp:lastModifiedBy>
  <cp:revision>20</cp:revision>
  <dcterms:created xsi:type="dcterms:W3CDTF">2023-03-03T07:52:00Z</dcterms:created>
  <dcterms:modified xsi:type="dcterms:W3CDTF">2023-03-03T08:24:00Z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y fmtid="{D5CDD505-2E9C-101B-9397-08002B2CF9AE}" pid="4" name="ClassificationContentMarkingHeaderShapeIds">
    <vt:lpwstr>1,2,3</vt:lpwstr>
  </property>
  <property fmtid="{D5CDD505-2E9C-101B-9397-08002B2CF9AE}" pid="5" name="ClassificationContentMarkingHeaderFontProps">
    <vt:lpwstr>#000000,7,Calibri</vt:lpwstr>
  </property>
  <property fmtid="{D5CDD505-2E9C-101B-9397-08002B2CF9AE}" pid="6" name="ClassificationContentMarkingHeaderText">
    <vt:lpwstr>Client Confidential</vt:lpwstr>
  </property>
  <property fmtid="{D5CDD505-2E9C-101B-9397-08002B2CF9AE}" pid="7" name="MSIP_Label_30680500-9625-44ee-9c58-46889c8e0cbf_Enabled">
    <vt:lpwstr>true</vt:lpwstr>
  </property>
  <property fmtid="{D5CDD505-2E9C-101B-9397-08002B2CF9AE}" pid="8" name="MSIP_Label_30680500-9625-44ee-9c58-46889c8e0cbf_SetDate">
    <vt:lpwstr>2023-01-17T17:48:26Z</vt:lpwstr>
  </property>
  <property fmtid="{D5CDD505-2E9C-101B-9397-08002B2CF9AE}" pid="9" name="MSIP_Label_30680500-9625-44ee-9c58-46889c8e0cbf_Method">
    <vt:lpwstr>Privileged</vt:lpwstr>
  </property>
  <property fmtid="{D5CDD505-2E9C-101B-9397-08002B2CF9AE}" pid="10" name="MSIP_Label_30680500-9625-44ee-9c58-46889c8e0cbf_Name">
    <vt:lpwstr>Confidential-Client</vt:lpwstr>
  </property>
  <property fmtid="{D5CDD505-2E9C-101B-9397-08002B2CF9AE}" pid="11" name="MSIP_Label_30680500-9625-44ee-9c58-46889c8e0cbf_SiteId">
    <vt:lpwstr>ca18acb0-3312-44f2-869d-5b01ed8bb47d</vt:lpwstr>
  </property>
  <property fmtid="{D5CDD505-2E9C-101B-9397-08002B2CF9AE}" pid="12" name="MSIP_Label_30680500-9625-44ee-9c58-46889c8e0cbf_ActionId">
    <vt:lpwstr>404a3e63-98de-48dc-810e-2d6c3605f2c3</vt:lpwstr>
  </property>
  <property fmtid="{D5CDD505-2E9C-101B-9397-08002B2CF9AE}" pid="13" name="MSIP_Label_30680500-9625-44ee-9c58-46889c8e0cbf_ContentBits">
    <vt:lpwstr>1</vt:lpwstr>
  </property>
</Properties>
</file>