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0A6" w:rsidRPr="005A20A6" w:rsidRDefault="005A20A6" w:rsidP="005A20A6">
      <w:pPr>
        <w:autoSpaceDE w:val="0"/>
        <w:autoSpaceDN w:val="0"/>
        <w:adjustRightInd w:val="0"/>
        <w:spacing w:after="0" w:line="240" w:lineRule="auto"/>
        <w:jc w:val="center"/>
        <w:rPr>
          <w:rFonts w:ascii="Times New Roman" w:eastAsia="Times New Roman" w:hAnsi="Times New Roman" w:cs="Times New Roman"/>
          <w:b/>
          <w:sz w:val="24"/>
          <w:szCs w:val="24"/>
          <w:lang w:val="lv-LV"/>
        </w:rPr>
      </w:pPr>
      <w:r w:rsidRPr="005A20A6">
        <w:rPr>
          <w:rFonts w:ascii="Times New Roman" w:eastAsia="Times New Roman" w:hAnsi="Times New Roman" w:cs="Times New Roman"/>
          <w:b/>
          <w:sz w:val="24"/>
          <w:szCs w:val="24"/>
          <w:lang w:val="lv-LV"/>
        </w:rPr>
        <w:t xml:space="preserve">Atklāts konkurss </w:t>
      </w:r>
    </w:p>
    <w:p w:rsidR="005A20A6" w:rsidRPr="005A20A6" w:rsidRDefault="005A20A6" w:rsidP="005A20A6">
      <w:pPr>
        <w:autoSpaceDE w:val="0"/>
        <w:autoSpaceDN w:val="0"/>
        <w:adjustRightInd w:val="0"/>
        <w:spacing w:after="0" w:line="240" w:lineRule="auto"/>
        <w:jc w:val="center"/>
        <w:rPr>
          <w:rFonts w:ascii="Times New Roman" w:eastAsia="Times New Roman" w:hAnsi="Times New Roman" w:cs="Times New Roman"/>
          <w:b/>
          <w:bCs/>
          <w:color w:val="212529"/>
          <w:sz w:val="24"/>
          <w:szCs w:val="24"/>
          <w:shd w:val="clear" w:color="auto" w:fill="FFFFFF"/>
          <w:lang w:val="lv-LV"/>
        </w:rPr>
      </w:pPr>
      <w:r w:rsidRPr="005A20A6">
        <w:rPr>
          <w:rFonts w:ascii="Times New Roman" w:eastAsia="Times New Roman" w:hAnsi="Times New Roman" w:cs="Times New Roman"/>
          <w:b/>
          <w:bCs/>
          <w:color w:val="212529"/>
          <w:sz w:val="24"/>
          <w:szCs w:val="24"/>
          <w:shd w:val="clear" w:color="auto" w:fill="FFFFFF"/>
          <w:lang w:val="lv-LV"/>
        </w:rPr>
        <w:t>“Bruģakmens (granīta izstrādājumu) glabāšana 3 (trīs) gadu periodam”</w:t>
      </w:r>
    </w:p>
    <w:p w:rsidR="005A20A6" w:rsidRPr="005A20A6" w:rsidRDefault="005A20A6" w:rsidP="005A20A6">
      <w:pPr>
        <w:autoSpaceDE w:val="0"/>
        <w:autoSpaceDN w:val="0"/>
        <w:adjustRightInd w:val="0"/>
        <w:spacing w:after="0" w:line="240" w:lineRule="auto"/>
        <w:jc w:val="center"/>
        <w:rPr>
          <w:rFonts w:ascii="Times New Roman" w:eastAsia="Times New Roman" w:hAnsi="Times New Roman" w:cs="Times New Roman"/>
          <w:b/>
          <w:noProof/>
          <w:sz w:val="24"/>
          <w:szCs w:val="24"/>
          <w:lang w:val="lv-LV"/>
        </w:rPr>
      </w:pPr>
      <w:r w:rsidRPr="005A20A6">
        <w:rPr>
          <w:rFonts w:ascii="Times New Roman" w:eastAsia="Times New Roman" w:hAnsi="Times New Roman" w:cs="Times New Roman"/>
          <w:b/>
          <w:sz w:val="24"/>
          <w:szCs w:val="24"/>
          <w:lang w:val="lv-LV"/>
        </w:rPr>
        <w:t xml:space="preserve"> ID Nr. CAIP 2024/139</w:t>
      </w:r>
    </w:p>
    <w:p w:rsidR="005A20A6" w:rsidRPr="005A20A6" w:rsidRDefault="005A20A6" w:rsidP="005A20A6">
      <w:pPr>
        <w:tabs>
          <w:tab w:val="center" w:pos="4153"/>
          <w:tab w:val="right" w:pos="8306"/>
        </w:tabs>
        <w:spacing w:after="0" w:line="240" w:lineRule="auto"/>
        <w:rPr>
          <w:rFonts w:ascii="Times New Roman" w:eastAsia="Times New Roman" w:hAnsi="Times New Roman" w:cs="Times New Roman"/>
          <w:sz w:val="24"/>
          <w:szCs w:val="24"/>
          <w:lang w:val="lv-LV"/>
        </w:rPr>
      </w:pPr>
    </w:p>
    <w:p w:rsidR="005A20A6" w:rsidRPr="005A20A6" w:rsidRDefault="005A20A6" w:rsidP="005A20A6">
      <w:pPr>
        <w:keepNext/>
        <w:spacing w:after="0" w:line="240" w:lineRule="auto"/>
        <w:ind w:firstLine="720"/>
        <w:jc w:val="both"/>
        <w:outlineLvl w:val="1"/>
        <w:rPr>
          <w:rFonts w:ascii="Times New Roman" w:eastAsia="Times New Roman" w:hAnsi="Times New Roman" w:cs="Times New Roman"/>
          <w:b/>
          <w:bCs/>
          <w:sz w:val="24"/>
          <w:szCs w:val="24"/>
          <w:lang w:val="lv-LV"/>
        </w:rPr>
      </w:pPr>
      <w:r w:rsidRPr="005A20A6">
        <w:rPr>
          <w:rFonts w:ascii="Times New Roman" w:eastAsia="Times New Roman" w:hAnsi="Times New Roman" w:cs="Times New Roman"/>
          <w:bCs/>
          <w:sz w:val="24"/>
          <w:szCs w:val="24"/>
          <w:lang w:val="lv-LV"/>
        </w:rPr>
        <w:t>Jautājums saistībā par izsludināto atklāto konkursu “Bruģakmens (granīta izstrādājumu) glabāšana 3 (trīs) gadu periodam” (ID Nr. CAIP 2024/139)</w:t>
      </w:r>
      <w:r w:rsidRPr="005A20A6">
        <w:rPr>
          <w:rFonts w:ascii="Times New Roman" w:eastAsia="Times New Roman" w:hAnsi="Times New Roman" w:cs="Times New Roman"/>
          <w:sz w:val="24"/>
          <w:szCs w:val="24"/>
          <w:lang w:val="lv-LV"/>
        </w:rPr>
        <w:t>:</w:t>
      </w:r>
    </w:p>
    <w:p w:rsidR="005A20A6" w:rsidRPr="005A20A6" w:rsidRDefault="005A20A6" w:rsidP="005A20A6">
      <w:pPr>
        <w:spacing w:after="0" w:line="240" w:lineRule="auto"/>
        <w:rPr>
          <w:rFonts w:ascii="Times New Roman" w:eastAsia="Times New Roman" w:hAnsi="Times New Roman" w:cs="Times New Roman"/>
          <w:sz w:val="24"/>
          <w:szCs w:val="24"/>
          <w:lang w:val="lv-LV"/>
        </w:rPr>
      </w:pPr>
    </w:p>
    <w:p w:rsidR="005A20A6" w:rsidRPr="005A20A6" w:rsidRDefault="005A20A6" w:rsidP="005A20A6">
      <w:pPr>
        <w:spacing w:after="0" w:line="240" w:lineRule="auto"/>
        <w:rPr>
          <w:rFonts w:ascii="Times New Roman" w:eastAsia="Times New Roman" w:hAnsi="Times New Roman" w:cs="Times New Roman"/>
          <w:sz w:val="24"/>
          <w:szCs w:val="24"/>
          <w:lang w:val="lv-LV"/>
        </w:rPr>
      </w:pPr>
    </w:p>
    <w:p w:rsidR="005A20A6" w:rsidRPr="005A20A6" w:rsidRDefault="005A20A6" w:rsidP="005A20A6">
      <w:pPr>
        <w:suppressAutoHyphens/>
        <w:spacing w:after="0" w:line="240" w:lineRule="auto"/>
        <w:jc w:val="both"/>
        <w:rPr>
          <w:rFonts w:ascii="Times New Roman" w:eastAsia="NSimSun" w:hAnsi="Times New Roman" w:cs="Times New Roman"/>
          <w:b/>
          <w:bCs/>
          <w:kern w:val="2"/>
          <w:sz w:val="24"/>
          <w:szCs w:val="24"/>
          <w:lang w:val="lv-LV" w:eastAsia="zh-CN" w:bidi="hi-IN"/>
        </w:rPr>
      </w:pPr>
      <w:r w:rsidRPr="005A20A6">
        <w:rPr>
          <w:rFonts w:ascii="Times New Roman" w:eastAsia="NSimSun" w:hAnsi="Times New Roman" w:cs="Times New Roman"/>
          <w:b/>
          <w:bCs/>
          <w:kern w:val="2"/>
          <w:sz w:val="24"/>
          <w:szCs w:val="24"/>
          <w:lang w:val="lv-LV" w:eastAsia="zh-CN" w:bidi="hi-IN"/>
        </w:rPr>
        <w:t>1. jautājums:</w:t>
      </w:r>
    </w:p>
    <w:p w:rsidR="005A20A6" w:rsidRPr="005A20A6" w:rsidRDefault="005A20A6" w:rsidP="005A20A6">
      <w:pPr>
        <w:suppressAutoHyphens/>
        <w:spacing w:after="0" w:line="240" w:lineRule="auto"/>
        <w:jc w:val="both"/>
        <w:rPr>
          <w:rFonts w:ascii="Times New Roman" w:eastAsia="NSimSun" w:hAnsi="Times New Roman" w:cs="Times New Roman"/>
          <w:kern w:val="2"/>
          <w:sz w:val="24"/>
          <w:szCs w:val="24"/>
          <w:lang w:val="lv-LV" w:eastAsia="zh-CN" w:bidi="hi-IN"/>
        </w:rPr>
      </w:pPr>
      <w:r w:rsidRPr="005A20A6">
        <w:rPr>
          <w:rFonts w:ascii="Times New Roman" w:eastAsia="NSimSun" w:hAnsi="Times New Roman" w:cs="Times New Roman"/>
          <w:kern w:val="2"/>
          <w:sz w:val="24"/>
          <w:szCs w:val="24"/>
          <w:lang w:val="lv-LV" w:eastAsia="zh-CN" w:bidi="hi-IN"/>
        </w:rPr>
        <w:t>Lūdzam pasūtītāju apstiprināt, ka pretendents būs izpildījis Nolikuma punktu:</w:t>
      </w:r>
    </w:p>
    <w:p w:rsidR="005A20A6" w:rsidRPr="005A20A6" w:rsidRDefault="005A20A6" w:rsidP="005A20A6">
      <w:pPr>
        <w:suppressAutoHyphens/>
        <w:spacing w:after="0" w:line="240" w:lineRule="auto"/>
        <w:jc w:val="both"/>
        <w:rPr>
          <w:rFonts w:ascii="Times New Roman" w:eastAsia="NSimSun" w:hAnsi="Times New Roman" w:cs="Times New Roman"/>
          <w:kern w:val="2"/>
          <w:sz w:val="24"/>
          <w:szCs w:val="24"/>
          <w:lang w:val="lv-LV" w:eastAsia="zh-CN" w:bidi="hi-IN"/>
        </w:rPr>
      </w:pPr>
      <w:r w:rsidRPr="005A20A6">
        <w:rPr>
          <w:rFonts w:ascii="Times New Roman" w:eastAsia="NSimSun" w:hAnsi="Times New Roman" w:cs="Times New Roman"/>
          <w:kern w:val="2"/>
          <w:sz w:val="24"/>
          <w:szCs w:val="24"/>
          <w:lang w:val="lv-LV" w:eastAsia="zh-CN" w:bidi="hi-IN"/>
        </w:rPr>
        <w:t>3.6 “Pretendenta rīcībā (īpašumā, nomā vai patapinājumā) ir svari ar svēršanas svaru vismaz 40 (četrdesmit) tonnas*, ar kuriem iespējams nosvērt bruģakmens kravas."</w:t>
      </w:r>
    </w:p>
    <w:p w:rsidR="005A20A6" w:rsidRPr="005A20A6" w:rsidRDefault="005A20A6" w:rsidP="005A20A6">
      <w:pPr>
        <w:suppressAutoHyphens/>
        <w:spacing w:after="0" w:line="240" w:lineRule="auto"/>
        <w:jc w:val="both"/>
        <w:rPr>
          <w:rFonts w:ascii="Times New Roman" w:eastAsia="NSimSun" w:hAnsi="Times New Roman" w:cs="Times New Roman"/>
          <w:kern w:val="2"/>
          <w:sz w:val="24"/>
          <w:szCs w:val="24"/>
          <w:lang w:val="lv-LV" w:eastAsia="zh-CN" w:bidi="hi-IN"/>
        </w:rPr>
      </w:pPr>
      <w:r w:rsidRPr="005A20A6">
        <w:rPr>
          <w:rFonts w:ascii="Times New Roman" w:eastAsia="NSimSun" w:hAnsi="Times New Roman" w:cs="Times New Roman"/>
          <w:kern w:val="2"/>
          <w:sz w:val="24"/>
          <w:szCs w:val="24"/>
          <w:lang w:val="lv-LV" w:eastAsia="zh-CN" w:bidi="hi-IN"/>
        </w:rPr>
        <w:t xml:space="preserve">Ja pretendents iesniegs apliecinājumu no svaru pārdevēja -Komersanta, ka uzvaras gadījumā pretendents iegādāsies piedāvājumā  (Pielikums Nr.2) norādītos svarus. Un pēc pirkuma veikšanas verificēs svarus. Jo jaunus svarus verificē pēc pirkuma veikšanas. </w:t>
      </w:r>
    </w:p>
    <w:p w:rsidR="005A20A6" w:rsidRPr="005A20A6" w:rsidRDefault="005A20A6" w:rsidP="005A20A6">
      <w:pPr>
        <w:suppressAutoHyphens/>
        <w:spacing w:after="0" w:line="240" w:lineRule="auto"/>
        <w:jc w:val="both"/>
        <w:rPr>
          <w:rFonts w:ascii="Times New Roman" w:eastAsia="NSimSun" w:hAnsi="Times New Roman" w:cs="Times New Roman"/>
          <w:kern w:val="2"/>
          <w:sz w:val="24"/>
          <w:szCs w:val="24"/>
          <w:lang w:val="lv-LV" w:eastAsia="zh-CN" w:bidi="hi-IN"/>
        </w:rPr>
      </w:pPr>
    </w:p>
    <w:p w:rsidR="005A20A6" w:rsidRPr="005A20A6" w:rsidRDefault="005A20A6" w:rsidP="005A20A6">
      <w:pPr>
        <w:spacing w:after="0" w:line="240" w:lineRule="auto"/>
        <w:jc w:val="both"/>
        <w:rPr>
          <w:rFonts w:ascii="Times New Roman" w:eastAsia="Times New Roman" w:hAnsi="Times New Roman" w:cs="Times New Roman"/>
          <w:b/>
          <w:bCs/>
          <w:sz w:val="24"/>
          <w:szCs w:val="24"/>
          <w:lang w:val="lv-LV"/>
        </w:rPr>
      </w:pPr>
      <w:r w:rsidRPr="005A20A6">
        <w:rPr>
          <w:rFonts w:ascii="Times New Roman" w:eastAsia="Times New Roman" w:hAnsi="Times New Roman" w:cs="Times New Roman"/>
          <w:b/>
          <w:bCs/>
          <w:sz w:val="24"/>
          <w:szCs w:val="24"/>
          <w:lang w:val="lv-LV"/>
        </w:rPr>
        <w:t>Atbilde:</w:t>
      </w:r>
    </w:p>
    <w:p w:rsidR="005A20A6" w:rsidRPr="005A20A6" w:rsidRDefault="005A20A6" w:rsidP="005A20A6">
      <w:pPr>
        <w:suppressAutoHyphens/>
        <w:spacing w:after="0" w:line="240" w:lineRule="auto"/>
        <w:jc w:val="both"/>
        <w:rPr>
          <w:rFonts w:ascii="Times New Roman" w:eastAsia="Times New Roman" w:hAnsi="Times New Roman" w:cs="Times New Roman"/>
          <w:kern w:val="2"/>
          <w:sz w:val="24"/>
          <w:szCs w:val="24"/>
          <w:lang w:val="lv-LV"/>
          <w14:ligatures w14:val="standardContextual"/>
        </w:rPr>
      </w:pPr>
      <w:r w:rsidRPr="005A20A6">
        <w:rPr>
          <w:rFonts w:ascii="Times New Roman" w:eastAsia="Times New Roman" w:hAnsi="Times New Roman" w:cs="Times New Roman"/>
          <w:kern w:val="2"/>
          <w:sz w:val="24"/>
          <w:szCs w:val="24"/>
          <w:lang w:val="lv-LV"/>
          <w14:ligatures w14:val="standardContextual"/>
        </w:rPr>
        <w:t>Nolikuma 3.6.apakšpunktā noteikts, ka Pretendenta rīcībā (</w:t>
      </w:r>
      <w:r w:rsidRPr="005A20A6">
        <w:rPr>
          <w:rFonts w:ascii="Times New Roman" w:eastAsia="Times New Roman" w:hAnsi="Times New Roman" w:cs="Times New Roman"/>
          <w:i/>
          <w:iCs/>
          <w:kern w:val="2"/>
          <w:sz w:val="24"/>
          <w:szCs w:val="24"/>
          <w:lang w:val="lv-LV"/>
          <w14:ligatures w14:val="standardContextual"/>
        </w:rPr>
        <w:t>īpašumā, nomā vai patapinājumā</w:t>
      </w:r>
      <w:r w:rsidRPr="005A20A6">
        <w:rPr>
          <w:rFonts w:ascii="Times New Roman" w:eastAsia="Times New Roman" w:hAnsi="Times New Roman" w:cs="Times New Roman"/>
          <w:kern w:val="2"/>
          <w:sz w:val="24"/>
          <w:szCs w:val="24"/>
          <w:lang w:val="lv-LV"/>
          <w14:ligatures w14:val="standardContextual"/>
        </w:rPr>
        <w:t xml:space="preserve">) ir svari ar svēršanas svaru vismaz 40 (četrdesmit) tonnas, ar kuriem iespējams nosvērt bruģakmens kravas. </w:t>
      </w:r>
    </w:p>
    <w:p w:rsidR="005A20A6" w:rsidRPr="005A20A6" w:rsidRDefault="005A20A6" w:rsidP="005A20A6">
      <w:pPr>
        <w:suppressAutoHyphens/>
        <w:spacing w:after="0" w:line="240" w:lineRule="auto"/>
        <w:jc w:val="both"/>
        <w:rPr>
          <w:rFonts w:ascii="Times New Roman" w:eastAsia="Times New Roman" w:hAnsi="Times New Roman" w:cs="Times New Roman"/>
          <w:kern w:val="2"/>
          <w:sz w:val="24"/>
          <w:szCs w:val="24"/>
          <w:lang w:val="lv-LV"/>
          <w14:ligatures w14:val="standardContextual"/>
        </w:rPr>
      </w:pPr>
      <w:r w:rsidRPr="005A20A6">
        <w:rPr>
          <w:rFonts w:ascii="Times New Roman" w:eastAsia="Times New Roman" w:hAnsi="Times New Roman" w:cs="Times New Roman"/>
          <w:kern w:val="2"/>
          <w:sz w:val="24"/>
          <w:szCs w:val="24"/>
          <w:lang w:val="lv-LV"/>
          <w14:ligatures w14:val="standardContextual"/>
        </w:rPr>
        <w:t>Ja norādītie svari nepieder pretendentam, tad jāiesniedz pierādījums par pretendenta iespēju tādus iegūt savā rīcībā (</w:t>
      </w:r>
      <w:r w:rsidRPr="005A20A6">
        <w:rPr>
          <w:rFonts w:ascii="Times New Roman" w:eastAsia="Times New Roman" w:hAnsi="Times New Roman" w:cs="Times New Roman"/>
          <w:i/>
          <w:iCs/>
          <w:kern w:val="2"/>
          <w:sz w:val="24"/>
          <w:szCs w:val="24"/>
          <w:lang w:val="lv-LV"/>
          <w14:ligatures w14:val="standardContextual"/>
        </w:rPr>
        <w:t>cita uzņēmēja apliecinājums, vienošanās par sadarbību u.tml.</w:t>
      </w:r>
      <w:r w:rsidRPr="005A20A6">
        <w:rPr>
          <w:rFonts w:ascii="Times New Roman" w:eastAsia="Times New Roman" w:hAnsi="Times New Roman" w:cs="Times New Roman"/>
          <w:kern w:val="2"/>
          <w:sz w:val="24"/>
          <w:szCs w:val="24"/>
          <w:lang w:val="lv-LV"/>
          <w14:ligatures w14:val="standardContextual"/>
        </w:rPr>
        <w:t>).</w:t>
      </w:r>
    </w:p>
    <w:p w:rsidR="005A20A6" w:rsidRPr="005A20A6" w:rsidRDefault="005A20A6" w:rsidP="005A20A6">
      <w:pPr>
        <w:suppressAutoHyphens/>
        <w:spacing w:after="0" w:line="240" w:lineRule="auto"/>
        <w:jc w:val="both"/>
        <w:rPr>
          <w:rFonts w:ascii="Times New Roman" w:eastAsia="Times New Roman" w:hAnsi="Times New Roman" w:cs="Times New Roman"/>
          <w:kern w:val="2"/>
          <w:sz w:val="24"/>
          <w:szCs w:val="24"/>
          <w:lang w:val="lv-LV"/>
          <w14:ligatures w14:val="standardContextual"/>
        </w:rPr>
      </w:pPr>
    </w:p>
    <w:p w:rsidR="005A20A6" w:rsidRPr="005A20A6" w:rsidRDefault="005A20A6" w:rsidP="005A20A6">
      <w:pPr>
        <w:spacing w:after="0" w:line="240" w:lineRule="auto"/>
        <w:jc w:val="both"/>
        <w:rPr>
          <w:rFonts w:ascii="Times New Roman" w:eastAsia="Aptos" w:hAnsi="Times New Roman" w:cs="Times New Roman"/>
          <w:i/>
          <w:sz w:val="24"/>
          <w:szCs w:val="24"/>
          <w:lang w:val="lv-LV"/>
          <w14:ligatures w14:val="standardContextual"/>
        </w:rPr>
      </w:pPr>
      <w:r w:rsidRPr="005A20A6">
        <w:rPr>
          <w:rFonts w:ascii="Times New Roman" w:eastAsia="Aptos" w:hAnsi="Times New Roman" w:cs="Times New Roman"/>
          <w:iCs/>
          <w:sz w:val="24"/>
          <w:szCs w:val="24"/>
          <w:lang w:val="lv-LV"/>
          <w14:ligatures w14:val="standardContextual"/>
        </w:rPr>
        <w:t xml:space="preserve">Saskaņā ar iepriekš minēto, šajā gadījumā nepietiks ar pretendenta apliecinājumu, </w:t>
      </w:r>
      <w:r w:rsidRPr="005A20A6">
        <w:rPr>
          <w:rFonts w:ascii="Times New Roman" w:eastAsia="Aptos" w:hAnsi="Times New Roman" w:cs="Times New Roman"/>
          <w:i/>
          <w:iCs/>
          <w:sz w:val="24"/>
          <w:szCs w:val="24"/>
          <w:lang w:val="lv-LV"/>
          <w14:ligatures w14:val="standardContextual"/>
        </w:rPr>
        <w:t>ka svari tiks iegādāti.</w:t>
      </w:r>
    </w:p>
    <w:p w:rsidR="005A20A6" w:rsidRPr="005A20A6" w:rsidRDefault="005A20A6" w:rsidP="005A20A6">
      <w:pPr>
        <w:suppressAutoHyphens/>
        <w:spacing w:after="0" w:line="240" w:lineRule="auto"/>
        <w:jc w:val="both"/>
        <w:rPr>
          <w:rFonts w:ascii="Times New Roman" w:eastAsia="NSimSun" w:hAnsi="Times New Roman" w:cs="Times New Roman"/>
          <w:kern w:val="2"/>
          <w:sz w:val="24"/>
          <w:szCs w:val="24"/>
          <w:lang w:val="lv-LV" w:eastAsia="zh-CN" w:bidi="hi-IN"/>
        </w:rPr>
      </w:pPr>
    </w:p>
    <w:p w:rsidR="005A20A6" w:rsidRPr="005A20A6" w:rsidRDefault="005A20A6" w:rsidP="005A20A6">
      <w:pPr>
        <w:suppressAutoHyphens/>
        <w:spacing w:after="0" w:line="240" w:lineRule="auto"/>
        <w:jc w:val="both"/>
        <w:rPr>
          <w:rFonts w:ascii="Times New Roman" w:eastAsia="NSimSun" w:hAnsi="Times New Roman" w:cs="Times New Roman"/>
          <w:b/>
          <w:bCs/>
          <w:kern w:val="2"/>
          <w:sz w:val="24"/>
          <w:szCs w:val="24"/>
          <w:lang w:val="lv-LV" w:eastAsia="zh-CN" w:bidi="hi-IN"/>
        </w:rPr>
      </w:pPr>
      <w:r w:rsidRPr="005A20A6">
        <w:rPr>
          <w:rFonts w:ascii="Times New Roman" w:eastAsia="NSimSun" w:hAnsi="Times New Roman" w:cs="Times New Roman"/>
          <w:b/>
          <w:bCs/>
          <w:kern w:val="2"/>
          <w:sz w:val="24"/>
          <w:szCs w:val="24"/>
          <w:lang w:val="lv-LV" w:eastAsia="zh-CN" w:bidi="hi-IN"/>
        </w:rPr>
        <w:t>2. jautājums:</w:t>
      </w:r>
    </w:p>
    <w:p w:rsidR="005A20A6" w:rsidRPr="005A20A6" w:rsidRDefault="005A20A6" w:rsidP="005A20A6">
      <w:pPr>
        <w:spacing w:after="0" w:line="240" w:lineRule="auto"/>
        <w:jc w:val="both"/>
        <w:rPr>
          <w:rFonts w:ascii="Times New Roman" w:eastAsia="NSimSun" w:hAnsi="Times New Roman" w:cs="Times New Roman"/>
          <w:kern w:val="2"/>
          <w:sz w:val="24"/>
          <w:szCs w:val="24"/>
          <w:lang w:val="lv-LV" w:eastAsia="zh-CN" w:bidi="hi-IN"/>
        </w:rPr>
      </w:pPr>
      <w:r w:rsidRPr="005A20A6">
        <w:rPr>
          <w:rFonts w:ascii="Times New Roman" w:eastAsia="NSimSun" w:hAnsi="Times New Roman" w:cs="Times New Roman"/>
          <w:kern w:val="2"/>
          <w:sz w:val="24"/>
          <w:szCs w:val="24"/>
          <w:lang w:val="lv-LV" w:eastAsia="zh-CN" w:bidi="hi-IN"/>
        </w:rPr>
        <w:t>Cik garš ir maksimālais tehnikas sastāvs ar kuru var ievest un izvest pasūtītāja bruģakmeni?</w:t>
      </w:r>
    </w:p>
    <w:p w:rsidR="005A20A6" w:rsidRPr="005A20A6" w:rsidRDefault="005A20A6" w:rsidP="005A20A6">
      <w:pPr>
        <w:spacing w:after="0" w:line="240" w:lineRule="auto"/>
        <w:jc w:val="both"/>
        <w:rPr>
          <w:rFonts w:ascii="Times New Roman" w:eastAsia="NSimSun" w:hAnsi="Times New Roman" w:cs="Times New Roman"/>
          <w:kern w:val="2"/>
          <w:sz w:val="24"/>
          <w:szCs w:val="24"/>
          <w:lang w:val="lv-LV" w:eastAsia="zh-CN" w:bidi="hi-IN"/>
        </w:rPr>
      </w:pPr>
      <w:r w:rsidRPr="005A20A6">
        <w:rPr>
          <w:rFonts w:ascii="Times New Roman" w:eastAsia="NSimSun" w:hAnsi="Times New Roman" w:cs="Times New Roman"/>
          <w:kern w:val="2"/>
          <w:sz w:val="24"/>
          <w:szCs w:val="24"/>
          <w:lang w:val="lv-LV" w:eastAsia="zh-CN" w:bidi="hi-IN"/>
        </w:rPr>
        <w:t>*TEHNISKĀ SPECIFIKĀCIJAS punktus:</w:t>
      </w:r>
    </w:p>
    <w:p w:rsidR="005A20A6" w:rsidRPr="005A20A6" w:rsidRDefault="005A20A6" w:rsidP="005A20A6">
      <w:pPr>
        <w:spacing w:after="0" w:line="240" w:lineRule="auto"/>
        <w:jc w:val="both"/>
        <w:rPr>
          <w:rFonts w:ascii="Times New Roman" w:eastAsia="NSimSun" w:hAnsi="Times New Roman" w:cs="Times New Roman"/>
          <w:kern w:val="2"/>
          <w:sz w:val="24"/>
          <w:szCs w:val="24"/>
          <w:lang w:val="lv-LV" w:eastAsia="zh-CN" w:bidi="hi-IN"/>
        </w:rPr>
      </w:pPr>
      <w:r w:rsidRPr="005A20A6">
        <w:rPr>
          <w:rFonts w:ascii="Times New Roman" w:eastAsia="NSimSun" w:hAnsi="Times New Roman" w:cs="Times New Roman"/>
          <w:kern w:val="2"/>
          <w:sz w:val="24"/>
          <w:szCs w:val="24"/>
          <w:lang w:val="lv-LV" w:eastAsia="zh-CN" w:bidi="hi-IN"/>
        </w:rPr>
        <w:t>4.2.      Glabātāja rīcībā jābūt svariem ar svēršanas svaru vismaz 40 (četrdesmit) tonnas, ar kuriem iespējams nosvērt bruģakmens kravas;</w:t>
      </w:r>
    </w:p>
    <w:p w:rsidR="005A20A6" w:rsidRPr="005A20A6" w:rsidRDefault="005A20A6" w:rsidP="005A20A6">
      <w:pPr>
        <w:spacing w:after="0" w:line="240" w:lineRule="auto"/>
        <w:jc w:val="both"/>
        <w:rPr>
          <w:rFonts w:ascii="Times New Roman" w:eastAsia="NSimSun" w:hAnsi="Times New Roman" w:cs="Times New Roman"/>
          <w:kern w:val="2"/>
          <w:sz w:val="24"/>
          <w:szCs w:val="24"/>
          <w:lang w:val="lv-LV" w:eastAsia="zh-CN" w:bidi="hi-IN"/>
        </w:rPr>
      </w:pPr>
      <w:r w:rsidRPr="005A20A6">
        <w:rPr>
          <w:rFonts w:ascii="Times New Roman" w:eastAsia="NSimSun" w:hAnsi="Times New Roman" w:cs="Times New Roman"/>
          <w:kern w:val="2"/>
          <w:sz w:val="24"/>
          <w:szCs w:val="24"/>
          <w:lang w:val="lv-LV" w:eastAsia="zh-CN" w:bidi="hi-IN"/>
        </w:rPr>
        <w:t>4.3.      Svēršanas mehānismam jābūt verificētam atbilstoši normatīvo aktu regulējumam.</w:t>
      </w:r>
    </w:p>
    <w:p w:rsidR="005A20A6" w:rsidRPr="005A20A6" w:rsidRDefault="005A20A6" w:rsidP="005A20A6">
      <w:pPr>
        <w:spacing w:after="0" w:line="240" w:lineRule="auto"/>
        <w:jc w:val="both"/>
        <w:rPr>
          <w:rFonts w:ascii="Times New Roman" w:eastAsia="NSimSun" w:hAnsi="Times New Roman" w:cs="Times New Roman"/>
          <w:kern w:val="2"/>
          <w:sz w:val="24"/>
          <w:szCs w:val="24"/>
          <w:lang w:val="lv-LV" w:eastAsia="zh-CN" w:bidi="hi-IN"/>
        </w:rPr>
      </w:pPr>
    </w:p>
    <w:p w:rsidR="005A20A6" w:rsidRPr="005A20A6" w:rsidRDefault="005A20A6" w:rsidP="005A20A6">
      <w:pPr>
        <w:spacing w:after="0" w:line="240" w:lineRule="auto"/>
        <w:jc w:val="both"/>
        <w:rPr>
          <w:rFonts w:ascii="Times New Roman" w:eastAsia="NSimSun" w:hAnsi="Times New Roman" w:cs="Times New Roman"/>
          <w:kern w:val="2"/>
          <w:sz w:val="24"/>
          <w:szCs w:val="24"/>
          <w:lang w:val="lv-LV" w:eastAsia="zh-CN" w:bidi="hi-IN"/>
        </w:rPr>
      </w:pPr>
    </w:p>
    <w:p w:rsidR="005A20A6" w:rsidRPr="005A20A6" w:rsidRDefault="005A20A6" w:rsidP="005A20A6">
      <w:pPr>
        <w:spacing w:after="0" w:line="240" w:lineRule="auto"/>
        <w:jc w:val="both"/>
        <w:rPr>
          <w:rFonts w:ascii="Times New Roman" w:eastAsia="Times New Roman" w:hAnsi="Times New Roman" w:cs="Times New Roman"/>
          <w:b/>
          <w:bCs/>
          <w:sz w:val="24"/>
          <w:szCs w:val="24"/>
          <w:lang w:val="lv-LV"/>
        </w:rPr>
      </w:pPr>
      <w:r w:rsidRPr="005A20A6">
        <w:rPr>
          <w:rFonts w:ascii="Times New Roman" w:eastAsia="Times New Roman" w:hAnsi="Times New Roman" w:cs="Times New Roman"/>
          <w:b/>
          <w:bCs/>
          <w:sz w:val="24"/>
          <w:szCs w:val="24"/>
          <w:lang w:val="lv-LV"/>
        </w:rPr>
        <w:t>Atbilde:</w:t>
      </w:r>
    </w:p>
    <w:p w:rsidR="005A20A6" w:rsidRPr="005A20A6" w:rsidRDefault="005A20A6" w:rsidP="005A20A6">
      <w:pPr>
        <w:spacing w:after="0" w:line="240" w:lineRule="auto"/>
        <w:jc w:val="both"/>
        <w:rPr>
          <w:rFonts w:ascii="Times New Roman" w:eastAsia="Times New Roman" w:hAnsi="Times New Roman" w:cs="Times New Roman"/>
          <w:sz w:val="24"/>
          <w:szCs w:val="24"/>
          <w:lang w:val="lv-LV"/>
        </w:rPr>
      </w:pPr>
      <w:r w:rsidRPr="005A20A6">
        <w:rPr>
          <w:rFonts w:ascii="Times New Roman" w:eastAsia="Times New Roman" w:hAnsi="Times New Roman" w:cs="Times New Roman"/>
          <w:sz w:val="24"/>
          <w:szCs w:val="24"/>
          <w:lang w:val="lv-LV"/>
        </w:rPr>
        <w:t>Tehnikas sastāvam jābūt tādam, kam ir atļauts piedalīties satiksmē pa valstpilsētas pašvaldības ielām atbilstoši Ministru kabineta noteikumu Nr.279 Ceļu satiksmes noteikumu 2.pielikumam “Pieļaujamie transportlīdzekļu (transportlīdzekļu sastāvu) gabarīti (ar kravu vai bez tās), faktiskā masa un ass slodze.</w:t>
      </w:r>
    </w:p>
    <w:p w:rsidR="00321D58" w:rsidRPr="005A20A6" w:rsidRDefault="00321D58">
      <w:pPr>
        <w:rPr>
          <w:lang w:val="lv-LV"/>
        </w:rPr>
      </w:pPr>
      <w:bookmarkStart w:id="0" w:name="_GoBack"/>
      <w:bookmarkEnd w:id="0"/>
    </w:p>
    <w:sectPr w:rsidR="00321D58" w:rsidRPr="005A20A6" w:rsidSect="001E7C3B">
      <w:footerReference w:type="default" r:id="rId4"/>
      <w:pgSz w:w="11906" w:h="16838"/>
      <w:pgMar w:top="1134" w:right="1134" w:bottom="1134" w:left="1418"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7721280"/>
      <w:docPartObj>
        <w:docPartGallery w:val="Page Numbers (Bottom of Page)"/>
        <w:docPartUnique/>
      </w:docPartObj>
    </w:sdtPr>
    <w:sdtEndPr/>
    <w:sdtContent>
      <w:p w:rsidR="00BE52D9" w:rsidRDefault="005A20A6">
        <w:pPr>
          <w:pStyle w:val="Footer"/>
          <w:jc w:val="center"/>
        </w:pPr>
        <w:r>
          <w:fldChar w:fldCharType="begin"/>
        </w:r>
        <w:r>
          <w:instrText>PAGE   \* MERGEFORMAT</w:instrText>
        </w:r>
        <w:r>
          <w:fldChar w:fldCharType="separate"/>
        </w:r>
        <w:r w:rsidRPr="00C70919">
          <w:rPr>
            <w:noProof/>
            <w:lang w:val="lv-LV"/>
          </w:rPr>
          <w:t>3</w:t>
        </w:r>
        <w:r>
          <w:fldChar w:fldCharType="end"/>
        </w:r>
      </w:p>
    </w:sdtContent>
  </w:sdt>
  <w:p w:rsidR="00BE52D9" w:rsidRDefault="005A20A6">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0A6"/>
    <w:rsid w:val="00321D58"/>
    <w:rsid w:val="005A20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E9CC2D-0EAB-4496-ADAF-4BDE64CF8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A20A6"/>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5A2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Vilnis Berzins</dc:creator>
  <cp:keywords/>
  <dc:description/>
  <cp:lastModifiedBy>Vilnis Berzins</cp:lastModifiedBy>
  <cp:revision>1</cp:revision>
  <dcterms:created xsi:type="dcterms:W3CDTF">2024-11-15T16:19:00Z</dcterms:created>
  <dcterms:modified xsi:type="dcterms:W3CDTF">2024-11-15T16:20:00Z</dcterms:modified>
</cp:coreProperties>
</file>