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11.0 -->
  <w:body>
    <w:p w:rsidR="00D60918" w:rsidRPr="00885DDE" w:rsidP="00D60918" w14:paraId="5DB1B779" w14:textId="77777777">
      <w:pPr>
        <w:spacing w:after="120"/>
        <w:ind w:firstLine="720"/>
        <w:jc w:val="center"/>
        <w:rPr>
          <w:sz w:val="23"/>
          <w:szCs w:val="23"/>
        </w:rPr>
      </w:pPr>
      <w:r w:rsidRPr="00885DDE">
        <w:rPr>
          <w:sz w:val="23"/>
          <w:szCs w:val="23"/>
        </w:rPr>
        <w:t>Rīgā</w:t>
      </w:r>
    </w:p>
    <w:p w:rsidR="00D60918" w:rsidRPr="00885DDE" w:rsidP="00D60918" w14:paraId="05D88BB4" w14:textId="77777777">
      <w:pPr>
        <w:spacing w:after="120"/>
        <w:jc w:val="center"/>
        <w:rPr>
          <w:sz w:val="23"/>
          <w:szCs w:val="23"/>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gridCol w:w="4819"/>
      </w:tblGrid>
      <w:tr w14:paraId="22865629" w14:textId="77777777" w:rsidTr="00D60918">
        <w:tblPrEx>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500" w:type="pct"/>
          </w:tcPr>
          <w:p w:rsidR="00D60918" w:rsidRPr="00885DDE" w:rsidP="00C516AC" w14:paraId="5F743DB3" w14:textId="77777777">
            <w:pPr>
              <w:spacing w:after="120"/>
              <w:rPr>
                <w:bCs/>
                <w:iCs/>
                <w:sz w:val="23"/>
                <w:szCs w:val="23"/>
              </w:rPr>
            </w:pPr>
            <w:r w:rsidRPr="00885DDE">
              <w:rPr>
                <w:bCs/>
                <w:iCs/>
                <w:sz w:val="23"/>
                <w:szCs w:val="23"/>
              </w:rPr>
              <w:t xml:space="preserve">Datums: </w:t>
            </w:r>
            <w:r w:rsidRPr="00885DDE">
              <w:rPr>
                <w:bCs/>
                <w:iCs/>
                <w:noProof/>
                <w:sz w:val="23"/>
                <w:szCs w:val="23"/>
              </w:rPr>
              <w:t>25.04.2024</w:t>
            </w:r>
          </w:p>
        </w:tc>
        <w:tc>
          <w:tcPr>
            <w:tcW w:w="2500" w:type="pct"/>
          </w:tcPr>
          <w:p w:rsidR="00D60918" w:rsidRPr="00885DDE" w:rsidP="00C516AC" w14:paraId="096FD68B" w14:textId="77777777">
            <w:pPr>
              <w:spacing w:after="120"/>
              <w:rPr>
                <w:bCs/>
                <w:iCs/>
                <w:sz w:val="23"/>
                <w:szCs w:val="23"/>
              </w:rPr>
            </w:pPr>
            <w:r w:rsidRPr="00885DDE">
              <w:rPr>
                <w:bCs/>
                <w:iCs/>
                <w:sz w:val="23"/>
                <w:szCs w:val="23"/>
              </w:rPr>
              <w:t>Nr.</w:t>
            </w:r>
            <w:r w:rsidRPr="00885DDE">
              <w:rPr>
                <w:bCs/>
                <w:iCs/>
                <w:noProof/>
                <w:sz w:val="23"/>
                <w:szCs w:val="23"/>
              </w:rPr>
              <w:t>RPNC/10-02/24/4232</w:t>
            </w:r>
          </w:p>
        </w:tc>
      </w:tr>
      <w:tr w14:paraId="0A15CD44" w14:textId="77777777" w:rsidTr="00D60918">
        <w:tblPrEx>
          <w:tblW w:w="5000" w:type="pct"/>
          <w:tblLook w:val="04A0"/>
        </w:tblPrEx>
        <w:tc>
          <w:tcPr>
            <w:tcW w:w="2500" w:type="pct"/>
          </w:tcPr>
          <w:p w:rsidR="00D60918" w:rsidRPr="00885DDE" w:rsidP="00C516AC" w14:paraId="16A41733" w14:textId="77777777">
            <w:pPr>
              <w:spacing w:after="120"/>
              <w:rPr>
                <w:bCs/>
                <w:iCs/>
                <w:sz w:val="23"/>
                <w:szCs w:val="23"/>
              </w:rPr>
            </w:pPr>
          </w:p>
        </w:tc>
        <w:tc>
          <w:tcPr>
            <w:tcW w:w="2500" w:type="pct"/>
          </w:tcPr>
          <w:p w:rsidR="00D60918" w:rsidRPr="00885DDE" w:rsidP="00C516AC" w14:paraId="301AAAC3" w14:textId="77777777">
            <w:pPr>
              <w:spacing w:after="120"/>
              <w:rPr>
                <w:bCs/>
                <w:iCs/>
                <w:sz w:val="23"/>
                <w:szCs w:val="23"/>
              </w:rPr>
            </w:pPr>
          </w:p>
        </w:tc>
      </w:tr>
    </w:tbl>
    <w:p w:rsidR="00D60918" w:rsidRPr="00885DDE" w:rsidP="004F4A3B" w14:paraId="3810203E" w14:textId="77777777">
      <w:pPr>
        <w:spacing w:after="120"/>
        <w:rPr>
          <w:bCs/>
          <w:iCs/>
          <w:sz w:val="23"/>
          <w:szCs w:val="23"/>
        </w:rPr>
      </w:pPr>
    </w:p>
    <w:p w:rsidR="00BC4C1D" w:rsidRPr="00885DDE" w:rsidP="004F4A3B" w14:paraId="7A7773B2" w14:textId="363C3449">
      <w:pPr>
        <w:spacing w:after="120"/>
        <w:rPr>
          <w:bCs/>
          <w:iCs/>
          <w:sz w:val="23"/>
          <w:szCs w:val="23"/>
        </w:rPr>
      </w:pPr>
      <w:r w:rsidRPr="00885DDE">
        <w:rPr>
          <w:bCs/>
          <w:iCs/>
          <w:sz w:val="23"/>
          <w:szCs w:val="23"/>
        </w:rPr>
        <w:t xml:space="preserve">Iepirkums: </w:t>
      </w:r>
      <w:r w:rsidRPr="00885DDE" w:rsidR="003A58D8">
        <w:rPr>
          <w:b/>
          <w:iCs/>
          <w:sz w:val="23"/>
          <w:szCs w:val="23"/>
        </w:rPr>
        <w:t>Ēdināšanas pakalpojums VSIA “Rīgas psihiatrijas un narkoloģijas centrs” vajadzībām (</w:t>
      </w:r>
      <w:r w:rsidRPr="00885DDE" w:rsidR="00624623">
        <w:rPr>
          <w:b/>
          <w:iCs/>
          <w:sz w:val="23"/>
          <w:szCs w:val="23"/>
        </w:rPr>
        <w:t>3</w:t>
      </w:r>
      <w:r w:rsidRPr="00885DDE" w:rsidR="003A58D8">
        <w:rPr>
          <w:b/>
          <w:iCs/>
          <w:sz w:val="23"/>
          <w:szCs w:val="23"/>
        </w:rPr>
        <w:t>)</w:t>
      </w:r>
      <w:r w:rsidRPr="00885DDE" w:rsidR="008F7528">
        <w:rPr>
          <w:bCs/>
          <w:iCs/>
          <w:sz w:val="23"/>
          <w:szCs w:val="23"/>
        </w:rPr>
        <w:t xml:space="preserve"> (turpmāk – </w:t>
      </w:r>
      <w:r w:rsidRPr="00885DDE" w:rsidR="008F7528">
        <w:rPr>
          <w:bCs/>
          <w:i/>
          <w:sz w:val="23"/>
          <w:szCs w:val="23"/>
        </w:rPr>
        <w:t>Iepirkums</w:t>
      </w:r>
      <w:r w:rsidRPr="00885DDE" w:rsidR="008F7528">
        <w:rPr>
          <w:bCs/>
          <w:iCs/>
          <w:sz w:val="23"/>
          <w:szCs w:val="23"/>
        </w:rPr>
        <w:t>)</w:t>
      </w:r>
    </w:p>
    <w:p w:rsidR="00E16A25" w:rsidRPr="00885DDE" w:rsidP="004F4A3B" w14:paraId="40E2BE8D" w14:textId="0669AB16">
      <w:pPr>
        <w:spacing w:after="120"/>
        <w:rPr>
          <w:bCs/>
          <w:iCs/>
          <w:sz w:val="23"/>
          <w:szCs w:val="23"/>
        </w:rPr>
      </w:pPr>
      <w:r w:rsidRPr="00885DDE">
        <w:rPr>
          <w:bCs/>
          <w:iCs/>
          <w:sz w:val="23"/>
          <w:szCs w:val="23"/>
        </w:rPr>
        <w:t>Iepirkuma ID Nr. RPNC/2024/</w:t>
      </w:r>
      <w:r w:rsidRPr="00885DDE" w:rsidR="00624623">
        <w:rPr>
          <w:bCs/>
          <w:iCs/>
          <w:sz w:val="23"/>
          <w:szCs w:val="23"/>
        </w:rPr>
        <w:t>22</w:t>
      </w:r>
    </w:p>
    <w:p w:rsidR="00411D24" w:rsidRPr="00885DDE" w:rsidP="004F4A3B" w14:paraId="38F1AC1F" w14:textId="4B1227FA">
      <w:pPr>
        <w:spacing w:after="120"/>
        <w:rPr>
          <w:bCs/>
          <w:iCs/>
          <w:sz w:val="23"/>
          <w:szCs w:val="23"/>
        </w:rPr>
      </w:pPr>
      <w:r w:rsidRPr="00885DDE">
        <w:rPr>
          <w:bCs/>
          <w:iCs/>
          <w:sz w:val="23"/>
          <w:szCs w:val="23"/>
        </w:rPr>
        <w:t>Valsts sabiedrības ar ierobežotu atbildību “</w:t>
      </w:r>
      <w:r w:rsidRPr="00885DDE">
        <w:rPr>
          <w:bCs/>
          <w:i/>
          <w:sz w:val="23"/>
          <w:szCs w:val="23"/>
        </w:rPr>
        <w:t>Rīgas psihiatrijas un narkoloģijas centrs</w:t>
      </w:r>
      <w:r w:rsidRPr="00885DDE">
        <w:rPr>
          <w:bCs/>
          <w:iCs/>
          <w:sz w:val="23"/>
          <w:szCs w:val="23"/>
        </w:rPr>
        <w:t xml:space="preserve">” (turpmāk tekstā – </w:t>
      </w:r>
      <w:r w:rsidRPr="00885DDE">
        <w:rPr>
          <w:bCs/>
          <w:i/>
          <w:sz w:val="23"/>
          <w:szCs w:val="23"/>
        </w:rPr>
        <w:t>Pasūtītājs</w:t>
      </w:r>
      <w:r w:rsidRPr="00885DDE">
        <w:rPr>
          <w:bCs/>
          <w:iCs/>
          <w:sz w:val="23"/>
          <w:szCs w:val="23"/>
        </w:rPr>
        <w:t xml:space="preserve"> vai </w:t>
      </w:r>
      <w:r w:rsidRPr="00885DDE">
        <w:rPr>
          <w:bCs/>
          <w:i/>
          <w:sz w:val="23"/>
          <w:szCs w:val="23"/>
        </w:rPr>
        <w:t>RPNC</w:t>
      </w:r>
      <w:r w:rsidRPr="00885DDE">
        <w:rPr>
          <w:bCs/>
          <w:iCs/>
          <w:sz w:val="23"/>
          <w:szCs w:val="23"/>
        </w:rPr>
        <w:t xml:space="preserve">) </w:t>
      </w:r>
      <w:r w:rsidRPr="00885DDE" w:rsidR="00E16A25">
        <w:rPr>
          <w:b/>
          <w:iCs/>
          <w:sz w:val="23"/>
          <w:szCs w:val="23"/>
        </w:rPr>
        <w:t xml:space="preserve">Iepirkuma komisijas (turpmāk tekstā – </w:t>
      </w:r>
      <w:r w:rsidRPr="00885DDE" w:rsidR="00E16A25">
        <w:rPr>
          <w:b/>
          <w:i/>
          <w:sz w:val="23"/>
          <w:szCs w:val="23"/>
        </w:rPr>
        <w:t>Komisija</w:t>
      </w:r>
      <w:r w:rsidRPr="00885DDE" w:rsidR="00E16A25">
        <w:rPr>
          <w:b/>
          <w:iCs/>
          <w:sz w:val="23"/>
          <w:szCs w:val="23"/>
        </w:rPr>
        <w:t>) atbildes pretendenta jautājumiem</w:t>
      </w:r>
      <w:r w:rsidRPr="00885DDE" w:rsidR="00E16A25">
        <w:rPr>
          <w:bCs/>
          <w:iCs/>
          <w:sz w:val="23"/>
          <w:szCs w:val="23"/>
        </w:rPr>
        <w:t>.</w:t>
      </w:r>
    </w:p>
    <w:p w:rsidR="00C81775" w:rsidRPr="00885DDE" w:rsidP="004F4A3B" w14:paraId="00917425" w14:textId="77777777">
      <w:pPr>
        <w:spacing w:after="120"/>
        <w:rPr>
          <w:bCs/>
          <w:iCs/>
          <w:sz w:val="23"/>
          <w:szCs w:val="23"/>
        </w:rPr>
      </w:pPr>
    </w:p>
    <w:p w:rsidR="00624623" w:rsidRPr="00885DDE" w:rsidP="00624623" w14:paraId="70F90450" w14:textId="77777777">
      <w:pPr>
        <w:pStyle w:val="ListParagraph"/>
        <w:tabs>
          <w:tab w:val="right" w:pos="5103"/>
          <w:tab w:val="left" w:pos="5387"/>
        </w:tabs>
        <w:ind w:left="0"/>
        <w:jc w:val="both"/>
        <w:rPr>
          <w:rFonts w:eastAsia="Aptos"/>
          <w:kern w:val="2"/>
          <w:sz w:val="23"/>
          <w:szCs w:val="23"/>
          <w14:ligatures w14:val="standardContextual"/>
        </w:rPr>
      </w:pPr>
      <w:r w:rsidRPr="00885DDE">
        <w:rPr>
          <w:b/>
          <w:bCs/>
          <w:sz w:val="23"/>
          <w:szCs w:val="23"/>
          <w:u w:val="single"/>
          <w:shd w:val="clear" w:color="auto" w:fill="FFFFFF"/>
        </w:rPr>
        <w:t>Pretendenta jautājums</w:t>
      </w:r>
      <w:r w:rsidRPr="00885DDE">
        <w:rPr>
          <w:sz w:val="23"/>
          <w:szCs w:val="23"/>
          <w:shd w:val="clear" w:color="auto" w:fill="FFFFFF"/>
        </w:rPr>
        <w:t xml:space="preserve">. </w:t>
      </w:r>
      <w:r w:rsidRPr="00885DDE">
        <w:rPr>
          <w:rFonts w:eastAsia="Aptos"/>
          <w:kern w:val="2"/>
          <w:sz w:val="23"/>
          <w:szCs w:val="23"/>
          <w14:ligatures w14:val="standardContextual"/>
        </w:rPr>
        <w:t>Konkursa nolikuma 5.7.1.6. punkts nosaka prasību iesniegt vides vadības sertifikātu ēdināšanas jomā saskaņā ar Konkursa tehniskās specifikācijas 46.5. punktu. Šāda sertifikāta esamība nav kvalifikācijas prasība, bet tas tiek ņemts vērā, vērtējot saimniecisko izdevīgumu. Tas dod iespēju saņemt 3 punktus no kopējā vērtējuma, kas dod vērā ņemamas priekšrocības un var būt izšķiroši, lai noteiktu Konkursa uzvarētāju.</w:t>
      </w:r>
    </w:p>
    <w:p w:rsidR="00624623" w:rsidRPr="00624623" w:rsidP="00624623" w14:paraId="1C27619B" w14:textId="77777777">
      <w:pPr>
        <w:tabs>
          <w:tab w:val="right" w:pos="5103"/>
          <w:tab w:val="left" w:pos="5387"/>
        </w:tabs>
        <w:spacing w:line="276" w:lineRule="auto"/>
        <w:contextualSpacing/>
        <w:jc w:val="both"/>
        <w:rPr>
          <w:rFonts w:eastAsia="Aptos"/>
          <w:kern w:val="2"/>
          <w:sz w:val="23"/>
          <w:szCs w:val="23"/>
          <w:lang w:eastAsia="en-US"/>
          <w14:ligatures w14:val="standardContextual"/>
        </w:rPr>
      </w:pPr>
    </w:p>
    <w:p w:rsidR="00624623" w:rsidRPr="00624623" w:rsidP="00624623" w14:paraId="2DD84A8E" w14:textId="77777777">
      <w:pPr>
        <w:tabs>
          <w:tab w:val="right" w:pos="5103"/>
          <w:tab w:val="left" w:pos="5387"/>
        </w:tabs>
        <w:spacing w:line="276" w:lineRule="auto"/>
        <w:contextualSpacing/>
        <w:jc w:val="both"/>
        <w:rPr>
          <w:rFonts w:eastAsia="Aptos"/>
          <w:kern w:val="2"/>
          <w:sz w:val="23"/>
          <w:szCs w:val="23"/>
          <w:lang w:eastAsia="en-US"/>
          <w14:ligatures w14:val="standardContextual"/>
        </w:rPr>
      </w:pPr>
      <w:r w:rsidRPr="00624623">
        <w:rPr>
          <w:rFonts w:eastAsia="Aptos"/>
          <w:kern w:val="2"/>
          <w:sz w:val="23"/>
          <w:szCs w:val="23"/>
          <w:lang w:eastAsia="en-US"/>
          <w14:ligatures w14:val="standardContextual"/>
        </w:rPr>
        <w:t xml:space="preserve">Vēlamies vērst uzmanību, ka sertifikāts pats par sevi nav vienīgais veids, kā apliecināt pretendenta ieviestas vides pārvaldības sistēmas darbību. Atbilstoši VARAM “Zaļā publiskā iepirkuma vadlīnijām pārtikai un ēdināšanas pakalpojumiem” (turpmāk – </w:t>
      </w:r>
      <w:r w:rsidRPr="00624623">
        <w:rPr>
          <w:rFonts w:eastAsia="Aptos"/>
          <w:b/>
          <w:bCs/>
          <w:kern w:val="2"/>
          <w:sz w:val="23"/>
          <w:szCs w:val="23"/>
          <w:lang w:eastAsia="en-US"/>
          <w14:ligatures w14:val="standardContextual"/>
        </w:rPr>
        <w:t>ZPI Vadlīnijas</w:t>
      </w:r>
      <w:r w:rsidRPr="00624623">
        <w:rPr>
          <w:rFonts w:eastAsia="Aptos"/>
          <w:kern w:val="2"/>
          <w:sz w:val="23"/>
          <w:szCs w:val="23"/>
          <w:lang w:eastAsia="en-US"/>
          <w14:ligatures w14:val="standardContextual"/>
        </w:rPr>
        <w:t xml:space="preserve">) par vides pārvaldības un iekšējā audita sistēmu ir atzīstamas arī citas, ne tikai Vides pārraudzības valsts biroja reģistrētas un verificētas (un EMAS reģistrētas) sistēmas.  Arī citos nozares iepirkumos tiek norādīts uz iespēju iesniegt Eiropas Savienības Vides pārvaldības sistēmu (EMAS) </w:t>
      </w:r>
      <w:r w:rsidRPr="00624623">
        <w:rPr>
          <w:rFonts w:eastAsia="Aptos"/>
          <w:kern w:val="2"/>
          <w:sz w:val="23"/>
          <w:szCs w:val="23"/>
          <w:u w:val="single"/>
          <w:lang w:eastAsia="en-US"/>
          <w14:ligatures w14:val="standardContextual"/>
        </w:rPr>
        <w:t xml:space="preserve">vai </w:t>
      </w:r>
      <w:r w:rsidRPr="00624623">
        <w:rPr>
          <w:rFonts w:eastAsia="Aptos"/>
          <w:kern w:val="2"/>
          <w:sz w:val="23"/>
          <w:szCs w:val="23"/>
          <w:u w:val="single"/>
          <w:lang w:eastAsia="en-US"/>
          <w14:ligatures w14:val="standardContextual"/>
        </w:rPr>
        <w:t>līdzvērtīgu</w:t>
      </w:r>
      <w:r w:rsidRPr="00624623">
        <w:rPr>
          <w:rFonts w:eastAsia="Aptos"/>
          <w:kern w:val="2"/>
          <w:sz w:val="23"/>
          <w:szCs w:val="23"/>
          <w:u w:val="single"/>
          <w:lang w:eastAsia="en-US"/>
          <w14:ligatures w14:val="standardContextual"/>
        </w:rPr>
        <w:t xml:space="preserve"> vides pārvaldības sistēmu, vai iesniegt apliecinājumu</w:t>
      </w:r>
      <w:r w:rsidRPr="00624623">
        <w:rPr>
          <w:rFonts w:eastAsia="Aptos"/>
          <w:kern w:val="2"/>
          <w:sz w:val="23"/>
          <w:szCs w:val="23"/>
          <w:lang w:eastAsia="en-US"/>
          <w14:ligatures w14:val="standardContextual"/>
        </w:rPr>
        <w:t>, ka piegādātājs s</w:t>
      </w:r>
      <w:r w:rsidRPr="00624623">
        <w:rPr>
          <w:rFonts w:eastAsia="Aptos"/>
          <w:color w:val="000000"/>
          <w:kern w:val="2"/>
          <w:position w:val="-1"/>
          <w:sz w:val="23"/>
          <w:szCs w:val="23"/>
          <w:lang w:eastAsia="en-US"/>
        </w:rPr>
        <w:t>avā</w:t>
      </w:r>
      <w:r w:rsidRPr="00624623">
        <w:rPr>
          <w:rFonts w:eastAsia="Aptos"/>
          <w:color w:val="000000"/>
          <w:kern w:val="2"/>
          <w:position w:val="-1"/>
          <w:sz w:val="23"/>
          <w:szCs w:val="23"/>
          <w:lang w:eastAsia="en-US"/>
        </w:rPr>
        <w:t xml:space="preserve"> darbībā ir ieviesis vides </w:t>
      </w:r>
      <w:r w:rsidRPr="00624623">
        <w:rPr>
          <w:rFonts w:eastAsia="Aptos"/>
          <w:color w:val="000000"/>
          <w:kern w:val="2"/>
          <w:position w:val="-1"/>
          <w:sz w:val="23"/>
          <w:szCs w:val="23"/>
          <w:lang w:eastAsia="en-US"/>
        </w:rPr>
        <w:t>aizsardzības</w:t>
      </w:r>
      <w:r w:rsidRPr="00624623">
        <w:rPr>
          <w:rFonts w:eastAsia="Aptos"/>
          <w:color w:val="000000"/>
          <w:kern w:val="2"/>
          <w:position w:val="-1"/>
          <w:sz w:val="23"/>
          <w:szCs w:val="23"/>
          <w:lang w:eastAsia="en-US"/>
        </w:rPr>
        <w:t xml:space="preserve"> politiku.</w:t>
      </w:r>
    </w:p>
    <w:p w:rsidR="00624623" w:rsidRPr="00624623" w:rsidP="00624623" w14:paraId="5DB0FBDB" w14:textId="77777777">
      <w:pPr>
        <w:spacing w:line="276" w:lineRule="auto"/>
        <w:rPr>
          <w:rFonts w:eastAsia="Aptos"/>
          <w:kern w:val="2"/>
          <w:sz w:val="23"/>
          <w:szCs w:val="23"/>
          <w:lang w:eastAsia="en-US"/>
          <w14:ligatures w14:val="standardContextual"/>
        </w:rPr>
      </w:pPr>
    </w:p>
    <w:p w:rsidR="00624623" w:rsidRPr="00624623" w:rsidP="00624623" w14:paraId="69BAEB54" w14:textId="77777777">
      <w:pPr>
        <w:tabs>
          <w:tab w:val="right" w:pos="5103"/>
          <w:tab w:val="left" w:pos="5387"/>
        </w:tabs>
        <w:spacing w:line="276" w:lineRule="auto"/>
        <w:contextualSpacing/>
        <w:jc w:val="both"/>
        <w:rPr>
          <w:rFonts w:eastAsia="Aptos"/>
          <w:kern w:val="2"/>
          <w:sz w:val="23"/>
          <w:szCs w:val="23"/>
          <w:lang w:eastAsia="en-US"/>
          <w14:ligatures w14:val="standardContextual"/>
        </w:rPr>
      </w:pPr>
      <w:r w:rsidRPr="00624623">
        <w:rPr>
          <w:rFonts w:eastAsia="Aptos"/>
          <w:kern w:val="2"/>
          <w:sz w:val="23"/>
          <w:szCs w:val="23"/>
          <w:lang w:eastAsia="en-US"/>
          <w14:ligatures w14:val="standardContextual"/>
        </w:rPr>
        <w:t>Atbilstoši ZPI Vadlīnijām EMAS reģistrācija vai ISO 14001:2015 ir verifikācijas marķieri, kas atvieglo nevis aizstāj saimnieciski izdevīgākā piedāvājuma izvēles kritēriju pārbaudi zaļā publiskā iepirkuma vajadzībām. Mūsu ieskatā nav samērīgi prasīt, lai pretendents būtu sertificējis (nevis ieviesis un apliecinājis) savas ieviestās VPS, kā priekšnoteikumu punktu gūšanai iepirkumā, kā arī liegt piešķirt punktus tiem pretendentiem, kam VPS ir faktiski ieviesta, bet (vēl) nav verificēta.</w:t>
      </w:r>
    </w:p>
    <w:p w:rsidR="00624623" w:rsidRPr="00624623" w:rsidP="00624623" w14:paraId="42E2EF80" w14:textId="77777777">
      <w:pPr>
        <w:spacing w:line="276" w:lineRule="auto"/>
        <w:rPr>
          <w:rFonts w:eastAsia="Aptos"/>
          <w:kern w:val="2"/>
          <w:sz w:val="23"/>
          <w:szCs w:val="23"/>
          <w:lang w:eastAsia="en-US"/>
          <w14:ligatures w14:val="standardContextual"/>
        </w:rPr>
      </w:pPr>
    </w:p>
    <w:p w:rsidR="00624623" w:rsidRPr="00885DDE" w:rsidP="00624623" w14:paraId="5DA3626E" w14:textId="554EA423">
      <w:pPr>
        <w:tabs>
          <w:tab w:val="right" w:pos="5103"/>
          <w:tab w:val="left" w:pos="5387"/>
        </w:tabs>
        <w:spacing w:line="276" w:lineRule="auto"/>
        <w:contextualSpacing/>
        <w:jc w:val="both"/>
        <w:rPr>
          <w:rFonts w:eastAsia="Aptos"/>
          <w:kern w:val="2"/>
          <w:sz w:val="23"/>
          <w:szCs w:val="23"/>
          <w:lang w:eastAsia="en-US"/>
          <w14:ligatures w14:val="standardContextual"/>
        </w:rPr>
      </w:pPr>
      <w:r w:rsidRPr="00624623">
        <w:rPr>
          <w:rFonts w:eastAsia="Aptos"/>
          <w:kern w:val="2"/>
          <w:sz w:val="23"/>
          <w:szCs w:val="23"/>
          <w:lang w:eastAsia="en-US"/>
          <w14:ligatures w14:val="standardContextual"/>
        </w:rPr>
        <w:t>Jāpiebilst, ka saskaņā ar publiski pieejamo informāciju, šāds vides vadības sertifikāts (ISO 14001) ir bijis piešķirts SIA “</w:t>
      </w:r>
      <w:r w:rsidRPr="00624623">
        <w:rPr>
          <w:rFonts w:eastAsia="Aptos"/>
          <w:kern w:val="2"/>
          <w:sz w:val="23"/>
          <w:szCs w:val="23"/>
          <w:lang w:eastAsia="en-US"/>
          <w14:ligatures w14:val="standardContextual"/>
        </w:rPr>
        <w:t>Concord</w:t>
      </w:r>
      <w:r w:rsidRPr="00624623">
        <w:rPr>
          <w:rFonts w:eastAsia="Aptos"/>
          <w:kern w:val="2"/>
          <w:sz w:val="23"/>
          <w:szCs w:val="23"/>
          <w:lang w:eastAsia="en-US"/>
          <w14:ligatures w14:val="standardContextual"/>
        </w:rPr>
        <w:t xml:space="preserve"> </w:t>
      </w:r>
      <w:r w:rsidRPr="00624623">
        <w:rPr>
          <w:rFonts w:eastAsia="Aptos"/>
          <w:kern w:val="2"/>
          <w:sz w:val="23"/>
          <w:szCs w:val="23"/>
          <w:lang w:eastAsia="en-US"/>
          <w14:ligatures w14:val="standardContextual"/>
        </w:rPr>
        <w:t>Service</w:t>
      </w:r>
      <w:r w:rsidRPr="00624623">
        <w:rPr>
          <w:rFonts w:eastAsia="Aptos"/>
          <w:kern w:val="2"/>
          <w:sz w:val="23"/>
          <w:szCs w:val="23"/>
          <w:lang w:eastAsia="en-US"/>
          <w14:ligatures w14:val="standardContextual"/>
        </w:rPr>
        <w:t xml:space="preserve"> Group”.</w:t>
      </w:r>
      <w:r>
        <w:rPr>
          <w:rFonts w:eastAsia="Aptos"/>
          <w:kern w:val="2"/>
          <w:sz w:val="23"/>
          <w:szCs w:val="23"/>
          <w:vertAlign w:val="superscript"/>
          <w:lang w:eastAsia="en-US"/>
          <w14:ligatures w14:val="standardContextual"/>
        </w:rPr>
        <w:footnoteReference w:id="2"/>
      </w:r>
      <w:r w:rsidRPr="00624623">
        <w:rPr>
          <w:rFonts w:eastAsia="Aptos"/>
          <w:kern w:val="2"/>
          <w:sz w:val="23"/>
          <w:szCs w:val="23"/>
          <w:lang w:eastAsia="en-US"/>
          <w14:ligatures w14:val="standardContextual"/>
        </w:rPr>
        <w:t xml:space="preserve"> Jāpaskaidro, ka SIA “CNC” īpašnieki līdzīgās daļās ir SIA “</w:t>
      </w:r>
      <w:r w:rsidRPr="00624623">
        <w:rPr>
          <w:rFonts w:eastAsia="Aptos"/>
          <w:kern w:val="2"/>
          <w:sz w:val="23"/>
          <w:szCs w:val="23"/>
          <w:lang w:eastAsia="en-US"/>
          <w14:ligatures w14:val="standardContextual"/>
        </w:rPr>
        <w:t>Concord</w:t>
      </w:r>
      <w:r w:rsidRPr="00624623">
        <w:rPr>
          <w:rFonts w:eastAsia="Aptos"/>
          <w:kern w:val="2"/>
          <w:sz w:val="23"/>
          <w:szCs w:val="23"/>
          <w:lang w:eastAsia="en-US"/>
          <w14:ligatures w14:val="standardContextual"/>
        </w:rPr>
        <w:t xml:space="preserve"> </w:t>
      </w:r>
      <w:r w:rsidRPr="00624623">
        <w:rPr>
          <w:rFonts w:eastAsia="Aptos"/>
          <w:kern w:val="2"/>
          <w:sz w:val="23"/>
          <w:szCs w:val="23"/>
          <w:lang w:eastAsia="en-US"/>
          <w14:ligatures w14:val="standardContextual"/>
        </w:rPr>
        <w:t>Service</w:t>
      </w:r>
      <w:r w:rsidRPr="00624623">
        <w:rPr>
          <w:rFonts w:eastAsia="Aptos"/>
          <w:kern w:val="2"/>
          <w:sz w:val="23"/>
          <w:szCs w:val="23"/>
          <w:lang w:eastAsia="en-US"/>
          <w14:ligatures w14:val="standardContextual"/>
        </w:rPr>
        <w:t xml:space="preserve"> Group” un SIA “Aleks un V”, kuri dažādās piegādātāju apvienības kombinācijās ir iesnieguši piedāvājumus vairākos citos ēdināšanas iepirkumos. Turklāt, šī saistīto uzņēmumu grupa ar dažādu savu juridisko personu pārstāvniecību nodrošina Jums kā pasūtītājam pakalpojumus jau kopš 2007.gada. Pie šādiem apstākļiem, saimnieciski izdevīgākā piedāvājuma noteikšanā izšķirošu nozīmi piešķirot tieši vides vadības sertifikātam, norāda uz favorītisma risku</w:t>
      </w:r>
      <w:r w:rsidRPr="00885DDE">
        <w:rPr>
          <w:rFonts w:eastAsia="Aptos"/>
          <w:kern w:val="2"/>
          <w:sz w:val="23"/>
          <w:szCs w:val="23"/>
          <w:lang w:eastAsia="en-US"/>
          <w14:ligatures w14:val="standardContextual"/>
        </w:rPr>
        <w:t>.</w:t>
      </w:r>
    </w:p>
    <w:p w:rsidR="00BF2479" w:rsidP="00624623" w14:paraId="1E7FF052" w14:textId="18A3C403">
      <w:pPr>
        <w:tabs>
          <w:tab w:val="right" w:pos="5103"/>
          <w:tab w:val="left" w:pos="5387"/>
        </w:tabs>
        <w:spacing w:line="276" w:lineRule="auto"/>
        <w:jc w:val="both"/>
        <w:rPr>
          <w:rFonts w:eastAsia="Aptos"/>
          <w:color w:val="000000"/>
          <w:kern w:val="2"/>
          <w:sz w:val="23"/>
          <w:szCs w:val="23"/>
          <w14:ligatures w14:val="standardContextual"/>
        </w:rPr>
      </w:pPr>
      <w:r w:rsidRPr="00885DDE">
        <w:rPr>
          <w:rFonts w:eastAsia="Aptos"/>
          <w:kern w:val="2"/>
          <w:sz w:val="23"/>
          <w:szCs w:val="23"/>
          <w14:ligatures w14:val="standardContextual"/>
        </w:rPr>
        <w:t xml:space="preserve">Pamatojoties uz minēto, lai tiktu ievērota Publisko iepirkumu likuma 2.pantā noteiktā piegādātāju brīvas konkurences, kā arī vienlīdzīgas un taisnīgas attieksmes principa ievērošana, lūdzam veikt precizējumus Konkursa nolikumā, kas ļauj papildus punktus iegūt, ja pretendents iesniedz apliecinājumu (kā ekvivalentu EMAS vai līdzvērtīga sertifikāta reģistrācijai), ka </w:t>
      </w:r>
      <w:r w:rsidRPr="00885DDE">
        <w:rPr>
          <w:rFonts w:eastAsia="Aptos"/>
          <w:color w:val="000000"/>
          <w:kern w:val="2"/>
          <w:sz w:val="23"/>
          <w:szCs w:val="23"/>
          <w14:ligatures w14:val="standardContextual"/>
        </w:rPr>
        <w:t xml:space="preserve">savā darbībā ir ieviesis vides </w:t>
      </w:r>
      <w:r w:rsidRPr="00885DDE">
        <w:rPr>
          <w:rFonts w:eastAsia="Aptos"/>
          <w:color w:val="000000"/>
          <w:kern w:val="2"/>
          <w:sz w:val="23"/>
          <w:szCs w:val="23"/>
          <w14:ligatures w14:val="standardContextual"/>
        </w:rPr>
        <w:t>aizsardzības</w:t>
      </w:r>
      <w:r w:rsidRPr="00885DDE">
        <w:rPr>
          <w:rFonts w:eastAsia="Aptos"/>
          <w:color w:val="000000"/>
          <w:kern w:val="2"/>
          <w:sz w:val="23"/>
          <w:szCs w:val="23"/>
          <w14:ligatures w14:val="standardContextual"/>
        </w:rPr>
        <w:t xml:space="preserve"> politiku </w:t>
      </w:r>
      <w:r w:rsidRPr="00885DDE">
        <w:rPr>
          <w:rFonts w:eastAsia="Aptos"/>
          <w:color w:val="000000"/>
          <w:kern w:val="2"/>
          <w:sz w:val="23"/>
          <w:szCs w:val="23"/>
          <w14:ligatures w14:val="standardContextual"/>
        </w:rPr>
        <w:t>attiecība</w:t>
      </w:r>
      <w:r w:rsidRPr="00885DDE">
        <w:rPr>
          <w:rFonts w:eastAsia="Aptos"/>
          <w:color w:val="000000"/>
          <w:kern w:val="2"/>
          <w:sz w:val="23"/>
          <w:szCs w:val="23"/>
          <w14:ligatures w14:val="standardContextual"/>
        </w:rPr>
        <w:t xml:space="preserve">̄ uz </w:t>
      </w:r>
      <w:r w:rsidRPr="00885DDE">
        <w:rPr>
          <w:rFonts w:eastAsia="Aptos"/>
          <w:color w:val="000000"/>
          <w:kern w:val="2"/>
          <w:sz w:val="23"/>
          <w:szCs w:val="23"/>
          <w14:ligatures w14:val="standardContextual"/>
        </w:rPr>
        <w:t>ēdināšanas</w:t>
      </w:r>
      <w:r w:rsidRPr="00885DDE">
        <w:rPr>
          <w:rFonts w:eastAsia="Aptos"/>
          <w:color w:val="000000"/>
          <w:kern w:val="2"/>
          <w:sz w:val="23"/>
          <w:szCs w:val="23"/>
          <w14:ligatures w14:val="standardContextual"/>
        </w:rPr>
        <w:t xml:space="preserve"> pakalpojumiem un darba </w:t>
      </w:r>
      <w:r w:rsidRPr="00885DDE">
        <w:rPr>
          <w:rFonts w:eastAsia="Aptos"/>
          <w:color w:val="000000"/>
          <w:kern w:val="2"/>
          <w:sz w:val="23"/>
          <w:szCs w:val="23"/>
          <w14:ligatures w14:val="standardContextual"/>
        </w:rPr>
        <w:t>instrukcijām</w:t>
      </w:r>
      <w:r w:rsidRPr="00885DDE">
        <w:rPr>
          <w:rFonts w:eastAsia="Aptos"/>
          <w:color w:val="000000"/>
          <w:kern w:val="2"/>
          <w:sz w:val="23"/>
          <w:szCs w:val="23"/>
          <w14:ligatures w14:val="standardContextual"/>
        </w:rPr>
        <w:t xml:space="preserve"> un </w:t>
      </w:r>
      <w:r w:rsidRPr="00885DDE">
        <w:rPr>
          <w:rFonts w:eastAsia="Aptos"/>
          <w:color w:val="000000"/>
          <w:kern w:val="2"/>
          <w:sz w:val="23"/>
          <w:szCs w:val="23"/>
          <w14:ligatures w14:val="standardContextual"/>
        </w:rPr>
        <w:t>procedūrām</w:t>
      </w:r>
      <w:r w:rsidRPr="00885DDE">
        <w:rPr>
          <w:rFonts w:eastAsia="Aptos"/>
          <w:color w:val="000000"/>
          <w:kern w:val="2"/>
          <w:sz w:val="23"/>
          <w:szCs w:val="23"/>
          <w14:ligatures w14:val="standardContextual"/>
        </w:rPr>
        <w:t xml:space="preserve"> </w:t>
      </w:r>
      <w:r w:rsidRPr="00885DDE">
        <w:rPr>
          <w:rFonts w:eastAsia="Aptos"/>
          <w:color w:val="000000"/>
          <w:kern w:val="2"/>
          <w:sz w:val="23"/>
          <w:szCs w:val="23"/>
          <w14:ligatures w14:val="standardContextual"/>
        </w:rPr>
        <w:t>attiecība</w:t>
      </w:r>
      <w:r w:rsidRPr="00885DDE">
        <w:rPr>
          <w:rFonts w:eastAsia="Aptos"/>
          <w:color w:val="000000"/>
          <w:kern w:val="2"/>
          <w:sz w:val="23"/>
          <w:szCs w:val="23"/>
          <w14:ligatures w14:val="standardContextual"/>
        </w:rPr>
        <w:t xml:space="preserve">̄ uz pakalpojuma </w:t>
      </w:r>
      <w:r w:rsidRPr="00885DDE">
        <w:rPr>
          <w:rFonts w:eastAsia="Aptos"/>
          <w:color w:val="000000"/>
          <w:kern w:val="2"/>
          <w:sz w:val="23"/>
          <w:szCs w:val="23"/>
          <w14:ligatures w14:val="standardContextual"/>
        </w:rPr>
        <w:t>sniegšanu</w:t>
      </w:r>
      <w:r w:rsidRPr="00885DDE">
        <w:rPr>
          <w:rFonts w:eastAsia="Aptos"/>
          <w:color w:val="000000"/>
          <w:kern w:val="2"/>
          <w:sz w:val="23"/>
          <w:szCs w:val="23"/>
          <w14:ligatures w14:val="standardContextual"/>
        </w:rPr>
        <w:t xml:space="preserve"> videi </w:t>
      </w:r>
      <w:r w:rsidRPr="00885DDE">
        <w:rPr>
          <w:rFonts w:eastAsia="Aptos"/>
          <w:color w:val="000000"/>
          <w:kern w:val="2"/>
          <w:sz w:val="23"/>
          <w:szCs w:val="23"/>
          <w14:ligatures w14:val="standardContextual"/>
        </w:rPr>
        <w:t>draudzīga</w:t>
      </w:r>
      <w:r w:rsidRPr="00885DDE">
        <w:rPr>
          <w:rFonts w:eastAsia="Aptos"/>
          <w:color w:val="000000"/>
          <w:kern w:val="2"/>
          <w:sz w:val="23"/>
          <w:szCs w:val="23"/>
          <w14:ligatures w14:val="standardContextual"/>
        </w:rPr>
        <w:t>̄ veidā</w:t>
      </w:r>
    </w:p>
    <w:p w:rsidR="00885DDE" w:rsidRPr="00885DDE" w:rsidP="00624623" w14:paraId="497AB392" w14:textId="77777777">
      <w:pPr>
        <w:tabs>
          <w:tab w:val="right" w:pos="5103"/>
          <w:tab w:val="left" w:pos="5387"/>
        </w:tabs>
        <w:spacing w:line="276" w:lineRule="auto"/>
        <w:jc w:val="both"/>
        <w:rPr>
          <w:rFonts w:eastAsia="Aptos"/>
          <w:kern w:val="2"/>
          <w:sz w:val="23"/>
          <w:szCs w:val="23"/>
          <w:lang w:eastAsia="en-US"/>
          <w14:ligatures w14:val="standardContextual"/>
        </w:rPr>
      </w:pPr>
    </w:p>
    <w:p w:rsidR="00E751C5" w:rsidRPr="00885DDE" w:rsidP="00624623" w14:paraId="279337D0" w14:textId="120A3074">
      <w:pPr>
        <w:pStyle w:val="ListParagraph"/>
        <w:spacing w:after="120"/>
        <w:ind w:left="360"/>
        <w:contextualSpacing w:val="0"/>
        <w:jc w:val="both"/>
        <w:rPr>
          <w:color w:val="002060"/>
          <w:sz w:val="23"/>
          <w:szCs w:val="23"/>
          <w:shd w:val="clear" w:color="auto" w:fill="FFFFFF"/>
        </w:rPr>
      </w:pPr>
      <w:r w:rsidRPr="00885DDE">
        <w:rPr>
          <w:b/>
          <w:bCs/>
          <w:color w:val="002060"/>
          <w:sz w:val="23"/>
          <w:szCs w:val="23"/>
          <w:u w:val="single"/>
          <w:shd w:val="clear" w:color="auto" w:fill="FFFFFF"/>
        </w:rPr>
        <w:t>Komisijas atbilde</w:t>
      </w:r>
      <w:r w:rsidRPr="00885DDE">
        <w:rPr>
          <w:color w:val="002060"/>
          <w:sz w:val="23"/>
          <w:szCs w:val="23"/>
          <w:shd w:val="clear" w:color="auto" w:fill="FFFFFF"/>
        </w:rPr>
        <w:t xml:space="preserve">. </w:t>
      </w:r>
      <w:r w:rsidRPr="00885DDE" w:rsidR="00624623">
        <w:rPr>
          <w:color w:val="002060"/>
          <w:sz w:val="23"/>
          <w:szCs w:val="23"/>
          <w:shd w:val="clear" w:color="auto" w:fill="FFFFFF"/>
        </w:rPr>
        <w:t xml:space="preserve">Komisija nevar veikt un neveiks precizējumu iepirkuma nolikumā, lai pasludinātu, ka subjektīvs ieinteresētās personas pašapliecinājums vides vadības kvalitātes sistēmas esamībai uzņēmumā ir objektīvs ekvivalents </w:t>
      </w:r>
      <w:r w:rsidRPr="00885DDE" w:rsidR="00885DDE">
        <w:rPr>
          <w:color w:val="002060"/>
          <w:sz w:val="23"/>
          <w:szCs w:val="23"/>
          <w:shd w:val="clear" w:color="auto" w:fill="FFFFFF"/>
        </w:rPr>
        <w:t>neatkarīgas un kompetentas institūcijas</w:t>
      </w:r>
      <w:r w:rsidRPr="00885DDE" w:rsidR="00624623">
        <w:rPr>
          <w:color w:val="002060"/>
          <w:sz w:val="23"/>
          <w:szCs w:val="23"/>
          <w:shd w:val="clear" w:color="auto" w:fill="FFFFFF"/>
        </w:rPr>
        <w:t xml:space="preserve"> sertifikācijai, kura garantē vides vadības kvalitātes sistēmas atbilstību noteiktiem kritērijiem. </w:t>
      </w:r>
      <w:r w:rsidRPr="00885DDE" w:rsidR="00885DDE">
        <w:rPr>
          <w:color w:val="002060"/>
          <w:sz w:val="23"/>
          <w:szCs w:val="23"/>
          <w:shd w:val="clear" w:color="auto" w:fill="FFFFFF"/>
        </w:rPr>
        <w:t xml:space="preserve">Pašapliecinajuma pielīdzināšana sertifikācijai </w:t>
      </w:r>
      <w:r w:rsidRPr="00885DDE" w:rsidR="00624623">
        <w:rPr>
          <w:color w:val="002060"/>
          <w:sz w:val="23"/>
          <w:szCs w:val="23"/>
          <w:shd w:val="clear" w:color="auto" w:fill="FFFFFF"/>
        </w:rPr>
        <w:t>pārkāpj vienlīdzīgas attieksmes principu, jo ir netaisnīg</w:t>
      </w:r>
      <w:r w:rsidRPr="00885DDE" w:rsidR="00885DDE">
        <w:rPr>
          <w:color w:val="002060"/>
          <w:sz w:val="23"/>
          <w:szCs w:val="23"/>
          <w:shd w:val="clear" w:color="auto" w:fill="FFFFFF"/>
        </w:rPr>
        <w:t>a</w:t>
      </w:r>
      <w:r w:rsidRPr="00885DDE" w:rsidR="00624623">
        <w:rPr>
          <w:color w:val="002060"/>
          <w:sz w:val="23"/>
          <w:szCs w:val="23"/>
          <w:shd w:val="clear" w:color="auto" w:fill="FFFFFF"/>
        </w:rPr>
        <w:t xml:space="preserve"> un diskriminējoš</w:t>
      </w:r>
      <w:r w:rsidRPr="00885DDE" w:rsidR="00885DDE">
        <w:rPr>
          <w:color w:val="002060"/>
          <w:sz w:val="23"/>
          <w:szCs w:val="23"/>
          <w:shd w:val="clear" w:color="auto" w:fill="FFFFFF"/>
        </w:rPr>
        <w:t>a</w:t>
      </w:r>
      <w:r w:rsidRPr="00885DDE" w:rsidR="00624623">
        <w:rPr>
          <w:color w:val="002060"/>
          <w:sz w:val="23"/>
          <w:szCs w:val="23"/>
          <w:shd w:val="clear" w:color="auto" w:fill="FFFFFF"/>
        </w:rPr>
        <w:t xml:space="preserve"> attiecībā pret tiem pretendentiem, kuri savu darbību ir sertificējuši</w:t>
      </w:r>
      <w:r w:rsidRPr="00885DDE" w:rsidR="00885DDE">
        <w:rPr>
          <w:color w:val="002060"/>
          <w:sz w:val="23"/>
          <w:szCs w:val="23"/>
          <w:shd w:val="clear" w:color="auto" w:fill="FFFFFF"/>
        </w:rPr>
        <w:t xml:space="preserve"> neatkarīgā un kompetentā institūcijā</w:t>
      </w:r>
      <w:r w:rsidRPr="00885DDE" w:rsidR="00624623">
        <w:rPr>
          <w:color w:val="002060"/>
          <w:sz w:val="23"/>
          <w:szCs w:val="23"/>
          <w:shd w:val="clear" w:color="auto" w:fill="FFFFFF"/>
        </w:rPr>
        <w:t>.</w:t>
      </w:r>
    </w:p>
    <w:p w:rsidR="00624623" w:rsidRPr="00885DDE" w:rsidP="00624623" w14:paraId="421E76B6" w14:textId="4559B7E3">
      <w:pPr>
        <w:pStyle w:val="ListParagraph"/>
        <w:spacing w:after="120"/>
        <w:ind w:left="360"/>
        <w:contextualSpacing w:val="0"/>
        <w:jc w:val="both"/>
        <w:rPr>
          <w:sz w:val="23"/>
          <w:szCs w:val="23"/>
          <w:shd w:val="clear" w:color="auto" w:fill="FFFFFF"/>
        </w:rPr>
      </w:pPr>
      <w:r w:rsidRPr="00885DDE">
        <w:rPr>
          <w:color w:val="002060"/>
          <w:sz w:val="23"/>
          <w:szCs w:val="23"/>
          <w:shd w:val="clear" w:color="auto" w:fill="FFFFFF"/>
        </w:rPr>
        <w:t>Komisija pārskatīs vērtēšanas kritērijus un veiks attiecīgus grozījumus iepirkuma nolikumā</w:t>
      </w:r>
      <w:r w:rsidRPr="00885DDE">
        <w:rPr>
          <w:sz w:val="23"/>
          <w:szCs w:val="23"/>
          <w:shd w:val="clear" w:color="auto" w:fill="FFFFFF"/>
        </w:rPr>
        <w:t>.</w:t>
      </w:r>
    </w:p>
    <w:p w:rsidR="00BF2479" w:rsidRPr="00885DDE" w:rsidP="00D60918" w14:paraId="5A6D0CF2" w14:textId="1DF06299">
      <w:pPr>
        <w:spacing w:after="120"/>
        <w:ind w:left="720" w:right="-79"/>
        <w:jc w:val="both"/>
      </w:pPr>
      <w:r w:rsidRPr="00885DDE">
        <w:rPr>
          <w:sz w:val="23"/>
          <w:szCs w:val="23"/>
          <w:shd w:val="clear" w:color="auto" w:fill="FFFFFF"/>
        </w:rPr>
        <w:t>.</w:t>
      </w:r>
    </w:p>
    <w:p w:rsidR="0088470F" w:rsidRPr="00885DDE" w:rsidP="0088470F" w14:paraId="3EA6CAEA" w14:textId="78EEA468">
      <w:pPr>
        <w:spacing w:after="120"/>
        <w:ind w:firstLine="360"/>
        <w:rPr>
          <w:sz w:val="23"/>
          <w:szCs w:val="23"/>
          <w:shd w:val="clear" w:color="auto" w:fill="FFFFFF"/>
        </w:rPr>
      </w:pPr>
      <w:r w:rsidRPr="00885DDE">
        <w:rPr>
          <w:sz w:val="23"/>
          <w:szCs w:val="23"/>
          <w:shd w:val="clear" w:color="auto" w:fill="FFFFFF"/>
        </w:rPr>
        <w:t xml:space="preserve">Atbildes pretendenta jautājumiem sagatavotas saskaņā ar 2024. gada </w:t>
      </w:r>
      <w:r w:rsidRPr="00885DDE" w:rsidR="00885DDE">
        <w:rPr>
          <w:sz w:val="23"/>
          <w:szCs w:val="23"/>
          <w:shd w:val="clear" w:color="auto" w:fill="FFFFFF"/>
        </w:rPr>
        <w:t>25</w:t>
      </w:r>
      <w:r w:rsidRPr="00885DDE" w:rsidR="00BB4945">
        <w:rPr>
          <w:sz w:val="23"/>
          <w:szCs w:val="23"/>
          <w:shd w:val="clear" w:color="auto" w:fill="FFFFFF"/>
        </w:rPr>
        <w:t xml:space="preserve">. </w:t>
      </w:r>
      <w:r w:rsidRPr="00885DDE" w:rsidR="00885DDE">
        <w:rPr>
          <w:sz w:val="23"/>
          <w:szCs w:val="23"/>
          <w:shd w:val="clear" w:color="auto" w:fill="FFFFFF"/>
        </w:rPr>
        <w:t>aprīļa</w:t>
      </w:r>
      <w:r w:rsidRPr="00885DDE">
        <w:rPr>
          <w:sz w:val="23"/>
          <w:szCs w:val="23"/>
          <w:shd w:val="clear" w:color="auto" w:fill="FFFFFF"/>
        </w:rPr>
        <w:t xml:space="preserve"> Komisijas lēmumu (protokols Nr. </w:t>
      </w:r>
      <w:r w:rsidRPr="00885DDE" w:rsidR="00885DDE">
        <w:rPr>
          <w:sz w:val="23"/>
          <w:szCs w:val="23"/>
          <w:shd w:val="clear" w:color="auto" w:fill="FFFFFF"/>
        </w:rPr>
        <w:t>22-2</w:t>
      </w:r>
      <w:r w:rsidRPr="00885DDE">
        <w:rPr>
          <w:sz w:val="23"/>
          <w:szCs w:val="23"/>
          <w:shd w:val="clear" w:color="auto" w:fill="FFFFFF"/>
        </w:rPr>
        <w:t xml:space="preserve">, dat. </w:t>
      </w:r>
      <w:r w:rsidRPr="00885DDE" w:rsidR="00885DDE">
        <w:rPr>
          <w:sz w:val="23"/>
          <w:szCs w:val="23"/>
          <w:shd w:val="clear" w:color="auto" w:fill="FFFFFF"/>
        </w:rPr>
        <w:t>25.04</w:t>
      </w:r>
      <w:r w:rsidRPr="00885DDE">
        <w:rPr>
          <w:sz w:val="23"/>
          <w:szCs w:val="23"/>
          <w:shd w:val="clear" w:color="auto" w:fill="FFFFFF"/>
        </w:rPr>
        <w:t>.2024.).</w:t>
      </w:r>
    </w:p>
    <w:p w:rsidR="0088470F" w:rsidRPr="00885DDE" w:rsidP="0088470F" w14:paraId="7278BEB4" w14:textId="77777777">
      <w:pPr>
        <w:spacing w:after="120"/>
        <w:ind w:firstLine="360"/>
        <w:rPr>
          <w:sz w:val="23"/>
          <w:szCs w:val="23"/>
          <w:shd w:val="clear" w:color="auto" w:fill="FFFFFF"/>
        </w:rPr>
      </w:pPr>
    </w:p>
    <w:p w:rsidR="009008C7" w:rsidRPr="00885DDE" w:rsidP="004F4A3B" w14:paraId="5249CB7C" w14:textId="416AF0DB">
      <w:pPr>
        <w:spacing w:after="120"/>
        <w:rPr>
          <w:sz w:val="23"/>
          <w:szCs w:val="23"/>
          <w:shd w:val="clear" w:color="auto" w:fill="FFFFFF"/>
        </w:rPr>
      </w:pPr>
      <w:r w:rsidRPr="00885DDE">
        <w:rPr>
          <w:sz w:val="23"/>
          <w:szCs w:val="23"/>
          <w:shd w:val="clear" w:color="auto" w:fill="FFFFFF"/>
        </w:rPr>
        <w:t xml:space="preserve">Komisijas </w:t>
      </w:r>
      <w:r w:rsidRPr="00885DDE" w:rsidR="003122BA">
        <w:rPr>
          <w:sz w:val="23"/>
          <w:szCs w:val="23"/>
          <w:shd w:val="clear" w:color="auto" w:fill="FFFFFF"/>
        </w:rPr>
        <w:t>vadītāja vietniece</w:t>
      </w:r>
    </w:p>
    <w:p w:rsidR="009008C7" w:rsidRPr="00885DDE" w:rsidP="004F4A3B" w14:paraId="4860239E" w14:textId="668BC3C0">
      <w:pPr>
        <w:spacing w:after="120"/>
        <w:rPr>
          <w:sz w:val="23"/>
          <w:szCs w:val="23"/>
          <w:shd w:val="clear" w:color="auto" w:fill="FFFFFF"/>
        </w:rPr>
      </w:pPr>
      <w:r w:rsidRPr="00885DDE">
        <w:rPr>
          <w:sz w:val="23"/>
          <w:szCs w:val="23"/>
          <w:shd w:val="clear" w:color="auto" w:fill="FFFFFF"/>
        </w:rPr>
        <w:t>Antra Muižniece-Stakāne</w:t>
      </w:r>
      <w:r w:rsidRPr="00885DDE">
        <w:rPr>
          <w:sz w:val="23"/>
          <w:szCs w:val="23"/>
          <w:shd w:val="clear" w:color="auto" w:fill="FFFFFF"/>
        </w:rPr>
        <w:br/>
        <w:t>RPNC Attīstības un iepirkumu departamenta</w:t>
      </w:r>
      <w:r w:rsidRPr="00885DDE">
        <w:rPr>
          <w:sz w:val="23"/>
          <w:szCs w:val="23"/>
          <w:shd w:val="clear" w:color="auto" w:fill="FFFFFF"/>
        </w:rPr>
        <w:br/>
        <w:t>iepirkumu speciāliste-juriste</w:t>
      </w:r>
    </w:p>
    <w:p w:rsidR="00074237" w:rsidRPr="00885DDE" w:rsidP="004F4A3B" w14:paraId="202301EF" w14:textId="77777777">
      <w:pPr>
        <w:spacing w:after="120"/>
        <w:rPr>
          <w:sz w:val="18"/>
          <w:szCs w:val="18"/>
          <w:shd w:val="clear" w:color="auto" w:fill="FFFFFF"/>
        </w:rPr>
      </w:pPr>
      <w:r w:rsidRPr="00885DDE">
        <w:rPr>
          <w:sz w:val="18"/>
          <w:szCs w:val="18"/>
          <w:shd w:val="clear" w:color="auto" w:fill="FFFFFF"/>
        </w:rPr>
        <w:t>A.Muižniece-</w:t>
      </w:r>
      <w:r w:rsidRPr="00885DDE">
        <w:rPr>
          <w:sz w:val="18"/>
          <w:szCs w:val="18"/>
          <w:shd w:val="clear" w:color="auto" w:fill="FFFFFF"/>
        </w:rPr>
        <w:t>Stakāne</w:t>
      </w:r>
      <w:r w:rsidRPr="00885DDE">
        <w:rPr>
          <w:sz w:val="18"/>
          <w:szCs w:val="18"/>
          <w:shd w:val="clear" w:color="auto" w:fill="FFFFFF"/>
        </w:rPr>
        <w:t xml:space="preserve"> +371 28386925</w:t>
      </w:r>
    </w:p>
    <w:sectPr w:rsidSect="004F4A3B">
      <w:headerReference w:type="first" r:id="rId6"/>
      <w:pgSz w:w="11906" w:h="16838"/>
      <w:pgMar w:top="357" w:right="1134" w:bottom="1134" w:left="1134" w:header="0"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6068" w14:paraId="20871CDE" w14:textId="77777777">
      <w:r>
        <w:separator/>
      </w:r>
    </w:p>
  </w:footnote>
  <w:footnote w:type="continuationSeparator" w:id="1">
    <w:p w:rsidR="005C6068" w14:paraId="7FE79CA8" w14:textId="77777777">
      <w:r>
        <w:continuationSeparator/>
      </w:r>
    </w:p>
  </w:footnote>
  <w:footnote w:id="2">
    <w:p w:rsidR="00624623" w:rsidRPr="001E1E4F" w:rsidP="00624623" w14:paraId="39561E4A" w14:textId="77777777">
      <w:pPr>
        <w:pStyle w:val="ListParagraph"/>
        <w:tabs>
          <w:tab w:val="right" w:pos="5103"/>
          <w:tab w:val="left" w:pos="5387"/>
        </w:tabs>
        <w:spacing w:after="240"/>
        <w:ind w:left="0"/>
        <w:jc w:val="both"/>
        <w:rPr>
          <w:sz w:val="16"/>
          <w:szCs w:val="16"/>
        </w:rPr>
      </w:pPr>
      <w:r w:rsidRPr="001E1E4F">
        <w:rPr>
          <w:rStyle w:val="FootnoteReference"/>
          <w:sz w:val="16"/>
          <w:szCs w:val="16"/>
        </w:rPr>
        <w:footnoteRef/>
      </w:r>
      <w:r w:rsidRPr="001E1E4F">
        <w:rPr>
          <w:sz w:val="16"/>
          <w:szCs w:val="16"/>
        </w:rPr>
        <w:t xml:space="preserve"> Concord Service Group: Par mums. Pieejams: </w:t>
      </w:r>
      <w:hyperlink r:id="rId1" w:history="1">
        <w:r w:rsidRPr="001E1E4F">
          <w:rPr>
            <w:rStyle w:val="Hyperlink"/>
            <w:sz w:val="16"/>
            <w:szCs w:val="16"/>
          </w:rPr>
          <w:t>https://www.cncgroup.lv/par-mums/</w:t>
        </w:r>
      </w:hyperlink>
      <w:r w:rsidRPr="001E1E4F">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6049" w:rsidRPr="00806049" w:rsidP="00D763B8" w14:paraId="3B65C41A" w14:textId="77777777">
    <w:pPr>
      <w:pStyle w:val="Header"/>
    </w:pPr>
    <w:r>
      <w:rPr>
        <w:noProof/>
      </w:rPr>
      <w:drawing>
        <wp:inline distT="0" distB="0" distL="0" distR="0">
          <wp:extent cx="5943600" cy="1695450"/>
          <wp:effectExtent l="0" t="0" r="0" b="0"/>
          <wp:docPr id="1" name="Attēls 1" descr="RPNC veidlapa ENG 2018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PNC veidlapa ENG 2018 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695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2795E"/>
    <w:multiLevelType w:val="hybridMultilevel"/>
    <w:tmpl w:val="BF0492A4"/>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1">
    <w:nsid w:val="07310977"/>
    <w:multiLevelType w:val="multilevel"/>
    <w:tmpl w:val="C62C238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4500CB"/>
    <w:multiLevelType w:val="hybridMultilevel"/>
    <w:tmpl w:val="7AC414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E2028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F371D3"/>
    <w:multiLevelType w:val="hybridMultilevel"/>
    <w:tmpl w:val="E60AC94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83D029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53223F0"/>
    <w:multiLevelType w:val="hybridMultilevel"/>
    <w:tmpl w:val="E3E6AD62"/>
    <w:lvl w:ilvl="0">
      <w:start w:val="1"/>
      <w:numFmt w:val="bullet"/>
      <w:lvlText w:val=""/>
      <w:lvlJc w:val="left"/>
      <w:pPr>
        <w:ind w:left="720" w:hanging="360"/>
      </w:pPr>
      <w:rPr>
        <w:rFonts w:ascii="Symbol" w:eastAsia="Times New Roman" w:hAnsi="Symbol" w:cs="Arial" w:hint="default"/>
        <w:color w:val="414142"/>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DB41ADA"/>
    <w:multiLevelType w:val="hybridMultilevel"/>
    <w:tmpl w:val="B51691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047580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5B22600"/>
    <w:multiLevelType w:val="hybridMultilevel"/>
    <w:tmpl w:val="9E362B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D9E0738"/>
    <w:multiLevelType w:val="hybridMultilevel"/>
    <w:tmpl w:val="7AC414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C902D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49C3CA7"/>
    <w:multiLevelType w:val="hybridMultilevel"/>
    <w:tmpl w:val="5B183BF8"/>
    <w:lvl w:ilvl="0">
      <w:start w:val="5"/>
      <w:numFmt w:val="bullet"/>
      <w:lvlText w:val="-"/>
      <w:lvlJc w:val="left"/>
      <w:pPr>
        <w:ind w:left="419" w:hanging="360"/>
      </w:pPr>
      <w:rPr>
        <w:rFonts w:ascii="Times New Roman" w:eastAsia="Calibri" w:hAnsi="Times New Roman" w:cs="Times New Roman" w:hint="default"/>
        <w:color w:val="000000"/>
      </w:rPr>
    </w:lvl>
    <w:lvl w:ilvl="1" w:tentative="1">
      <w:start w:val="1"/>
      <w:numFmt w:val="bullet"/>
      <w:lvlText w:val="o"/>
      <w:lvlJc w:val="left"/>
      <w:pPr>
        <w:ind w:left="1139" w:hanging="360"/>
      </w:pPr>
      <w:rPr>
        <w:rFonts w:ascii="Courier New" w:hAnsi="Courier New" w:cs="Courier New" w:hint="default"/>
      </w:rPr>
    </w:lvl>
    <w:lvl w:ilvl="2" w:tentative="1">
      <w:start w:val="1"/>
      <w:numFmt w:val="bullet"/>
      <w:lvlText w:val=""/>
      <w:lvlJc w:val="left"/>
      <w:pPr>
        <w:ind w:left="1859" w:hanging="360"/>
      </w:pPr>
      <w:rPr>
        <w:rFonts w:ascii="Wingdings" w:hAnsi="Wingdings" w:hint="default"/>
      </w:rPr>
    </w:lvl>
    <w:lvl w:ilvl="3" w:tentative="1">
      <w:start w:val="1"/>
      <w:numFmt w:val="bullet"/>
      <w:lvlText w:val=""/>
      <w:lvlJc w:val="left"/>
      <w:pPr>
        <w:ind w:left="2579" w:hanging="360"/>
      </w:pPr>
      <w:rPr>
        <w:rFonts w:ascii="Symbol" w:hAnsi="Symbol" w:hint="default"/>
      </w:rPr>
    </w:lvl>
    <w:lvl w:ilvl="4" w:tentative="1">
      <w:start w:val="1"/>
      <w:numFmt w:val="bullet"/>
      <w:lvlText w:val="o"/>
      <w:lvlJc w:val="left"/>
      <w:pPr>
        <w:ind w:left="3299" w:hanging="360"/>
      </w:pPr>
      <w:rPr>
        <w:rFonts w:ascii="Courier New" w:hAnsi="Courier New" w:cs="Courier New" w:hint="default"/>
      </w:rPr>
    </w:lvl>
    <w:lvl w:ilvl="5" w:tentative="1">
      <w:start w:val="1"/>
      <w:numFmt w:val="bullet"/>
      <w:lvlText w:val=""/>
      <w:lvlJc w:val="left"/>
      <w:pPr>
        <w:ind w:left="4019" w:hanging="360"/>
      </w:pPr>
      <w:rPr>
        <w:rFonts w:ascii="Wingdings" w:hAnsi="Wingdings" w:hint="default"/>
      </w:rPr>
    </w:lvl>
    <w:lvl w:ilvl="6" w:tentative="1">
      <w:start w:val="1"/>
      <w:numFmt w:val="bullet"/>
      <w:lvlText w:val=""/>
      <w:lvlJc w:val="left"/>
      <w:pPr>
        <w:ind w:left="4739" w:hanging="360"/>
      </w:pPr>
      <w:rPr>
        <w:rFonts w:ascii="Symbol" w:hAnsi="Symbol" w:hint="default"/>
      </w:rPr>
    </w:lvl>
    <w:lvl w:ilvl="7" w:tentative="1">
      <w:start w:val="1"/>
      <w:numFmt w:val="bullet"/>
      <w:lvlText w:val="o"/>
      <w:lvlJc w:val="left"/>
      <w:pPr>
        <w:ind w:left="5459" w:hanging="360"/>
      </w:pPr>
      <w:rPr>
        <w:rFonts w:ascii="Courier New" w:hAnsi="Courier New" w:cs="Courier New" w:hint="default"/>
      </w:rPr>
    </w:lvl>
    <w:lvl w:ilvl="8" w:tentative="1">
      <w:start w:val="1"/>
      <w:numFmt w:val="bullet"/>
      <w:lvlText w:val=""/>
      <w:lvlJc w:val="left"/>
      <w:pPr>
        <w:ind w:left="6179" w:hanging="360"/>
      </w:pPr>
      <w:rPr>
        <w:rFonts w:ascii="Wingdings" w:hAnsi="Wingdings" w:hint="default"/>
      </w:rPr>
    </w:lvl>
  </w:abstractNum>
  <w:abstractNum w:abstractNumId="13">
    <w:nsid w:val="581C67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D813557"/>
    <w:multiLevelType w:val="hybridMultilevel"/>
    <w:tmpl w:val="1C928D8A"/>
    <w:lvl w:ilvl="0">
      <w:start w:val="1"/>
      <w:numFmt w:val="decimal"/>
      <w:lvlText w:val="%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15">
    <w:nsid w:val="7B1F31B8"/>
    <w:multiLevelType w:val="multilevel"/>
    <w:tmpl w:val="527E152C"/>
    <w:lvl w:ilvl="0">
      <w:start w:val="1"/>
      <w:numFmt w:val="decimal"/>
      <w:lvlText w:val="%1."/>
      <w:lvlJc w:val="left"/>
      <w:pPr>
        <w:ind w:left="360" w:hanging="360"/>
      </w:pPr>
      <w:rPr>
        <w:rFonts w:hint="default"/>
        <w:b w:val="0"/>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09632524">
    <w:abstractNumId w:val="12"/>
  </w:num>
  <w:num w:numId="2" w16cid:durableId="721831820">
    <w:abstractNumId w:val="0"/>
  </w:num>
  <w:num w:numId="3" w16cid:durableId="127823875">
    <w:abstractNumId w:val="14"/>
  </w:num>
  <w:num w:numId="4" w16cid:durableId="2102558623">
    <w:abstractNumId w:val="6"/>
  </w:num>
  <w:num w:numId="5" w16cid:durableId="1694914029">
    <w:abstractNumId w:val="10"/>
  </w:num>
  <w:num w:numId="6" w16cid:durableId="1979072658">
    <w:abstractNumId w:val="5"/>
  </w:num>
  <w:num w:numId="7" w16cid:durableId="583954826">
    <w:abstractNumId w:val="2"/>
  </w:num>
  <w:num w:numId="8" w16cid:durableId="1552035075">
    <w:abstractNumId w:val="7"/>
  </w:num>
  <w:num w:numId="9" w16cid:durableId="1827822920">
    <w:abstractNumId w:val="1"/>
  </w:num>
  <w:num w:numId="10" w16cid:durableId="1765109121">
    <w:abstractNumId w:val="9"/>
  </w:num>
  <w:num w:numId="11" w16cid:durableId="1137989625">
    <w:abstractNumId w:val="8"/>
  </w:num>
  <w:num w:numId="12" w16cid:durableId="1106583298">
    <w:abstractNumId w:val="11"/>
  </w:num>
  <w:num w:numId="13" w16cid:durableId="304627642">
    <w:abstractNumId w:val="3"/>
  </w:num>
  <w:num w:numId="14" w16cid:durableId="194659915">
    <w:abstractNumId w:val="15"/>
  </w:num>
  <w:num w:numId="15" w16cid:durableId="1406297737">
    <w:abstractNumId w:val="13"/>
  </w:num>
  <w:num w:numId="16" w16cid:durableId="13689453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3B8"/>
    <w:rsid w:val="0003390E"/>
    <w:rsid w:val="00033D25"/>
    <w:rsid w:val="00044DDB"/>
    <w:rsid w:val="00057FDB"/>
    <w:rsid w:val="00074237"/>
    <w:rsid w:val="0008203E"/>
    <w:rsid w:val="000A21A1"/>
    <w:rsid w:val="000B0810"/>
    <w:rsid w:val="000C4D3B"/>
    <w:rsid w:val="00117FFB"/>
    <w:rsid w:val="00122390"/>
    <w:rsid w:val="00136BA0"/>
    <w:rsid w:val="00146A62"/>
    <w:rsid w:val="0015182C"/>
    <w:rsid w:val="001562BC"/>
    <w:rsid w:val="001704B1"/>
    <w:rsid w:val="00172B5F"/>
    <w:rsid w:val="00176287"/>
    <w:rsid w:val="001B3905"/>
    <w:rsid w:val="001D06D9"/>
    <w:rsid w:val="001D2114"/>
    <w:rsid w:val="001D48B4"/>
    <w:rsid w:val="001D4CCC"/>
    <w:rsid w:val="001E1E4F"/>
    <w:rsid w:val="001F2599"/>
    <w:rsid w:val="001F7621"/>
    <w:rsid w:val="002131C1"/>
    <w:rsid w:val="00226CC2"/>
    <w:rsid w:val="002344A9"/>
    <w:rsid w:val="00234E59"/>
    <w:rsid w:val="002471A5"/>
    <w:rsid w:val="00276449"/>
    <w:rsid w:val="00281B28"/>
    <w:rsid w:val="002A73AF"/>
    <w:rsid w:val="002D597D"/>
    <w:rsid w:val="002D59F4"/>
    <w:rsid w:val="002E4E1E"/>
    <w:rsid w:val="003119F8"/>
    <w:rsid w:val="003122BA"/>
    <w:rsid w:val="003444D0"/>
    <w:rsid w:val="00344C5B"/>
    <w:rsid w:val="003545DE"/>
    <w:rsid w:val="00355A11"/>
    <w:rsid w:val="003625F5"/>
    <w:rsid w:val="0036526E"/>
    <w:rsid w:val="00365B45"/>
    <w:rsid w:val="00377A50"/>
    <w:rsid w:val="003975E0"/>
    <w:rsid w:val="003A58D8"/>
    <w:rsid w:val="003B38E8"/>
    <w:rsid w:val="003D32B2"/>
    <w:rsid w:val="003F7BC0"/>
    <w:rsid w:val="00405F30"/>
    <w:rsid w:val="00411D24"/>
    <w:rsid w:val="00417FF5"/>
    <w:rsid w:val="00432866"/>
    <w:rsid w:val="00433231"/>
    <w:rsid w:val="00450C78"/>
    <w:rsid w:val="0045736A"/>
    <w:rsid w:val="004732B9"/>
    <w:rsid w:val="00473663"/>
    <w:rsid w:val="00482A5B"/>
    <w:rsid w:val="00491F1E"/>
    <w:rsid w:val="00493295"/>
    <w:rsid w:val="00495E6C"/>
    <w:rsid w:val="004A1230"/>
    <w:rsid w:val="004C3C8D"/>
    <w:rsid w:val="004D5141"/>
    <w:rsid w:val="004F4A3B"/>
    <w:rsid w:val="00507CFD"/>
    <w:rsid w:val="00530EF6"/>
    <w:rsid w:val="0057773C"/>
    <w:rsid w:val="00590D20"/>
    <w:rsid w:val="005A3D2A"/>
    <w:rsid w:val="005B54C7"/>
    <w:rsid w:val="005C54E4"/>
    <w:rsid w:val="005C6068"/>
    <w:rsid w:val="005D1D40"/>
    <w:rsid w:val="005D3352"/>
    <w:rsid w:val="005F2A3B"/>
    <w:rsid w:val="00624623"/>
    <w:rsid w:val="00642B78"/>
    <w:rsid w:val="00643CF1"/>
    <w:rsid w:val="00645AAC"/>
    <w:rsid w:val="00647FE8"/>
    <w:rsid w:val="00687B16"/>
    <w:rsid w:val="006A2CA8"/>
    <w:rsid w:val="006B3917"/>
    <w:rsid w:val="006C2CED"/>
    <w:rsid w:val="006D0899"/>
    <w:rsid w:val="006D4A30"/>
    <w:rsid w:val="006E7F89"/>
    <w:rsid w:val="0070540E"/>
    <w:rsid w:val="007077C6"/>
    <w:rsid w:val="007109FD"/>
    <w:rsid w:val="00710C7C"/>
    <w:rsid w:val="00713102"/>
    <w:rsid w:val="00720FD6"/>
    <w:rsid w:val="00730871"/>
    <w:rsid w:val="00736220"/>
    <w:rsid w:val="00770C59"/>
    <w:rsid w:val="00772EAB"/>
    <w:rsid w:val="00781C7A"/>
    <w:rsid w:val="007839E4"/>
    <w:rsid w:val="0079562B"/>
    <w:rsid w:val="007A66D7"/>
    <w:rsid w:val="007C466A"/>
    <w:rsid w:val="007E71BD"/>
    <w:rsid w:val="00806049"/>
    <w:rsid w:val="008061BD"/>
    <w:rsid w:val="008129E4"/>
    <w:rsid w:val="008226E3"/>
    <w:rsid w:val="008248B1"/>
    <w:rsid w:val="0088470F"/>
    <w:rsid w:val="00885DDE"/>
    <w:rsid w:val="008B6B31"/>
    <w:rsid w:val="008D589B"/>
    <w:rsid w:val="008E2CA3"/>
    <w:rsid w:val="008E345E"/>
    <w:rsid w:val="008E50DD"/>
    <w:rsid w:val="008F7528"/>
    <w:rsid w:val="008F7D72"/>
    <w:rsid w:val="009008C7"/>
    <w:rsid w:val="0091794D"/>
    <w:rsid w:val="00922EB1"/>
    <w:rsid w:val="00927413"/>
    <w:rsid w:val="00930F39"/>
    <w:rsid w:val="00943410"/>
    <w:rsid w:val="00953E31"/>
    <w:rsid w:val="00962DBA"/>
    <w:rsid w:val="009739EA"/>
    <w:rsid w:val="00994A66"/>
    <w:rsid w:val="009A1307"/>
    <w:rsid w:val="009B29C0"/>
    <w:rsid w:val="009C318F"/>
    <w:rsid w:val="009D6484"/>
    <w:rsid w:val="009F0105"/>
    <w:rsid w:val="00A0701B"/>
    <w:rsid w:val="00A26E1D"/>
    <w:rsid w:val="00A336F8"/>
    <w:rsid w:val="00A4731E"/>
    <w:rsid w:val="00A61F39"/>
    <w:rsid w:val="00A6626A"/>
    <w:rsid w:val="00A72310"/>
    <w:rsid w:val="00A778E6"/>
    <w:rsid w:val="00A96B38"/>
    <w:rsid w:val="00A97E6A"/>
    <w:rsid w:val="00AC2B22"/>
    <w:rsid w:val="00AD1B80"/>
    <w:rsid w:val="00AD5C07"/>
    <w:rsid w:val="00AD5E61"/>
    <w:rsid w:val="00AF1FA7"/>
    <w:rsid w:val="00B25117"/>
    <w:rsid w:val="00B27D52"/>
    <w:rsid w:val="00B340EC"/>
    <w:rsid w:val="00B47BA7"/>
    <w:rsid w:val="00B5633F"/>
    <w:rsid w:val="00B661CD"/>
    <w:rsid w:val="00B75188"/>
    <w:rsid w:val="00B77016"/>
    <w:rsid w:val="00B82F61"/>
    <w:rsid w:val="00B86492"/>
    <w:rsid w:val="00B91172"/>
    <w:rsid w:val="00B972E6"/>
    <w:rsid w:val="00BB2596"/>
    <w:rsid w:val="00BB4945"/>
    <w:rsid w:val="00BC3551"/>
    <w:rsid w:val="00BC4C1D"/>
    <w:rsid w:val="00BF2479"/>
    <w:rsid w:val="00BF5451"/>
    <w:rsid w:val="00C0170C"/>
    <w:rsid w:val="00C21C28"/>
    <w:rsid w:val="00C47D2D"/>
    <w:rsid w:val="00C516AC"/>
    <w:rsid w:val="00C62626"/>
    <w:rsid w:val="00C65ADD"/>
    <w:rsid w:val="00C70B02"/>
    <w:rsid w:val="00C81775"/>
    <w:rsid w:val="00C85686"/>
    <w:rsid w:val="00C97AE9"/>
    <w:rsid w:val="00CF7DE4"/>
    <w:rsid w:val="00D22630"/>
    <w:rsid w:val="00D5267A"/>
    <w:rsid w:val="00D60918"/>
    <w:rsid w:val="00D763B8"/>
    <w:rsid w:val="00D81E50"/>
    <w:rsid w:val="00DA26E6"/>
    <w:rsid w:val="00DB1159"/>
    <w:rsid w:val="00DD10AC"/>
    <w:rsid w:val="00DE17AC"/>
    <w:rsid w:val="00DE6E09"/>
    <w:rsid w:val="00DF7A2A"/>
    <w:rsid w:val="00E0632E"/>
    <w:rsid w:val="00E16A25"/>
    <w:rsid w:val="00E30827"/>
    <w:rsid w:val="00E359BF"/>
    <w:rsid w:val="00E62C1D"/>
    <w:rsid w:val="00E751C5"/>
    <w:rsid w:val="00E76FDB"/>
    <w:rsid w:val="00E93847"/>
    <w:rsid w:val="00EB389E"/>
    <w:rsid w:val="00EC5E75"/>
    <w:rsid w:val="00EF1885"/>
    <w:rsid w:val="00F02B10"/>
    <w:rsid w:val="00F20BF9"/>
    <w:rsid w:val="00F448F5"/>
    <w:rsid w:val="00F52F40"/>
    <w:rsid w:val="00F55FCD"/>
    <w:rsid w:val="00F802F4"/>
    <w:rsid w:val="00F9215E"/>
    <w:rsid w:val="00FB333E"/>
    <w:rsid w:val="00FF7D6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6B0F4E3C"/>
  <w15:docId w15:val="{86D383E5-AE34-40B0-B23A-A83030FF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6">
    <w:name w:val="heading 6"/>
    <w:basedOn w:val="Normal"/>
    <w:next w:val="Normal"/>
    <w:link w:val="Heading6Char"/>
    <w:uiPriority w:val="9"/>
    <w:semiHidden/>
    <w:unhideWhenUsed/>
    <w:qFormat/>
    <w:rsid w:val="00624623"/>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61BD"/>
    <w:pPr>
      <w:tabs>
        <w:tab w:val="center" w:pos="4153"/>
        <w:tab w:val="right" w:pos="8306"/>
      </w:tabs>
    </w:pPr>
  </w:style>
  <w:style w:type="paragraph" w:styleId="Footer">
    <w:name w:val="footer"/>
    <w:basedOn w:val="Normal"/>
    <w:link w:val="FooterChar"/>
    <w:uiPriority w:val="99"/>
    <w:rsid w:val="008061BD"/>
    <w:pPr>
      <w:tabs>
        <w:tab w:val="center" w:pos="4153"/>
        <w:tab w:val="right" w:pos="8306"/>
      </w:tabs>
    </w:pPr>
  </w:style>
  <w:style w:type="paragraph" w:styleId="BalloonText">
    <w:name w:val="Balloon Text"/>
    <w:basedOn w:val="Normal"/>
    <w:semiHidden/>
    <w:rsid w:val="00450C78"/>
    <w:rPr>
      <w:rFonts w:ascii="Tahoma" w:hAnsi="Tahoma" w:cs="Tahoma"/>
      <w:sz w:val="16"/>
      <w:szCs w:val="16"/>
    </w:rPr>
  </w:style>
  <w:style w:type="character" w:styleId="Hyperlink">
    <w:name w:val="Hyperlink"/>
    <w:basedOn w:val="DefaultParagraphFont"/>
    <w:uiPriority w:val="99"/>
    <w:rsid w:val="0070540E"/>
    <w:rPr>
      <w:color w:val="0000FF"/>
      <w:u w:val="single"/>
    </w:rPr>
  </w:style>
  <w:style w:type="table" w:styleId="TableGrid">
    <w:name w:val="Table Grid"/>
    <w:basedOn w:val="TableNormal"/>
    <w:uiPriority w:val="59"/>
    <w:rsid w:val="00705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list,Colorful List - Accent 12,H&amp;P List Paragraph,List Paragraph1,Normal bullet 2,Numurets,PPS_Bullet,Saistīto dokumentu saraksts,Strip,Syle 1,Virsraksti"/>
    <w:basedOn w:val="Normal"/>
    <w:link w:val="ListParagraphChar"/>
    <w:uiPriority w:val="34"/>
    <w:qFormat/>
    <w:rsid w:val="00BC4C1D"/>
    <w:pPr>
      <w:ind w:left="720"/>
      <w:contextualSpacing/>
    </w:pPr>
    <w:rPr>
      <w:lang w:val="cs-CZ" w:eastAsia="en-US"/>
    </w:r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link w:val="ListParagraph"/>
    <w:locked/>
    <w:rsid w:val="00BC4C1D"/>
    <w:rPr>
      <w:sz w:val="24"/>
      <w:szCs w:val="24"/>
      <w:lang w:val="cs-CZ" w:eastAsia="en-US"/>
    </w:rPr>
  </w:style>
  <w:style w:type="character" w:styleId="UnresolvedMention">
    <w:name w:val="Unresolved Mention"/>
    <w:basedOn w:val="DefaultParagraphFont"/>
    <w:uiPriority w:val="99"/>
    <w:semiHidden/>
    <w:unhideWhenUsed/>
    <w:rsid w:val="00C65ADD"/>
    <w:rPr>
      <w:color w:val="605E5C"/>
      <w:shd w:val="clear" w:color="auto" w:fill="E1DFDD"/>
    </w:rPr>
  </w:style>
  <w:style w:type="paragraph" w:customStyle="1" w:styleId="tv213">
    <w:name w:val="tv213"/>
    <w:basedOn w:val="Normal"/>
    <w:rsid w:val="003F7BC0"/>
    <w:pPr>
      <w:spacing w:before="100" w:beforeAutospacing="1" w:after="100" w:afterAutospacing="1"/>
    </w:pPr>
  </w:style>
  <w:style w:type="character" w:styleId="CommentReference">
    <w:name w:val="annotation reference"/>
    <w:basedOn w:val="DefaultParagraphFont"/>
    <w:uiPriority w:val="99"/>
    <w:semiHidden/>
    <w:unhideWhenUsed/>
    <w:rsid w:val="00C62626"/>
    <w:rPr>
      <w:sz w:val="16"/>
      <w:szCs w:val="16"/>
    </w:rPr>
  </w:style>
  <w:style w:type="paragraph" w:styleId="CommentText">
    <w:name w:val="annotation text"/>
    <w:basedOn w:val="Normal"/>
    <w:link w:val="CommentTextChar"/>
    <w:uiPriority w:val="99"/>
    <w:unhideWhenUsed/>
    <w:rsid w:val="00C62626"/>
    <w:rPr>
      <w:sz w:val="20"/>
      <w:szCs w:val="20"/>
    </w:rPr>
  </w:style>
  <w:style w:type="character" w:customStyle="1" w:styleId="CommentTextChar">
    <w:name w:val="Comment Text Char"/>
    <w:basedOn w:val="DefaultParagraphFont"/>
    <w:link w:val="CommentText"/>
    <w:uiPriority w:val="99"/>
    <w:rsid w:val="00C62626"/>
  </w:style>
  <w:style w:type="paragraph" w:styleId="CommentSubject">
    <w:name w:val="annotation subject"/>
    <w:basedOn w:val="CommentText"/>
    <w:next w:val="CommentText"/>
    <w:link w:val="CommentSubjectChar"/>
    <w:uiPriority w:val="99"/>
    <w:semiHidden/>
    <w:unhideWhenUsed/>
    <w:rsid w:val="00C62626"/>
    <w:rPr>
      <w:b/>
      <w:bCs/>
    </w:rPr>
  </w:style>
  <w:style w:type="character" w:customStyle="1" w:styleId="CommentSubjectChar">
    <w:name w:val="Comment Subject Char"/>
    <w:basedOn w:val="CommentTextChar"/>
    <w:link w:val="CommentSubject"/>
    <w:uiPriority w:val="99"/>
    <w:semiHidden/>
    <w:rsid w:val="00C62626"/>
    <w:rPr>
      <w:b/>
      <w:bCs/>
    </w:rPr>
  </w:style>
  <w:style w:type="paragraph" w:styleId="FootnoteText">
    <w:name w:val="footnote text"/>
    <w:basedOn w:val="Normal"/>
    <w:link w:val="FootnoteTextChar"/>
    <w:uiPriority w:val="99"/>
    <w:semiHidden/>
    <w:unhideWhenUsed/>
    <w:rsid w:val="003B38E8"/>
    <w:rPr>
      <w:sz w:val="20"/>
      <w:szCs w:val="20"/>
    </w:rPr>
  </w:style>
  <w:style w:type="character" w:customStyle="1" w:styleId="FootnoteTextChar">
    <w:name w:val="Footnote Text Char"/>
    <w:basedOn w:val="DefaultParagraphFont"/>
    <w:link w:val="FootnoteText"/>
    <w:uiPriority w:val="99"/>
    <w:semiHidden/>
    <w:rsid w:val="003B38E8"/>
  </w:style>
  <w:style w:type="character" w:styleId="FootnoteReference">
    <w:name w:val="footnote reference"/>
    <w:aliases w:val="-E Fußnotenzeichen,BVI fnr,E,ESPON Footnote No,Footnote Reference Number,Footnote Reference Superscript,Footnote Refernece,Footnote reference number,Footnote symbol,Footnotes refss,Odwołanie przypisu,Ref,SUPERS,de nota al pie,fr,ftref"/>
    <w:basedOn w:val="DefaultParagraphFont"/>
    <w:link w:val="CharCharCharChar"/>
    <w:uiPriority w:val="99"/>
    <w:unhideWhenUsed/>
    <w:qFormat/>
    <w:rsid w:val="003B38E8"/>
    <w:rPr>
      <w:vertAlign w:val="superscript"/>
    </w:rPr>
  </w:style>
  <w:style w:type="character" w:customStyle="1" w:styleId="FooterChar">
    <w:name w:val="Footer Char"/>
    <w:basedOn w:val="DefaultParagraphFont"/>
    <w:link w:val="Footer"/>
    <w:uiPriority w:val="99"/>
    <w:rsid w:val="00BF2479"/>
    <w:rPr>
      <w:sz w:val="24"/>
      <w:szCs w:val="24"/>
    </w:rPr>
  </w:style>
  <w:style w:type="character" w:customStyle="1" w:styleId="UnresolvedMention1">
    <w:name w:val="Unresolved Mention1"/>
    <w:basedOn w:val="DefaultParagraphFont"/>
    <w:uiPriority w:val="99"/>
    <w:semiHidden/>
    <w:unhideWhenUsed/>
    <w:rsid w:val="00D60918"/>
    <w:rPr>
      <w:color w:val="605E5C"/>
      <w:shd w:val="clear" w:color="auto" w:fill="E1DFDD"/>
    </w:rPr>
  </w:style>
  <w:style w:type="character" w:customStyle="1" w:styleId="Heading6Char">
    <w:name w:val="Heading 6 Char"/>
    <w:basedOn w:val="DefaultParagraphFont"/>
    <w:link w:val="Heading6"/>
    <w:uiPriority w:val="9"/>
    <w:semiHidden/>
    <w:rsid w:val="00624623"/>
    <w:rPr>
      <w:rFonts w:asciiTheme="majorHAnsi" w:eastAsiaTheme="majorEastAsia" w:hAnsiTheme="majorHAnsi" w:cstheme="majorBidi"/>
      <w:color w:val="243F60" w:themeColor="accent1" w:themeShade="7F"/>
      <w:sz w:val="24"/>
      <w:szCs w:val="24"/>
    </w:rPr>
  </w:style>
  <w:style w:type="paragraph" w:customStyle="1" w:styleId="CharCharCharChar">
    <w:name w:val="Char Char Char Char"/>
    <w:aliases w:val="Char2"/>
    <w:basedOn w:val="Normal"/>
    <w:next w:val="Normal"/>
    <w:link w:val="FootnoteReference"/>
    <w:uiPriority w:val="99"/>
    <w:rsid w:val="00624623"/>
    <w:pPr>
      <w:keepNext/>
      <w:keepLines/>
      <w:spacing w:before="120" w:after="160" w:line="240" w:lineRule="exact"/>
      <w:jc w:val="both"/>
      <w:outlineLvl w:val="0"/>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cncgroup.lv/par-mum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BB208-EFCF-4EAA-A800-723AEA99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512</Words>
  <Characters>3765</Characters>
  <Application>Microsoft Office Word</Application>
  <DocSecurity>0</DocSecurity>
  <Lines>31</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Psihiatrijas centrs</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Mārtiņš Logins</dc:creator>
  <cp:lastModifiedBy>Antra Muižniece-Stakāne</cp:lastModifiedBy>
  <cp:revision>3</cp:revision>
  <cp:lastPrinted>2018-06-08T13:47:00Z</cp:lastPrinted>
  <dcterms:created xsi:type="dcterms:W3CDTF">2024-04-25T12:30:00Z</dcterms:created>
  <dcterms:modified xsi:type="dcterms:W3CDTF">2024-04-25T12:50:00Z</dcterms:modified>
</cp:coreProperties>
</file>