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5" w:type="dxa"/>
        <w:tblInd w:w="-176" w:type="dxa"/>
        <w:tblLook w:val="04A0" w:firstRow="1" w:lastRow="0" w:firstColumn="1" w:lastColumn="0" w:noHBand="0" w:noVBand="1"/>
      </w:tblPr>
      <w:tblGrid>
        <w:gridCol w:w="9215"/>
      </w:tblGrid>
      <w:tr w:rsidR="00DB2A24" w:rsidRPr="00CC715D" w:rsidTr="00357807">
        <w:trPr>
          <w:trHeight w:val="334"/>
        </w:trPr>
        <w:tc>
          <w:tcPr>
            <w:tcW w:w="9215" w:type="dxa"/>
            <w:hideMark/>
          </w:tcPr>
          <w:p w:rsidR="00753C53" w:rsidRPr="00270A83" w:rsidRDefault="00753C53" w:rsidP="00270A83">
            <w:pPr>
              <w:pStyle w:val="Temadokumentam"/>
              <w:jc w:val="center"/>
              <w:rPr>
                <w:b w:val="0"/>
              </w:rPr>
            </w:pPr>
            <w:r w:rsidRPr="00270A83">
              <w:rPr>
                <w:b w:val="0"/>
              </w:rPr>
              <w:t>Rīgā</w:t>
            </w:r>
          </w:p>
        </w:tc>
      </w:tr>
    </w:tbl>
    <w:p w:rsidR="00753C53" w:rsidRPr="00CC715D" w:rsidRDefault="00753C53" w:rsidP="00753C53">
      <w:pPr>
        <w:pStyle w:val="NoSpacing"/>
        <w:ind w:left="-36"/>
        <w:rPr>
          <w:sz w:val="2"/>
          <w:szCs w:val="2"/>
        </w:rPr>
      </w:pPr>
    </w:p>
    <w:tbl>
      <w:tblPr>
        <w:tblW w:w="6804" w:type="dxa"/>
        <w:tblInd w:w="-176" w:type="dxa"/>
        <w:tblLook w:val="04A0" w:firstRow="1" w:lastRow="0" w:firstColumn="1" w:lastColumn="0" w:noHBand="0" w:noVBand="1"/>
      </w:tblPr>
      <w:tblGrid>
        <w:gridCol w:w="271"/>
        <w:gridCol w:w="1431"/>
        <w:gridCol w:w="530"/>
        <w:gridCol w:w="1738"/>
        <w:gridCol w:w="425"/>
        <w:gridCol w:w="2409"/>
      </w:tblGrid>
      <w:tr w:rsidR="00DB2A24" w:rsidRPr="00CC715D" w:rsidTr="0077515D">
        <w:tc>
          <w:tcPr>
            <w:tcW w:w="271" w:type="dxa"/>
          </w:tcPr>
          <w:p w:rsidR="00753C53" w:rsidRPr="00CC715D" w:rsidRDefault="00753C53" w:rsidP="00357807">
            <w:pPr>
              <w:pStyle w:val="Saspieststeksts"/>
              <w:spacing w:before="120"/>
              <w:ind w:left="-108" w:right="-108" w:firstLine="817"/>
            </w:pPr>
          </w:p>
        </w:tc>
        <w:tc>
          <w:tcPr>
            <w:tcW w:w="1431" w:type="dxa"/>
            <w:tcBorders>
              <w:top w:val="nil"/>
              <w:left w:val="nil"/>
              <w:bottom w:val="single" w:sz="8" w:space="0" w:color="262626"/>
              <w:right w:val="nil"/>
            </w:tcBorders>
          </w:tcPr>
          <w:p w:rsidR="00753C53" w:rsidRPr="00F80DC0" w:rsidRDefault="00B875CF" w:rsidP="00E50815">
            <w:pPr>
              <w:pStyle w:val="Saspieststeksts"/>
              <w:spacing w:before="120"/>
              <w:ind w:firstLine="37"/>
            </w:pPr>
            <w:r>
              <w:rPr>
                <w:szCs w:val="22"/>
              </w:rPr>
              <w:t>26.06</w:t>
            </w:r>
            <w:r w:rsidR="00362CE4">
              <w:rPr>
                <w:szCs w:val="22"/>
              </w:rPr>
              <w:t>.2024</w:t>
            </w:r>
            <w:r w:rsidR="005D1F2D" w:rsidRPr="00F80DC0">
              <w:rPr>
                <w:szCs w:val="22"/>
              </w:rPr>
              <w:t>.</w:t>
            </w:r>
          </w:p>
        </w:tc>
        <w:tc>
          <w:tcPr>
            <w:tcW w:w="530" w:type="dxa"/>
            <w:hideMark/>
          </w:tcPr>
          <w:p w:rsidR="00753C53" w:rsidRPr="00F80DC0" w:rsidRDefault="00753C53" w:rsidP="00357807">
            <w:pPr>
              <w:pStyle w:val="Normalsteksts"/>
              <w:spacing w:after="0" w:line="240" w:lineRule="auto"/>
              <w:ind w:firstLine="0"/>
              <w:jc w:val="right"/>
            </w:pPr>
            <w:r w:rsidRPr="00F80DC0">
              <w:t>Nr.</w:t>
            </w:r>
          </w:p>
        </w:tc>
        <w:tc>
          <w:tcPr>
            <w:tcW w:w="1738" w:type="dxa"/>
            <w:tcBorders>
              <w:top w:val="nil"/>
              <w:left w:val="nil"/>
              <w:bottom w:val="single" w:sz="8" w:space="0" w:color="262626"/>
              <w:right w:val="nil"/>
            </w:tcBorders>
          </w:tcPr>
          <w:p w:rsidR="00753C53" w:rsidRPr="00D044E7" w:rsidRDefault="00F9082E" w:rsidP="00E50815">
            <w:pPr>
              <w:pStyle w:val="Saspieststeksts"/>
              <w:spacing w:before="120"/>
              <w:ind w:firstLine="64"/>
            </w:pPr>
            <w:r w:rsidRPr="00F80DC0">
              <w:t>3-JID</w:t>
            </w:r>
            <w:r w:rsidRPr="00F93230">
              <w:t>.2-4/</w:t>
            </w:r>
            <w:r w:rsidR="00F93230" w:rsidRPr="00F93230">
              <w:t>663</w:t>
            </w:r>
          </w:p>
        </w:tc>
        <w:tc>
          <w:tcPr>
            <w:tcW w:w="425" w:type="dxa"/>
          </w:tcPr>
          <w:p w:rsidR="00753C53" w:rsidRPr="00D044E7" w:rsidRDefault="00753C53" w:rsidP="00357807">
            <w:pPr>
              <w:pStyle w:val="Saspieststeksts"/>
              <w:spacing w:before="120"/>
            </w:pPr>
          </w:p>
        </w:tc>
        <w:tc>
          <w:tcPr>
            <w:tcW w:w="2409" w:type="dxa"/>
          </w:tcPr>
          <w:p w:rsidR="00753C53" w:rsidRPr="00D044E7" w:rsidRDefault="00753C53" w:rsidP="00357807">
            <w:pPr>
              <w:pStyle w:val="Normalsteksts"/>
              <w:spacing w:after="0" w:line="240" w:lineRule="auto"/>
              <w:ind w:firstLine="0"/>
              <w:jc w:val="left"/>
              <w:rPr>
                <w:b/>
                <w:szCs w:val="4"/>
              </w:rPr>
            </w:pPr>
          </w:p>
        </w:tc>
      </w:tr>
    </w:tbl>
    <w:p w:rsidR="00717428" w:rsidRPr="00362CE4" w:rsidRDefault="00717428" w:rsidP="00362CE4">
      <w:pPr>
        <w:tabs>
          <w:tab w:val="left" w:pos="5130"/>
          <w:tab w:val="right" w:pos="8306"/>
        </w:tabs>
        <w:spacing w:after="0" w:line="276" w:lineRule="auto"/>
        <w:ind w:firstLine="720"/>
        <w:jc w:val="right"/>
      </w:pPr>
      <w:r w:rsidRPr="007E685A">
        <w:rPr>
          <w:b/>
        </w:rPr>
        <w:t>Ieinteresētajiem piegādātājiem</w:t>
      </w:r>
    </w:p>
    <w:p w:rsidR="00717428" w:rsidRPr="007E685A" w:rsidRDefault="00717428" w:rsidP="00717428">
      <w:pPr>
        <w:spacing w:after="0" w:line="276" w:lineRule="auto"/>
        <w:jc w:val="both"/>
        <w:rPr>
          <w:i/>
        </w:rPr>
      </w:pPr>
      <w:r w:rsidRPr="007E685A">
        <w:rPr>
          <w:i/>
        </w:rPr>
        <w:t>Par informācijas sniegšanu</w:t>
      </w:r>
    </w:p>
    <w:p w:rsidR="00717428" w:rsidRPr="007E685A" w:rsidRDefault="00717428" w:rsidP="00717428">
      <w:pPr>
        <w:spacing w:after="0"/>
        <w:ind w:firstLine="567"/>
        <w:contextualSpacing/>
        <w:jc w:val="both"/>
      </w:pPr>
    </w:p>
    <w:p w:rsidR="00717428" w:rsidRDefault="00717428" w:rsidP="00717428">
      <w:pPr>
        <w:spacing w:after="0"/>
        <w:ind w:firstLine="567"/>
        <w:contextualSpacing/>
        <w:jc w:val="both"/>
      </w:pPr>
      <w:r>
        <w:t xml:space="preserve">Pasūtītājs </w:t>
      </w:r>
      <w:r w:rsidRPr="007E685A">
        <w:t xml:space="preserve">Rīgas Stradiņa universitātes iepirkuma komisija (turpmāk – Komisija) </w:t>
      </w:r>
      <w:r>
        <w:t xml:space="preserve">atklāta konkursa </w:t>
      </w:r>
      <w:r w:rsidRPr="009A166D">
        <w:rPr>
          <w:rFonts w:eastAsia="Times New Roman"/>
          <w:b/>
          <w:bCs/>
          <w:color w:val="000000"/>
          <w:lang w:eastAsia="lv-LV"/>
        </w:rPr>
        <w:t>“</w:t>
      </w:r>
      <w:bookmarkStart w:id="0" w:name="_Hlk168473505"/>
      <w:r w:rsidR="00B875CF" w:rsidRPr="00CC06DB">
        <w:rPr>
          <w:b/>
        </w:rPr>
        <w:t>RSU sporta bāzes pārbūves būvdarbi  Cigoriņu ielā 3, Rīgā</w:t>
      </w:r>
      <w:bookmarkEnd w:id="0"/>
      <w:r w:rsidRPr="009A166D">
        <w:rPr>
          <w:rFonts w:eastAsia="Times New Roman"/>
          <w:b/>
          <w:bCs/>
          <w:color w:val="000000"/>
          <w:lang w:eastAsia="lv-LV"/>
        </w:rPr>
        <w:t>”</w:t>
      </w:r>
      <w:r w:rsidRPr="007E685A">
        <w:rPr>
          <w:rFonts w:eastAsia="Times New Roman"/>
          <w:bCs/>
          <w:color w:val="000000"/>
          <w:lang w:eastAsia="lv-LV"/>
        </w:rPr>
        <w:t>, identifikācijas Nr. RSU 202</w:t>
      </w:r>
      <w:r w:rsidR="00362CE4">
        <w:rPr>
          <w:rFonts w:eastAsia="Times New Roman"/>
          <w:bCs/>
          <w:color w:val="000000"/>
          <w:lang w:eastAsia="lv-LV"/>
        </w:rPr>
        <w:t>4</w:t>
      </w:r>
      <w:r w:rsidRPr="007E685A">
        <w:rPr>
          <w:rFonts w:eastAsia="Times New Roman"/>
          <w:bCs/>
          <w:color w:val="000000"/>
          <w:lang w:eastAsia="lv-LV"/>
        </w:rPr>
        <w:t>/</w:t>
      </w:r>
      <w:r w:rsidR="00B875CF">
        <w:rPr>
          <w:rFonts w:eastAsia="Times New Roman"/>
          <w:bCs/>
          <w:color w:val="000000"/>
          <w:lang w:eastAsia="lv-LV"/>
        </w:rPr>
        <w:t>50</w:t>
      </w:r>
      <w:r w:rsidRPr="007E685A">
        <w:rPr>
          <w:rFonts w:eastAsia="Times New Roman"/>
          <w:bCs/>
          <w:color w:val="000000"/>
          <w:lang w:eastAsia="lv-LV"/>
        </w:rPr>
        <w:t>/</w:t>
      </w:r>
      <w:r>
        <w:rPr>
          <w:rFonts w:eastAsia="Times New Roman"/>
          <w:bCs/>
          <w:color w:val="000000"/>
          <w:lang w:eastAsia="lv-LV"/>
        </w:rPr>
        <w:t>AK</w:t>
      </w:r>
      <w:r w:rsidRPr="007E685A">
        <w:t xml:space="preserve"> (turpmāk – </w:t>
      </w:r>
      <w:r>
        <w:t>Atklāts konkurss</w:t>
      </w:r>
      <w:r w:rsidRPr="007E685A">
        <w:t>) ietvaros ir saņēmusi ieinteresēt</w:t>
      </w:r>
      <w:r w:rsidR="00E33F47">
        <w:t>o</w:t>
      </w:r>
      <w:r w:rsidRPr="007E685A">
        <w:t xml:space="preserve"> piegādātāj</w:t>
      </w:r>
      <w:r w:rsidR="00E33F47">
        <w:t>u</w:t>
      </w:r>
      <w:r w:rsidRPr="007E685A">
        <w:t xml:space="preserve"> jautājumu</w:t>
      </w:r>
      <w:r w:rsidR="00E33F47">
        <w:t>s</w:t>
      </w:r>
      <w:r w:rsidRPr="007E685A">
        <w:t xml:space="preserve"> par </w:t>
      </w:r>
      <w:r>
        <w:t>Atklāts konkursa</w:t>
      </w:r>
      <w:r w:rsidRPr="007E685A">
        <w:t xml:space="preserve"> nolikuma dokumentāciju. Komisija uz </w:t>
      </w:r>
      <w:r w:rsidR="00D84E85">
        <w:t xml:space="preserve">uzdotajiem </w:t>
      </w:r>
      <w:r w:rsidRPr="007E685A">
        <w:t>jautājum</w:t>
      </w:r>
      <w:r w:rsidR="00D84E85">
        <w:t>iem</w:t>
      </w:r>
      <w:r w:rsidRPr="007E685A">
        <w:t xml:space="preserve"> (citējot jautājumu</w:t>
      </w:r>
      <w:r w:rsidR="00D84E85">
        <w:t>s</w:t>
      </w:r>
      <w:r w:rsidRPr="007E685A">
        <w:t>) sniedz turpmāk minēt</w:t>
      </w:r>
      <w:r w:rsidR="00D84E85">
        <w:t>ās</w:t>
      </w:r>
      <w:r w:rsidRPr="007E685A">
        <w:t xml:space="preserve"> atbild</w:t>
      </w:r>
      <w:r w:rsidR="00D84E85">
        <w:t>es</w:t>
      </w:r>
      <w:r w:rsidRPr="007E685A">
        <w:t>:</w:t>
      </w:r>
    </w:p>
    <w:tbl>
      <w:tblPr>
        <w:tblStyle w:val="TableGrid12"/>
        <w:tblW w:w="9358" w:type="dxa"/>
        <w:tblInd w:w="-7" w:type="dxa"/>
        <w:tblLook w:val="04A0" w:firstRow="1" w:lastRow="0" w:firstColumn="1" w:lastColumn="0" w:noHBand="0" w:noVBand="1"/>
      </w:tblPr>
      <w:tblGrid>
        <w:gridCol w:w="1562"/>
        <w:gridCol w:w="7796"/>
      </w:tblGrid>
      <w:tr w:rsidR="00B875CF" w:rsidRPr="00B82A43" w:rsidTr="00816285">
        <w:tc>
          <w:tcPr>
            <w:tcW w:w="1562" w:type="dxa"/>
          </w:tcPr>
          <w:p w:rsidR="00B875CF" w:rsidRPr="00B82A43" w:rsidRDefault="00B875CF" w:rsidP="00F2196F">
            <w:pPr>
              <w:tabs>
                <w:tab w:val="left" w:pos="7230"/>
              </w:tabs>
              <w:spacing w:beforeLines="20" w:before="48" w:afterLines="20" w:after="48" w:line="276" w:lineRule="auto"/>
              <w:contextualSpacing/>
            </w:pPr>
            <w:r>
              <w:t>1.j</w:t>
            </w:r>
            <w:r w:rsidRPr="00B82A43">
              <w:t>autājums</w:t>
            </w:r>
          </w:p>
        </w:tc>
        <w:tc>
          <w:tcPr>
            <w:tcW w:w="7796" w:type="dxa"/>
          </w:tcPr>
          <w:p w:rsidR="00B875CF" w:rsidRPr="00B875CF" w:rsidRDefault="00B875CF" w:rsidP="00F2196F">
            <w:pPr>
              <w:spacing w:beforeLines="20" w:before="48" w:afterLines="20" w:after="48"/>
              <w:contextualSpacing/>
              <w:rPr>
                <w:rFonts w:cs="Times New Roman"/>
                <w:bCs/>
                <w:lang w:val="sv-SE"/>
              </w:rPr>
            </w:pPr>
            <w:r w:rsidRPr="00B875CF">
              <w:rPr>
                <w:rFonts w:cs="Times New Roman"/>
                <w:bCs/>
                <w:lang w:val="sv-SE"/>
              </w:rPr>
              <w:t>Lūdzam apstiprināt, ka konkursa nolikuma 7.5.4. un 7.5.5. punktu izpildei Pretendents drīkst uzrādīt vienu un to pašu objektu, ja tas atbilst visām abos punktos noteiktajām prasībām.</w:t>
            </w:r>
          </w:p>
        </w:tc>
      </w:tr>
      <w:tr w:rsidR="00B875CF" w:rsidRPr="00FE2EDB" w:rsidTr="00816285">
        <w:tc>
          <w:tcPr>
            <w:tcW w:w="1562" w:type="dxa"/>
            <w:shd w:val="clear" w:color="auto" w:fill="FBE4D5"/>
          </w:tcPr>
          <w:p w:rsidR="00B875CF" w:rsidRPr="00B82A43" w:rsidRDefault="00B875CF" w:rsidP="00B875CF">
            <w:pPr>
              <w:tabs>
                <w:tab w:val="left" w:pos="7230"/>
              </w:tabs>
              <w:spacing w:beforeLines="20" w:before="48" w:afterLines="20" w:after="48" w:line="276" w:lineRule="auto"/>
              <w:contextualSpacing/>
            </w:pPr>
            <w:r w:rsidRPr="00B82A43">
              <w:t>Atbilde</w:t>
            </w:r>
          </w:p>
        </w:tc>
        <w:tc>
          <w:tcPr>
            <w:tcW w:w="7796" w:type="dxa"/>
            <w:shd w:val="clear" w:color="auto" w:fill="FBE4D5"/>
          </w:tcPr>
          <w:p w:rsidR="00B875CF" w:rsidRPr="00FE2EDB" w:rsidRDefault="00B875CF" w:rsidP="00B875CF">
            <w:pPr>
              <w:spacing w:beforeLines="20" w:before="48" w:afterLines="20" w:after="48"/>
              <w:contextualSpacing/>
            </w:pPr>
            <w:r w:rsidRPr="006478D3">
              <w:t>Komisija skaidro, ka</w:t>
            </w:r>
            <w:r>
              <w:t xml:space="preserve"> </w:t>
            </w:r>
            <w:r w:rsidRPr="006478D3">
              <w:t xml:space="preserve">Atklāta konkursa nolikuma 7.5.4.punkta un 7.5.5.punkta prasības ir izdalītas atsevišķos punktos, lai nodrošinātu iespējami plašāku konkurenci, nesašaurinot piegādātāju loku gadījumā, ja pretendents Atklāta konkursa nolikuma 7.5.4. un 7.5.5.punktā noteiktās pretendentu pieredzes prasības spētu izpildīt divu atsevišķu līgumu ietvaros. Turklāt, ņemot vērā, ka Atklāta konkursa nolikuma 7.5.4. un 7.5.5.punktos noteiktās prasības ir nodalītas un saskaņā ar prasību tvērumu ir norādīts, ka pieredzei jābūt gūtai vienā līgumā, kas atbilst konkrētajā punktā noteiktajām apakšpunktu prasībām, Komisija skaidro, ka piegādātājs </w:t>
            </w:r>
            <w:r w:rsidRPr="00D15A44">
              <w:t>var apliecināt katru no Atklāta konkursa nolikuma prasībām ar vienu līgumu pie nosacījuma, ka konkrētais līgums vienlaikus atbilst visām Atklāta konkursa nolikuma 7.5.4. un 7.5.5.punkta apakšpunktu prasībām</w:t>
            </w:r>
            <w:r w:rsidRPr="00B60308">
              <w:t xml:space="preserve">.  </w:t>
            </w:r>
            <w:r>
              <w:t xml:space="preserve">Vienlaikus piegādātājiem ir jāņem vērā atšķirības Atklāta konkursa nolikuma 7.5.4. un 7.5.5.punkta a)apakšpunktos, proti, saskaņā ar Atklāta konkursa nolikuma 7.5.4.punktu – būvdarbi ir </w:t>
            </w:r>
            <w:r w:rsidRPr="007314CD">
              <w:rPr>
                <w:b/>
                <w:u w:val="single"/>
              </w:rPr>
              <w:t>ēkas</w:t>
            </w:r>
            <w:r>
              <w:rPr>
                <w:b/>
                <w:u w:val="single"/>
              </w:rPr>
              <w:t xml:space="preserve"> </w:t>
            </w:r>
            <w:r>
              <w:t xml:space="preserve">jaunbūve vai pārbūve saskaņā ar būvniecības ieceres dokumentācijas ietvaros izstrādātu būvprojektu, saņemot būvatļauju, kamēr Atklāta konkursa nolikuma 7.5.4.punktu – būvdarbi ir </w:t>
            </w:r>
            <w:r>
              <w:rPr>
                <w:b/>
                <w:u w:val="single"/>
              </w:rPr>
              <w:t xml:space="preserve">būves </w:t>
            </w:r>
            <w:r>
              <w:t xml:space="preserve">jaunbūve vai pārbūve saskaņā ar būvniecības ieceres dokumentācijas ietvaros izstrādātu būvprojektu, saņemot būvatļauju. Tādējādi, ja piegādātājs nevar izpildīt prasību, kas norādīta Atklāta konkursa nolikuma 7.5.4.punkta a)apakšpunktā, jo objekts nav </w:t>
            </w:r>
            <w:r w:rsidRPr="00271394">
              <w:rPr>
                <w:u w:val="single"/>
              </w:rPr>
              <w:t>ēkas</w:t>
            </w:r>
            <w:r>
              <w:t xml:space="preserve"> jaunbūve vai pārbūve, tad iesniedzami divi atsevišķi līgumi par katru no prasībām. </w:t>
            </w:r>
          </w:p>
        </w:tc>
      </w:tr>
      <w:tr w:rsidR="00B875CF" w:rsidRPr="006478D3" w:rsidTr="00816285">
        <w:tc>
          <w:tcPr>
            <w:tcW w:w="1562" w:type="dxa"/>
            <w:shd w:val="clear" w:color="auto" w:fill="auto"/>
          </w:tcPr>
          <w:p w:rsidR="00B875CF" w:rsidRPr="00B82A43" w:rsidRDefault="00B875CF" w:rsidP="00F2196F">
            <w:pPr>
              <w:tabs>
                <w:tab w:val="left" w:pos="7230"/>
              </w:tabs>
              <w:spacing w:beforeLines="20" w:before="48" w:afterLines="20" w:after="48" w:line="276" w:lineRule="auto"/>
              <w:contextualSpacing/>
            </w:pPr>
            <w:r>
              <w:t>2.j</w:t>
            </w:r>
            <w:r w:rsidRPr="00B82A43">
              <w:t>autājums</w:t>
            </w:r>
          </w:p>
        </w:tc>
        <w:tc>
          <w:tcPr>
            <w:tcW w:w="7796" w:type="dxa"/>
            <w:shd w:val="clear" w:color="auto" w:fill="auto"/>
          </w:tcPr>
          <w:p w:rsidR="00B875CF" w:rsidRPr="00B875CF" w:rsidRDefault="00B875CF" w:rsidP="00F2196F">
            <w:pPr>
              <w:rPr>
                <w:rFonts w:eastAsiaTheme="minorHAnsi" w:cs="Times New Roman"/>
                <w:b/>
                <w:bCs/>
              </w:rPr>
            </w:pPr>
            <w:r w:rsidRPr="00B875CF">
              <w:rPr>
                <w:rFonts w:cs="Times New Roman"/>
                <w:b/>
                <w:bCs/>
              </w:rPr>
              <w:t>Par atklāta konkursa “RSU sporta bāzes pārbūves būvdarbi Cigoriņu ielā 3, Rīgā” (</w:t>
            </w:r>
            <w:proofErr w:type="spellStart"/>
            <w:r w:rsidRPr="00B875CF">
              <w:rPr>
                <w:rFonts w:cs="Times New Roman"/>
                <w:b/>
                <w:bCs/>
              </w:rPr>
              <w:t>Id</w:t>
            </w:r>
            <w:proofErr w:type="spellEnd"/>
            <w:r w:rsidRPr="00B875CF">
              <w:rPr>
                <w:rFonts w:cs="Times New Roman"/>
                <w:b/>
                <w:bCs/>
              </w:rPr>
              <w:t>. Nr. RSU 2024/50/AK) nolikumā ietvertajām prasībām</w:t>
            </w:r>
          </w:p>
          <w:p w:rsidR="00B875CF" w:rsidRPr="00B875CF" w:rsidRDefault="00B875CF" w:rsidP="00B875CF">
            <w:pPr>
              <w:pStyle w:val="ListParagraph"/>
              <w:numPr>
                <w:ilvl w:val="0"/>
                <w:numId w:val="20"/>
              </w:numPr>
              <w:spacing w:after="160" w:line="240" w:lineRule="auto"/>
              <w:rPr>
                <w:rFonts w:ascii="Times New Roman" w:hAnsi="Times New Roman" w:cs="Times New Roman"/>
                <w:sz w:val="24"/>
                <w:szCs w:val="24"/>
              </w:rPr>
            </w:pPr>
            <w:r w:rsidRPr="00B875CF">
              <w:rPr>
                <w:rFonts w:ascii="Times New Roman" w:hAnsi="Times New Roman" w:cs="Times New Roman"/>
                <w:sz w:val="24"/>
                <w:szCs w:val="24"/>
              </w:rPr>
              <w:t>Nolikuma 7.5.4. punktā noteikts: “Pretendentam kā galvenajam būvdarbu veicējam  iepriekšējo 5 (piecu) gadu (2019., 2020., 2021., 2022., 2023. un 2024.gadā līdz piedāvājumu iesniegšanas termiņa beigām) laikā ir pieredze 1 (viena) līguma izpildē, kur:</w:t>
            </w:r>
          </w:p>
          <w:p w:rsidR="00B875CF" w:rsidRPr="00B875CF" w:rsidRDefault="00B875CF" w:rsidP="00B875CF">
            <w:pPr>
              <w:pStyle w:val="ListParagraph"/>
              <w:numPr>
                <w:ilvl w:val="0"/>
                <w:numId w:val="21"/>
              </w:numPr>
              <w:spacing w:after="160" w:line="240" w:lineRule="auto"/>
              <w:ind w:left="1134" w:hanging="425"/>
              <w:rPr>
                <w:rFonts w:ascii="Times New Roman" w:hAnsi="Times New Roman" w:cs="Times New Roman"/>
                <w:sz w:val="24"/>
                <w:szCs w:val="24"/>
              </w:rPr>
            </w:pPr>
            <w:r w:rsidRPr="00B875CF">
              <w:rPr>
                <w:rFonts w:ascii="Times New Roman" w:hAnsi="Times New Roman" w:cs="Times New Roman"/>
                <w:sz w:val="24"/>
                <w:szCs w:val="24"/>
              </w:rPr>
              <w:lastRenderedPageBreak/>
              <w:t xml:space="preserve">būvdarbi ir ēkas jaunbūve vai pārbūve saskaņā ar BID ietvaros izstrādātu būvprojektu, saņemot būvatļauju ; </w:t>
            </w:r>
          </w:p>
          <w:p w:rsidR="00B875CF" w:rsidRPr="00B875CF" w:rsidRDefault="00B875CF" w:rsidP="00B875CF">
            <w:pPr>
              <w:pStyle w:val="ListParagraph"/>
              <w:numPr>
                <w:ilvl w:val="0"/>
                <w:numId w:val="21"/>
              </w:numPr>
              <w:spacing w:after="160" w:line="240" w:lineRule="auto"/>
              <w:ind w:left="1134" w:hanging="425"/>
              <w:rPr>
                <w:rFonts w:ascii="Times New Roman" w:hAnsi="Times New Roman" w:cs="Times New Roman"/>
                <w:sz w:val="24"/>
                <w:szCs w:val="24"/>
              </w:rPr>
            </w:pPr>
            <w:r w:rsidRPr="00B875CF">
              <w:rPr>
                <w:rFonts w:ascii="Times New Roman" w:hAnsi="Times New Roman" w:cs="Times New Roman"/>
                <w:sz w:val="24"/>
                <w:szCs w:val="24"/>
              </w:rPr>
              <w:t>būvdarbi veikti III grupas publiskā būvē  (ja publiskas būves būvdarbi veikti ārpus Latvijas teritorijas – objektam jāatbilst LBN 200-21 publiskas būves definīcijai);</w:t>
            </w:r>
          </w:p>
          <w:p w:rsidR="00B875CF" w:rsidRPr="00B875CF" w:rsidRDefault="00B875CF" w:rsidP="00B875CF">
            <w:pPr>
              <w:pStyle w:val="ListParagraph"/>
              <w:numPr>
                <w:ilvl w:val="0"/>
                <w:numId w:val="21"/>
              </w:numPr>
              <w:spacing w:after="160" w:line="240" w:lineRule="auto"/>
              <w:ind w:left="1134" w:hanging="425"/>
              <w:rPr>
                <w:rFonts w:ascii="Times New Roman" w:hAnsi="Times New Roman" w:cs="Times New Roman"/>
                <w:sz w:val="24"/>
                <w:szCs w:val="24"/>
              </w:rPr>
            </w:pPr>
            <w:r w:rsidRPr="00B875CF">
              <w:rPr>
                <w:rFonts w:ascii="Times New Roman" w:hAnsi="Times New Roman" w:cs="Times New Roman"/>
                <w:sz w:val="24"/>
                <w:szCs w:val="24"/>
              </w:rPr>
              <w:t xml:space="preserve">ietvaros objekts, kurā veikti būvdarbi, ir sporta ēka (par atbilstošu pieredzi ir uzskatāmas ēkas un telpu grupas sporta pasākumiem, tai skaitā arēnas, sporta manēžas, sporta zāļu ēkas un telpu grupas, slēgtie peldbaseini)  vai ēka </w:t>
            </w:r>
            <w:proofErr w:type="spellStart"/>
            <w:r w:rsidRPr="00B875CF">
              <w:rPr>
                <w:rFonts w:ascii="Times New Roman" w:hAnsi="Times New Roman" w:cs="Times New Roman"/>
                <w:sz w:val="24"/>
                <w:szCs w:val="24"/>
              </w:rPr>
              <w:t>plašizklaides</w:t>
            </w:r>
            <w:proofErr w:type="spellEnd"/>
            <w:r w:rsidRPr="00B875CF">
              <w:rPr>
                <w:rFonts w:ascii="Times New Roman" w:hAnsi="Times New Roman" w:cs="Times New Roman"/>
                <w:sz w:val="24"/>
                <w:szCs w:val="24"/>
              </w:rPr>
              <w:t xml:space="preserve"> pasākumiem (par atbilstošu pieredzi ir uzskatāmas ēkas un </w:t>
            </w:r>
            <w:proofErr w:type="spellStart"/>
            <w:r w:rsidRPr="00B875CF">
              <w:rPr>
                <w:rFonts w:ascii="Times New Roman" w:hAnsi="Times New Roman" w:cs="Times New Roman"/>
                <w:sz w:val="24"/>
                <w:szCs w:val="24"/>
              </w:rPr>
              <w:t>plašizklaides</w:t>
            </w:r>
            <w:proofErr w:type="spellEnd"/>
            <w:r w:rsidRPr="00B875CF">
              <w:rPr>
                <w:rFonts w:ascii="Times New Roman" w:hAnsi="Times New Roman" w:cs="Times New Roman"/>
                <w:sz w:val="24"/>
                <w:szCs w:val="24"/>
              </w:rPr>
              <w:t xml:space="preserve"> pasākumu telpu grupas, piemēram, kinoteātri, koncertzāles, operu ēkas un telpu grupas, teātri, kazino, sarīkojumu un universālās zāles, kas tiek izmantotas </w:t>
            </w:r>
            <w:proofErr w:type="spellStart"/>
            <w:r w:rsidRPr="00B875CF">
              <w:rPr>
                <w:rFonts w:ascii="Times New Roman" w:hAnsi="Times New Roman" w:cs="Times New Roman"/>
                <w:sz w:val="24"/>
                <w:szCs w:val="24"/>
              </w:rPr>
              <w:t>plašizklaides</w:t>
            </w:r>
            <w:proofErr w:type="spellEnd"/>
            <w:r w:rsidRPr="00B875CF">
              <w:rPr>
                <w:rFonts w:ascii="Times New Roman" w:hAnsi="Times New Roman" w:cs="Times New Roman"/>
                <w:sz w:val="24"/>
                <w:szCs w:val="24"/>
              </w:rPr>
              <w:t xml:space="preserve"> pasākumiem, cirki, mūzikas un deju zāļu ēkas un telpu grupas u. tml., tai skaitā ēkas ar nojumes konstruktīvo risinājumu, piemēram, apjumtas estrādes un skatuves);</w:t>
            </w:r>
          </w:p>
          <w:p w:rsidR="00B875CF" w:rsidRPr="00B875CF" w:rsidRDefault="00B875CF" w:rsidP="00B875CF">
            <w:pPr>
              <w:pStyle w:val="ListParagraph"/>
              <w:numPr>
                <w:ilvl w:val="0"/>
                <w:numId w:val="21"/>
              </w:numPr>
              <w:spacing w:after="160" w:line="240" w:lineRule="auto"/>
              <w:ind w:left="1134" w:hanging="425"/>
              <w:rPr>
                <w:rFonts w:ascii="Times New Roman" w:hAnsi="Times New Roman" w:cs="Times New Roman"/>
                <w:sz w:val="24"/>
                <w:szCs w:val="24"/>
              </w:rPr>
            </w:pPr>
            <w:r w:rsidRPr="00B875CF">
              <w:rPr>
                <w:rFonts w:ascii="Times New Roman" w:hAnsi="Times New Roman" w:cs="Times New Roman"/>
                <w:sz w:val="24"/>
                <w:szCs w:val="24"/>
              </w:rPr>
              <w:t>kopējā telpu (objekta) platība, kurā veikti būvdarbi (nevis objekta kopējā platība), nav mazāka kā 2000 m2 (divi tūkstoši kvadrātmetri);</w:t>
            </w:r>
          </w:p>
          <w:p w:rsidR="00B875CF" w:rsidRPr="00B875CF" w:rsidRDefault="00B875CF" w:rsidP="00B875CF">
            <w:pPr>
              <w:pStyle w:val="ListParagraph"/>
              <w:numPr>
                <w:ilvl w:val="0"/>
                <w:numId w:val="21"/>
              </w:numPr>
              <w:spacing w:after="160" w:line="240" w:lineRule="auto"/>
              <w:ind w:left="1134" w:hanging="425"/>
              <w:rPr>
                <w:rFonts w:ascii="Times New Roman" w:hAnsi="Times New Roman" w:cs="Times New Roman"/>
                <w:sz w:val="24"/>
                <w:szCs w:val="24"/>
              </w:rPr>
            </w:pPr>
            <w:r w:rsidRPr="00B875CF">
              <w:rPr>
                <w:rFonts w:ascii="Times New Roman" w:hAnsi="Times New Roman" w:cs="Times New Roman"/>
                <w:sz w:val="24"/>
                <w:szCs w:val="24"/>
              </w:rPr>
              <w:t xml:space="preserve">kopējā būvdarbu līguma izpildes vērtība ir vismaz 4 000 000,00 EUR (četri miljoni </w:t>
            </w:r>
            <w:proofErr w:type="spellStart"/>
            <w:r w:rsidRPr="00B875CF">
              <w:rPr>
                <w:rFonts w:ascii="Times New Roman" w:hAnsi="Times New Roman" w:cs="Times New Roman"/>
                <w:sz w:val="24"/>
                <w:szCs w:val="24"/>
              </w:rPr>
              <w:t>euro</w:t>
            </w:r>
            <w:proofErr w:type="spellEnd"/>
            <w:r w:rsidRPr="00B875CF">
              <w:rPr>
                <w:rFonts w:ascii="Times New Roman" w:hAnsi="Times New Roman" w:cs="Times New Roman"/>
                <w:sz w:val="24"/>
                <w:szCs w:val="24"/>
              </w:rPr>
              <w:t>, 00 centi) bez PVN;</w:t>
            </w:r>
          </w:p>
          <w:p w:rsidR="00B875CF" w:rsidRPr="00B875CF" w:rsidRDefault="00B875CF" w:rsidP="00B875CF">
            <w:pPr>
              <w:pStyle w:val="ListParagraph"/>
              <w:numPr>
                <w:ilvl w:val="0"/>
                <w:numId w:val="21"/>
              </w:numPr>
              <w:spacing w:after="160" w:line="240" w:lineRule="auto"/>
              <w:ind w:left="1134" w:hanging="425"/>
              <w:rPr>
                <w:rFonts w:ascii="Times New Roman" w:hAnsi="Times New Roman" w:cs="Times New Roman"/>
                <w:sz w:val="24"/>
                <w:szCs w:val="24"/>
              </w:rPr>
            </w:pPr>
            <w:r w:rsidRPr="00B875CF">
              <w:rPr>
                <w:rFonts w:ascii="Times New Roman" w:hAnsi="Times New Roman" w:cs="Times New Roman"/>
                <w:sz w:val="24"/>
                <w:szCs w:val="24"/>
              </w:rPr>
              <w:t>ietvaros būvdarbi pabeigti un nodoti pasūtītājam, objekts pieņemts ekspluatācijā attiecīgajā būvvaldē vai institūcijā, kas pilda būvvaldes funkcijas, vai līdzvērtīgā iestādē ārvalstīs.”</w:t>
            </w:r>
          </w:p>
          <w:p w:rsidR="00B875CF" w:rsidRPr="00B875CF" w:rsidRDefault="00B875CF" w:rsidP="00F2196F">
            <w:pPr>
              <w:spacing w:beforeLines="20" w:before="48" w:afterLines="20" w:after="48"/>
              <w:contextualSpacing/>
              <w:rPr>
                <w:rFonts w:cs="Times New Roman"/>
              </w:rPr>
            </w:pPr>
            <w:r w:rsidRPr="00B875CF">
              <w:rPr>
                <w:rFonts w:cs="Times New Roman"/>
              </w:rPr>
              <w:t>Vai pretendenta pieredze līguma izpildē, kura ietvaros objekts nodots ekspluatācijā 2019. gada 11. jūlijā un atbilst visām nolikuma 7.5.4. punkta a) līdz f) apakšpunktos minētajām prasībām, tiks atzīta par atbilstošu pretendentu atlases (kvalifikācijas) prasībām?</w:t>
            </w:r>
          </w:p>
        </w:tc>
      </w:tr>
      <w:tr w:rsidR="00B875CF" w:rsidRPr="006478D3" w:rsidTr="00816285">
        <w:tc>
          <w:tcPr>
            <w:tcW w:w="1562" w:type="dxa"/>
            <w:shd w:val="clear" w:color="auto" w:fill="FBE4D5"/>
          </w:tcPr>
          <w:p w:rsidR="00B875CF" w:rsidRPr="00B82A43" w:rsidRDefault="00B875CF" w:rsidP="00F2196F">
            <w:pPr>
              <w:tabs>
                <w:tab w:val="left" w:pos="7230"/>
              </w:tabs>
              <w:spacing w:beforeLines="20" w:before="48" w:afterLines="20" w:after="48" w:line="276" w:lineRule="auto"/>
              <w:contextualSpacing/>
            </w:pPr>
            <w:r w:rsidRPr="00B82A43">
              <w:lastRenderedPageBreak/>
              <w:t>Atbilde</w:t>
            </w:r>
          </w:p>
        </w:tc>
        <w:tc>
          <w:tcPr>
            <w:tcW w:w="7796" w:type="dxa"/>
            <w:shd w:val="clear" w:color="auto" w:fill="FBE4D5"/>
          </w:tcPr>
          <w:p w:rsidR="00B875CF" w:rsidRPr="006478D3" w:rsidRDefault="00B875CF" w:rsidP="00F2196F">
            <w:pPr>
              <w:spacing w:beforeLines="20" w:before="48" w:afterLines="20" w:after="48"/>
              <w:contextualSpacing/>
            </w:pPr>
            <w:r>
              <w:t xml:space="preserve">Komisija skaidro, ka atbilstoši Atklāta konkursa nolikuma 7.5.4.punktam, pieredze ir apliecināma par 2019.gadu, 2020.gadu, 2021.gadu, 2022.gadu, 2023.gadu un 2024.gadu, bet līdz piedāvājumu iesniegšanas termiņa beigām. Atbilstoši Publisko iepirkumu likuma 46.panta trešās daļas 1.punktam noteiktā pieredzes prasība ir salāgota arī ar Iepirkumu uzraudzības biroja vadlīnijās “Atklāta konkursa nolikums. Soli pa solim” norādīto, proti, ka pieredzes pierādīšanai tiek noteikti konkrēti iepriekšējie gadi, tomēr pasūtītājam nav pamata neatzīt aktuālu pieredzi, kas iegūta kārtējā/konkrētā gada laikā, kas iekļaujas pieredzes apliecināšanas periodā, izņemot attiecībā uz pēdējo gadu </w:t>
            </w:r>
            <w:r w:rsidRPr="008933AB">
              <w:t>līdz piedāvājumu iesniegšanas brīdim gūto pieredzi (2024.gadu). Ievērojot minēto, Komisija skaidro, ka pieredze līguma izpildē, kura noslēgusies sākot ar 2019.gada janvāri (līguma/būvdarbu pabeigšanas datums, objekts pieņemts ekspluatācijā) līdz 2024.gada piedāvājumu iesniegšanas dienai, ietilpst pieredzes apliecināšanas periodā “</w:t>
            </w:r>
            <w:r w:rsidRPr="008933AB">
              <w:rPr>
                <w:i/>
              </w:rPr>
              <w:t>iepriekšējo 5 (piecu) gadu (2019., 2020., 2021., 2022., 2023. un 2024.gadā līdz piedāvājumu iesniegšanas termiņa beigām) laikā gūtā pieredze</w:t>
            </w:r>
            <w:r w:rsidRPr="008933AB">
              <w:t>”.</w:t>
            </w:r>
            <w:r>
              <w:t xml:space="preserve"> </w:t>
            </w:r>
          </w:p>
        </w:tc>
      </w:tr>
      <w:tr w:rsidR="00B875CF" w:rsidTr="00816285">
        <w:tc>
          <w:tcPr>
            <w:tcW w:w="1562" w:type="dxa"/>
            <w:shd w:val="clear" w:color="auto" w:fill="auto"/>
          </w:tcPr>
          <w:p w:rsidR="00B875CF" w:rsidRPr="00B82A43" w:rsidRDefault="00B875CF" w:rsidP="00F2196F">
            <w:pPr>
              <w:tabs>
                <w:tab w:val="left" w:pos="7230"/>
              </w:tabs>
              <w:spacing w:beforeLines="20" w:before="48" w:afterLines="20" w:after="48" w:line="276" w:lineRule="auto"/>
            </w:pPr>
            <w:r>
              <w:t>3.jautājums</w:t>
            </w:r>
          </w:p>
        </w:tc>
        <w:tc>
          <w:tcPr>
            <w:tcW w:w="7796" w:type="dxa"/>
            <w:shd w:val="clear" w:color="auto" w:fill="auto"/>
          </w:tcPr>
          <w:p w:rsidR="00B875CF" w:rsidRPr="00906C3A" w:rsidRDefault="00B875CF" w:rsidP="00F2196F">
            <w:pPr>
              <w:tabs>
                <w:tab w:val="left" w:pos="426"/>
              </w:tabs>
              <w:rPr>
                <w:rFonts w:eastAsiaTheme="minorEastAsia"/>
                <w:lang w:eastAsia="lv-LV"/>
              </w:rPr>
            </w:pPr>
            <w:r w:rsidRPr="00906C3A">
              <w:rPr>
                <w:rFonts w:eastAsiaTheme="minorEastAsia"/>
                <w:lang w:eastAsia="lv-LV"/>
              </w:rPr>
              <w:t>Vēlamies vērst Jūsu uzmanību Ministru kabineta 2017.gada 28.februāra noteikumu  Nr.107 “Iepirkuma procedūru un metu konkursu norises kārtība” 2.punktā noteiktajam attiecībā par Atklāta konkursa nolikumā ietveramo informāciju. Norādām, ka 2.7.puntā ir noteikts, ka Iepirkuma nolikumā ir jāietver</w:t>
            </w:r>
            <w:r>
              <w:t xml:space="preserve"> </w:t>
            </w:r>
            <w:r w:rsidRPr="00906C3A">
              <w:rPr>
                <w:rFonts w:eastAsiaTheme="minorEastAsia"/>
                <w:lang w:eastAsia="lv-LV"/>
              </w:rPr>
              <w:t>piedāvājumu iesniegšanas un atvēršanas vietu, datumu un laiku.</w:t>
            </w:r>
          </w:p>
          <w:p w:rsidR="00B875CF" w:rsidRDefault="00B875CF" w:rsidP="00F2196F">
            <w:pPr>
              <w:spacing w:beforeLines="20" w:before="48" w:afterLines="20" w:after="48"/>
              <w:contextualSpacing/>
            </w:pPr>
            <w:r>
              <w:rPr>
                <w:rFonts w:eastAsiaTheme="minorEastAsia"/>
                <w:lang w:eastAsia="lv-LV"/>
              </w:rPr>
              <w:lastRenderedPageBreak/>
              <w:t>Ņemot vērā iepriekš minēto, lūdzam grozīt Iepirkuma nolikuma 3.8. un 3.14.punktu.</w:t>
            </w:r>
          </w:p>
        </w:tc>
      </w:tr>
      <w:tr w:rsidR="00B875CF" w:rsidRPr="00644CF7" w:rsidTr="00816285">
        <w:tc>
          <w:tcPr>
            <w:tcW w:w="1562" w:type="dxa"/>
            <w:shd w:val="clear" w:color="auto" w:fill="FBE4D5"/>
          </w:tcPr>
          <w:p w:rsidR="00B875CF" w:rsidRPr="00B82A43" w:rsidRDefault="00B875CF" w:rsidP="00F2196F">
            <w:pPr>
              <w:tabs>
                <w:tab w:val="left" w:pos="7230"/>
              </w:tabs>
              <w:spacing w:beforeLines="20" w:before="48" w:afterLines="20" w:after="48" w:line="276" w:lineRule="auto"/>
              <w:contextualSpacing/>
            </w:pPr>
            <w:r>
              <w:lastRenderedPageBreak/>
              <w:t>Atbilde</w:t>
            </w:r>
          </w:p>
        </w:tc>
        <w:tc>
          <w:tcPr>
            <w:tcW w:w="7796" w:type="dxa"/>
            <w:shd w:val="clear" w:color="auto" w:fill="FBE4D5"/>
          </w:tcPr>
          <w:p w:rsidR="00B875CF" w:rsidRPr="00125E78" w:rsidRDefault="00B875CF" w:rsidP="00F2196F">
            <w:pPr>
              <w:spacing w:after="160"/>
            </w:pPr>
            <w:r w:rsidRPr="00125E78">
              <w:t xml:space="preserve">Komisija norāda, ka atbilstoši </w:t>
            </w:r>
            <w:r w:rsidRPr="00D72A02">
              <w:rPr>
                <w:rFonts w:eastAsiaTheme="minorEastAsia"/>
                <w:lang w:eastAsia="lv-LV"/>
              </w:rPr>
              <w:t xml:space="preserve">Ministru kabineta 2017.gada 28.februāra noteikumu  Nr.107 “Iepirkuma procedūru un metu konkursu norises kārtība” (turpmāk – MK noteikumi Nr. 107) 2.7.punktā noteikto attiecībā par Atklāta konkursa nolikumā ietveramo informāciju par piedāvājumu iesniegšanas un atvēršanas vietu, datumu un laiku, Atklāta konkursa nolikuma 3.8. un 3.14.punktā ir ietverta informācija gan par piedāvājumu iesniegšanas un atvēršanas vietu, gan arī iekļauta norāde par konkrētu datumu un laiku, kas ir salāgots ar Iepirkumu uzraudzības biroja (turpmāk – IUB) skaidrojumu- rekomendāciju. Saskaņā ar IUB tīmekļa vietnē (skatīt šeit: </w:t>
            </w:r>
            <w:hyperlink r:id="rId13" w:history="1">
              <w:r w:rsidRPr="00D72A02">
                <w:rPr>
                  <w:rStyle w:val="Hyperlink"/>
                  <w:rFonts w:eastAsiaTheme="minorEastAsia"/>
                  <w:lang w:eastAsia="lv-LV"/>
                </w:rPr>
                <w:t>https://www.iub.gov.lv/lv/publisko-iepirkumu-likums-pil</w:t>
              </w:r>
            </w:hyperlink>
            <w:r w:rsidRPr="00D72A02">
              <w:rPr>
                <w:rFonts w:eastAsiaTheme="minorEastAsia"/>
                <w:lang w:eastAsia="lv-LV"/>
              </w:rPr>
              <w:t>) publicēto skaidrojumu sadaļā “Biežāk uzdotie jautājumi”, 2. Iepirkuma rīkošana” 2.20.punktu, IUB skaidro,</w:t>
            </w:r>
            <w:r w:rsidRPr="00D72A02">
              <w:rPr>
                <w:rFonts w:eastAsiaTheme="minorEastAsia"/>
                <w:i/>
                <w:lang w:eastAsia="lv-LV"/>
              </w:rPr>
              <w:t xml:space="preserve"> ka, “Lai novērstu risku, ka nolikumā tiek norādīts no IUB tīmekļvietnes paziņojumā un EIS E-konkursu apakšsistēmā norādītā atšķirīgs pieteikumu vai piedāvājumu iesniegšanas termiņš, ieteicams nolikumā konkrēto termiņu nenoteikt, bet gan iekļaut norādi, ka piedāvājumu iesniegšanas termiņš skatāms attiecīgajā paziņojumā</w:t>
            </w:r>
            <w:r w:rsidRPr="00D72A02">
              <w:rPr>
                <w:rFonts w:eastAsiaTheme="minorEastAsia"/>
                <w:lang w:eastAsia="lv-LV"/>
              </w:rPr>
              <w:t xml:space="preserve">.” Pasūtītājs ir ievērojis IUB rekomendāciju, ņemot vērā grozījumus Publisko iepirkumu likuma (turpmāk – PIL) regulējumā, kas stājās spēkā 2023.gada 25.oktobrī, un vienlaikus, lai novērstu tehniska rakstura kļūdas iepirkumu izsludināšanas procesā sakarā ar izmaiņām Elektronisko iepirkumu sistēmā  publicējamo publisko iepirkumu izsludināšanas kārtībā. Lūgums ņemt vērā, ka atbilstoši Atklāta konkursa nolikuma 3.8. un 3.14.punktā norādītajam Paziņojumā par līgumu gan šobrīd, gan jebkuru grozījumu rezultātā tiek publicēts aktuālais piedāvājumu iesniegšanas un atvēršanas datums un laiks (aktuālo paziņojumu skatīt šeit: </w:t>
            </w:r>
            <w:hyperlink r:id="rId14" w:history="1">
              <w:r w:rsidRPr="00D72A02">
                <w:rPr>
                  <w:rStyle w:val="Hyperlink"/>
                  <w:rFonts w:eastAsiaTheme="minorEastAsia"/>
                  <w:lang w:eastAsia="lv-LV"/>
                </w:rPr>
                <w:t>https://eformsb.pvs.iub.gov.lv/show/a8e0eec0-e363-49ed-9877-bc025ed91533</w:t>
              </w:r>
            </w:hyperlink>
            <w:r w:rsidRPr="00D72A02">
              <w:rPr>
                <w:rFonts w:eastAsiaTheme="minorEastAsia"/>
                <w:lang w:eastAsia="lv-LV"/>
              </w:rPr>
              <w:t xml:space="preserve"> ), kas vienlaikus ir sinhronizēts ar Elektronisko iepirkumu sistēmā (t.sk. publiski pieejamu informāciju) publicējamo piedāvājumu iesniegšanas un atvēršanas datumu un laiku – skatīt sadaļā “Iepirkuma termiņi” turpmāk norādītajā interneta saitē: </w:t>
            </w:r>
            <w:hyperlink r:id="rId15" w:history="1">
              <w:r w:rsidRPr="00D72A02">
                <w:rPr>
                  <w:rStyle w:val="Hyperlink"/>
                  <w:rFonts w:eastAsiaTheme="minorEastAsia"/>
                  <w:lang w:eastAsia="lv-LV"/>
                </w:rPr>
                <w:t>https://www.eis.gov.lv/EKEIS/Supplier/Procurement/119452</w:t>
              </w:r>
            </w:hyperlink>
            <w:r w:rsidRPr="00D72A02">
              <w:rPr>
                <w:rFonts w:eastAsiaTheme="minorEastAsia"/>
                <w:lang w:eastAsia="lv-LV"/>
              </w:rPr>
              <w:t xml:space="preserve"> </w:t>
            </w:r>
          </w:p>
          <w:p w:rsidR="00B875CF" w:rsidRPr="00644CF7" w:rsidRDefault="00B875CF" w:rsidP="00F2196F">
            <w:r w:rsidRPr="00D15A44">
              <w:t>Prasība netiks grozīta, jo tā ir izstrādāta ar mērķi ievērot vienlaikus gan MK noteikumu Nr.</w:t>
            </w:r>
            <w:r>
              <w:t> </w:t>
            </w:r>
            <w:r w:rsidRPr="00D15A44">
              <w:t>107 regulējumu, gan Iepirkumu uzraudzības biroja rekomendāciju par nolikumā norādāmo informāciju attiecībā uz piedāvājumu iesniegšanas laiku, kā arī ir veikta ar mērķi novērst tehnisku sistēmas kļūdu rezultātā radušās kļūdas publicējamajā informācijā par piedāvājumu iesniegšanas laiku.</w:t>
            </w:r>
            <w:r>
              <w:t xml:space="preserve"> Pasūtītājs papildus norāda, ka šādā veidā tiek nodrošināts, ka piegādātājiem ir redzama aktuāla un korekta informācija. </w:t>
            </w:r>
          </w:p>
        </w:tc>
      </w:tr>
      <w:tr w:rsidR="00B875CF" w:rsidTr="00816285">
        <w:tc>
          <w:tcPr>
            <w:tcW w:w="1562" w:type="dxa"/>
            <w:shd w:val="clear" w:color="auto" w:fill="auto"/>
          </w:tcPr>
          <w:p w:rsidR="00B875CF" w:rsidRDefault="00B875CF" w:rsidP="00F2196F">
            <w:pPr>
              <w:tabs>
                <w:tab w:val="left" w:pos="7230"/>
              </w:tabs>
              <w:spacing w:beforeLines="20" w:before="48" w:afterLines="20" w:after="48" w:line="276" w:lineRule="auto"/>
              <w:contextualSpacing/>
            </w:pPr>
            <w:r>
              <w:t>4.Jautājums</w:t>
            </w:r>
          </w:p>
        </w:tc>
        <w:tc>
          <w:tcPr>
            <w:tcW w:w="7796" w:type="dxa"/>
            <w:shd w:val="clear" w:color="auto" w:fill="auto"/>
          </w:tcPr>
          <w:p w:rsidR="00B875CF" w:rsidRDefault="00B875CF" w:rsidP="00F2196F">
            <w:pPr>
              <w:spacing w:beforeLines="20" w:before="48" w:afterLines="20" w:after="48"/>
              <w:contextualSpacing/>
            </w:pPr>
            <w:r>
              <w:rPr>
                <w:rFonts w:eastAsiaTheme="minorEastAsia"/>
                <w:lang w:eastAsia="lv-LV"/>
              </w:rPr>
              <w:t>Iepirkuma nolikuma 5.9. punktā ir noteikta paredzamā līgumcena.  Lai gan  Iepirkuma nolikuma 12.1. punktā ir noteikts, ka Komisija atbilstoši PIL 41.panta vienpadsmitās daļas 2.punktam noraida pretendenta piedāvājumu, ja pretendenta piedāvātā līgumcena pārsniedz 150 % no iepirkuma procedūras dokumentos norādītās paredzamās līgumcenas, tomēr lūdzam apstiprināt, ka Pasūtītājs ir paredzējis gadījumu, ka visu iesniegto pretendentu piedāvātās līgumcenas pārsniegs Iepirkuma nolikuma 5.9.punktā noteikto paredzamo līgumcenu un Iepirkums šajā gadījumā netiks pārtraukts un izbeigts bez rezultātiem.</w:t>
            </w:r>
          </w:p>
        </w:tc>
      </w:tr>
      <w:tr w:rsidR="00B875CF" w:rsidTr="00816285">
        <w:tc>
          <w:tcPr>
            <w:tcW w:w="1562" w:type="dxa"/>
            <w:shd w:val="clear" w:color="auto" w:fill="FBE4D5"/>
          </w:tcPr>
          <w:p w:rsidR="00B875CF" w:rsidRDefault="00B875CF" w:rsidP="00F2196F">
            <w:pPr>
              <w:tabs>
                <w:tab w:val="left" w:pos="7230"/>
              </w:tabs>
              <w:spacing w:beforeLines="20" w:before="48" w:afterLines="20" w:after="48" w:line="276" w:lineRule="auto"/>
              <w:contextualSpacing/>
            </w:pPr>
            <w:r>
              <w:lastRenderedPageBreak/>
              <w:t>Atbilde</w:t>
            </w:r>
          </w:p>
        </w:tc>
        <w:tc>
          <w:tcPr>
            <w:tcW w:w="7796" w:type="dxa"/>
            <w:shd w:val="clear" w:color="auto" w:fill="FBE4D5"/>
          </w:tcPr>
          <w:p w:rsidR="00B875CF" w:rsidRDefault="00B875CF" w:rsidP="00F2196F">
            <w:pPr>
              <w:spacing w:beforeLines="20" w:before="48" w:afterLines="20" w:after="48"/>
              <w:contextualSpacing/>
            </w:pPr>
            <w:r>
              <w:t xml:space="preserve">Komisija norāda, ka saskaņā ar Atklāta konkursa nolikuma 12.1.punktu, Komisija atbilstoši PIL 41.panta vienpadsmitās daļas 2.punktam, noraida katra pretendenta piedāvājumu, ja pretendenta piedāvātā līgumcena </w:t>
            </w:r>
            <w:r w:rsidRPr="004D6696">
              <w:t>pārsniedz 150 % no iepirkuma procedūras dokumentos norādītās paredzamās līgumcenas</w:t>
            </w:r>
            <w:r>
              <w:t>. Tādējādi gadījumā, ja ikviens no pretendentiem, kas iesniegs piedāvājumu, pārsniegs Atklāta konkursa nolikuma 5.9.punktā norādīto paredzamo līgumcenu, kā rezultātā Komisijai atbilstoši PIL 41.panta vienpadsmitās daļas 2.punktam pretendents būs jānoraida, tad Komisijai, pamatojoties uz MK noteikumu Nr. 107 229.4.punktu būs jāpieņem lēmums izbeigt Atklātu konkursu. Komisija norāda, ka pretēja rīcība neatbilstu PIL, MK noteikumu Nr. 107 un Atklāta konkursa nolikuma prasībām.</w:t>
            </w:r>
          </w:p>
        </w:tc>
      </w:tr>
      <w:tr w:rsidR="00B875CF" w:rsidRPr="00D72A02" w:rsidTr="00816285">
        <w:tc>
          <w:tcPr>
            <w:tcW w:w="1562" w:type="dxa"/>
            <w:shd w:val="clear" w:color="auto" w:fill="auto"/>
          </w:tcPr>
          <w:p w:rsidR="00B875CF" w:rsidRDefault="00B875CF" w:rsidP="00F2196F">
            <w:pPr>
              <w:tabs>
                <w:tab w:val="left" w:pos="7230"/>
              </w:tabs>
              <w:spacing w:beforeLines="20" w:before="48" w:afterLines="20" w:after="48" w:line="276" w:lineRule="auto"/>
              <w:contextualSpacing/>
            </w:pPr>
            <w:r>
              <w:t>5.Jautājums</w:t>
            </w:r>
          </w:p>
        </w:tc>
        <w:tc>
          <w:tcPr>
            <w:tcW w:w="7796" w:type="dxa"/>
            <w:shd w:val="clear" w:color="auto" w:fill="auto"/>
          </w:tcPr>
          <w:p w:rsidR="00B875CF" w:rsidRPr="00906C3A" w:rsidRDefault="00B875CF" w:rsidP="00F2196F">
            <w:pPr>
              <w:tabs>
                <w:tab w:val="left" w:pos="426"/>
              </w:tabs>
              <w:rPr>
                <w:rFonts w:eastAsiaTheme="minorEastAsia"/>
                <w:lang w:eastAsia="lv-LV"/>
              </w:rPr>
            </w:pPr>
            <w:r w:rsidRPr="00906C3A">
              <w:rPr>
                <w:rFonts w:eastAsiaTheme="minorEastAsia"/>
                <w:lang w:eastAsia="lv-LV"/>
              </w:rPr>
              <w:t xml:space="preserve">Vairākos Iepirkuma nolikuma punktos ir lietots saīsinājums BID, t.sk. Iepirkuma nolikuma 7.5.4. punkta a) apakšpunktā - būvdarbi ir ēkas </w:t>
            </w:r>
            <w:r w:rsidRPr="00906C3A">
              <w:rPr>
                <w:rFonts w:eastAsiaTheme="minorEastAsia"/>
                <w:b/>
                <w:bCs/>
                <w:lang w:eastAsia="lv-LV"/>
              </w:rPr>
              <w:t xml:space="preserve">jaunbūve </w:t>
            </w:r>
            <w:r w:rsidRPr="00906C3A">
              <w:rPr>
                <w:rFonts w:eastAsiaTheme="minorEastAsia"/>
                <w:lang w:eastAsia="lv-LV"/>
              </w:rPr>
              <w:t xml:space="preserve">vai </w:t>
            </w:r>
            <w:r w:rsidRPr="00906C3A">
              <w:rPr>
                <w:rFonts w:eastAsiaTheme="minorEastAsia"/>
                <w:b/>
                <w:bCs/>
                <w:lang w:eastAsia="lv-LV"/>
              </w:rPr>
              <w:t>pārbūve</w:t>
            </w:r>
            <w:r w:rsidRPr="00906C3A">
              <w:rPr>
                <w:rFonts w:eastAsiaTheme="minorEastAsia"/>
                <w:lang w:eastAsia="lv-LV"/>
              </w:rPr>
              <w:t xml:space="preserve"> saskaņā ar </w:t>
            </w:r>
            <w:r w:rsidRPr="00906C3A">
              <w:rPr>
                <w:rFonts w:eastAsiaTheme="minorEastAsia"/>
                <w:u w:val="single"/>
                <w:lang w:eastAsia="lv-LV"/>
              </w:rPr>
              <w:t>BID ietvaros izstrādātu būvprojektu</w:t>
            </w:r>
            <w:r w:rsidRPr="00906C3A">
              <w:rPr>
                <w:rFonts w:eastAsiaTheme="minorEastAsia"/>
                <w:lang w:eastAsia="lv-LV"/>
              </w:rPr>
              <w:t xml:space="preserve">, saņemot būvatļauju kā arī zemsvītras atsaucē Nr.4 ir norādīts - </w:t>
            </w:r>
            <w:r w:rsidRPr="00906C3A">
              <w:rPr>
                <w:rFonts w:eastAsiaTheme="minorEastAsia"/>
                <w:b/>
                <w:bCs/>
                <w:lang w:eastAsia="lv-LV"/>
              </w:rPr>
              <w:t xml:space="preserve">Pārbūve </w:t>
            </w:r>
            <w:r w:rsidRPr="00906C3A">
              <w:rPr>
                <w:rFonts w:eastAsiaTheme="minorEastAsia"/>
                <w:lang w:eastAsia="lv-LV"/>
              </w:rPr>
              <w:t>vai</w:t>
            </w:r>
            <w:r w:rsidRPr="00906C3A">
              <w:rPr>
                <w:rFonts w:eastAsiaTheme="minorEastAsia"/>
                <w:b/>
                <w:bCs/>
                <w:lang w:eastAsia="lv-LV"/>
              </w:rPr>
              <w:t xml:space="preserve"> atjaunošana</w:t>
            </w:r>
            <w:r w:rsidRPr="00906C3A">
              <w:rPr>
                <w:rFonts w:eastAsiaTheme="minorEastAsia"/>
                <w:lang w:eastAsia="lv-LV"/>
              </w:rPr>
              <w:t xml:space="preserve"> ar BID ietvaros izstrādātu būvprojektu, saņemot būvatļauju. Par Atklāta konkursa prasībām atbilstošu netiks uzskatīta pārbūve vai atjaunošana ar paskaidrojuma rakstu, ar paziņojumu par būvniecību, ar vienkāršotas atjaunošanas apliecinājuma karti (ar telpu grupas un/vai fasādes atjaunošanas apliecinājuma karti).</w:t>
            </w:r>
          </w:p>
          <w:p w:rsidR="00B875CF" w:rsidRDefault="00B875CF" w:rsidP="00B875CF">
            <w:pPr>
              <w:pStyle w:val="ListParagraph"/>
              <w:numPr>
                <w:ilvl w:val="0"/>
                <w:numId w:val="22"/>
              </w:numPr>
              <w:tabs>
                <w:tab w:val="left" w:pos="426"/>
              </w:tabs>
              <w:spacing w:after="0" w:line="240" w:lineRule="auto"/>
              <w:ind w:left="0" w:firstLine="709"/>
              <w:jc w:val="left"/>
              <w:rPr>
                <w:rFonts w:eastAsiaTheme="minorEastAsia"/>
                <w:lang w:eastAsia="lv-LV"/>
              </w:rPr>
            </w:pPr>
            <w:r>
              <w:rPr>
                <w:rFonts w:eastAsiaTheme="minorEastAsia"/>
                <w:lang w:eastAsia="lv-LV"/>
              </w:rPr>
              <w:t>Lūdzam Pasūtītāju Iepirkuma nolikumā atšifrēt saīsināmu BID.</w:t>
            </w:r>
          </w:p>
          <w:p w:rsidR="00B875CF" w:rsidRPr="00D72A02" w:rsidRDefault="00B875CF" w:rsidP="00B875CF">
            <w:pPr>
              <w:pStyle w:val="ListParagraph"/>
              <w:numPr>
                <w:ilvl w:val="0"/>
                <w:numId w:val="22"/>
              </w:numPr>
              <w:tabs>
                <w:tab w:val="left" w:pos="426"/>
              </w:tabs>
              <w:spacing w:after="0" w:line="240" w:lineRule="auto"/>
              <w:ind w:left="0" w:firstLine="709"/>
              <w:jc w:val="left"/>
              <w:rPr>
                <w:rFonts w:eastAsiaTheme="minorEastAsia"/>
                <w:lang w:eastAsia="lv-LV"/>
              </w:rPr>
            </w:pPr>
            <w:r w:rsidRPr="00D72A02">
              <w:rPr>
                <w:rFonts w:eastAsiaTheme="minorEastAsia"/>
                <w:lang w:eastAsia="lv-LV"/>
              </w:rPr>
              <w:t>Lūdzam Pasūtītāju pārskatīt prasību par pieļaujamo pretendenta un piesaistīto speciālistu pieredzi -  vai pieredze tiks atzīta par atbilstošu arī objektos ar būvdarbu veidu – atjaunošana? Kā arī lūdzam veikt attiecīgi grozījumus iepirkuma nolikumā.</w:t>
            </w:r>
          </w:p>
        </w:tc>
      </w:tr>
      <w:tr w:rsidR="00B875CF" w:rsidTr="00816285">
        <w:tc>
          <w:tcPr>
            <w:tcW w:w="1562" w:type="dxa"/>
            <w:shd w:val="clear" w:color="auto" w:fill="FBE4D5"/>
          </w:tcPr>
          <w:p w:rsidR="00B875CF" w:rsidRDefault="00B875CF" w:rsidP="00F2196F">
            <w:pPr>
              <w:tabs>
                <w:tab w:val="left" w:pos="7230"/>
              </w:tabs>
              <w:spacing w:beforeLines="20" w:before="48" w:afterLines="20" w:after="48" w:line="276" w:lineRule="auto"/>
              <w:contextualSpacing/>
            </w:pPr>
            <w:r>
              <w:t>Atbilde</w:t>
            </w:r>
          </w:p>
        </w:tc>
        <w:tc>
          <w:tcPr>
            <w:tcW w:w="7796" w:type="dxa"/>
            <w:shd w:val="clear" w:color="auto" w:fill="FBE4D5"/>
          </w:tcPr>
          <w:p w:rsidR="00B875CF" w:rsidRDefault="00B875CF" w:rsidP="00F2196F">
            <w:pPr>
              <w:spacing w:beforeLines="20" w:before="48" w:afterLines="20" w:after="48"/>
              <w:contextualSpacing/>
            </w:pPr>
            <w:r>
              <w:t>Komisija paskaidro, ka BID saīsinājuma atšifrējums ir “būvniecības ieceres dokumentācija”, atbilstoši Būvniecības likumam un saskaņā ar Ministru kabineta 2014.gada 19.augusta noteikumu Nr. 500 “Vispārīgie būvnoteikumi” 2.10.punktā ietverto definīciju. Attiecībā par pieredzes prasībām, Komisija norāda, ka Atklāta konkursa nolikuma 7.5.4.-7.5.10.punktā ir paredzēts, ka gan pretendentam, gan speciālistiem ir pieredze līgumā vai objektā, kur būvdarbu veids ir “jaunbūve vai pārbūve”, kā arī minēto prasību apliecina Atklāta konkursa nolikuma 5.pielikumā “Pretendenta pieredzes apraksts” un 6.1.pielikumā “Pretendenta piesaistīto speciālistu saraksts un pieredzes apraksts” norādītā informācija par konkrēto būvniecības darbu veidu – jaunbūve vai pārbūve. Vienlaikus Komisija skaidro, ka Atklāta konkursa nolikuma zemsvītras atsaucēs ir ieviesusies pārrakstīšanas kļūda un kļūdaini ir norādīti vārdi “atjaunošana”. Prasība par konkrētajiem būvniecības veidiem ir noteikta, ņemot vērā iepirkuma priekšmeta specifiku, kā arī veicamo būvdarbu uzdevumus un mērķi objektā sporta bāzes pārbūves būvdarbi</w:t>
            </w:r>
            <w:r w:rsidRPr="00E60766">
              <w:t xml:space="preserve"> </w:t>
            </w:r>
            <w:r>
              <w:t>Cigoriņu ielā 3, Rīgā, kā rezultātā atjaunošanas darbu pieredze Komisijas ieskatā nav uzskatāma par Atklāta konkursa nolikuma prasībām atbilstošu pieredzi iepirkuma priekšmeta mērķa realizācijā. Komisija paziņo, ka tiks veikti grozījumi Atklāta konkursa nolikuma 7.5.4.-7.5.10.punktu a)apakšpunkta prasību zemsvītras atsaucēs, svītrojot vārdus “atjaunošana” un aizvietojot ar vārdiem “jaunbūve”.</w:t>
            </w:r>
          </w:p>
        </w:tc>
      </w:tr>
    </w:tbl>
    <w:p w:rsidR="00AD677B" w:rsidRDefault="00AD677B" w:rsidP="00AD677B"/>
    <w:p w:rsidR="00816285" w:rsidRPr="00CC715D" w:rsidRDefault="00816285" w:rsidP="00AD677B">
      <w:bookmarkStart w:id="1" w:name="_GoBack"/>
      <w:bookmarkEnd w:id="1"/>
    </w:p>
    <w:p w:rsidR="00BD1A99" w:rsidRPr="00B875CF" w:rsidRDefault="00B875CF" w:rsidP="00B875CF">
      <w:pPr>
        <w:tabs>
          <w:tab w:val="right" w:pos="9071"/>
        </w:tabs>
        <w:spacing w:before="0" w:after="0"/>
        <w:contextualSpacing/>
        <w:rPr>
          <w:rFonts w:eastAsia="Times New Roman"/>
          <w:lang w:eastAsia="lv-LV"/>
        </w:rPr>
      </w:pPr>
      <w:r w:rsidRPr="00CC715D">
        <w:rPr>
          <w:rFonts w:eastAsia="Times New Roman"/>
          <w:lang w:eastAsia="lv-LV"/>
        </w:rPr>
        <w:t>Iepirkuma komisijas priekšsēdētāja</w:t>
      </w:r>
      <w:r w:rsidRPr="00CC715D">
        <w:rPr>
          <w:rFonts w:eastAsia="Times New Roman"/>
          <w:lang w:eastAsia="lv-LV"/>
        </w:rPr>
        <w:tab/>
      </w:r>
      <w:proofErr w:type="spellStart"/>
      <w:r>
        <w:rPr>
          <w:rFonts w:eastAsia="Times New Roman"/>
          <w:lang w:eastAsia="lv-LV"/>
        </w:rPr>
        <w:t>S.Mazlazdiņa</w:t>
      </w:r>
      <w:proofErr w:type="spellEnd"/>
    </w:p>
    <w:p w:rsidR="00E50815" w:rsidRPr="000F7C9F" w:rsidRDefault="00E50815" w:rsidP="000F7C9F">
      <w:pPr>
        <w:tabs>
          <w:tab w:val="left" w:pos="3036"/>
        </w:tabs>
        <w:rPr>
          <w:lang w:eastAsia="lv-LV"/>
        </w:rPr>
      </w:pPr>
    </w:p>
    <w:sectPr w:rsidR="00E50815" w:rsidRPr="000F7C9F" w:rsidSect="00816285">
      <w:footerReference w:type="default" r:id="rId16"/>
      <w:headerReference w:type="first" r:id="rId17"/>
      <w:footerReference w:type="first" r:id="rId18"/>
      <w:pgSz w:w="11906" w:h="16838" w:code="9"/>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33B3" w:rsidRDefault="008633B3" w:rsidP="007C0E44">
      <w:pPr>
        <w:spacing w:before="0" w:after="0"/>
      </w:pPr>
      <w:r>
        <w:separator/>
      </w:r>
    </w:p>
  </w:endnote>
  <w:endnote w:type="continuationSeparator" w:id="0">
    <w:p w:rsidR="008633B3" w:rsidRDefault="008633B3" w:rsidP="007C0E4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038" w:rsidRDefault="00BF3038" w:rsidP="00BF3038">
    <w:pPr>
      <w:jc w:val="center"/>
      <w:rPr>
        <w:lang w:eastAsia="lv-LV"/>
      </w:rPr>
    </w:pPr>
    <w:r>
      <w:rPr>
        <w:lang w:eastAsia="lv-LV"/>
      </w:rPr>
      <w:t>ŠIS DOKUMENTS IR ELEKTRONISKI PARAKSTĪTS AR DROŠU ELEKTRONISKO PARAKSTU UN SATUR LAIKA ZĪMOGU</w:t>
    </w:r>
  </w:p>
  <w:p w:rsidR="009A0BBD" w:rsidRDefault="009A0B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43A" w:rsidRDefault="002E443A" w:rsidP="002E443A">
    <w:pPr>
      <w:jc w:val="center"/>
      <w:rPr>
        <w:lang w:eastAsia="lv-LV"/>
      </w:rPr>
    </w:pPr>
    <w:bookmarkStart w:id="2" w:name="_Hlk57807900"/>
    <w:r>
      <w:rPr>
        <w:lang w:eastAsia="lv-LV"/>
      </w:rPr>
      <w:t>ŠIS DOKUMENTS IR ELEKTRONISKI PARAKSTĪTS AR DROŠU ELEKTRONISKO PARAKSTU UN SATUR LAIKA ZĪMOGU</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33B3" w:rsidRDefault="008633B3" w:rsidP="007C0E44">
      <w:pPr>
        <w:spacing w:before="0" w:after="0"/>
      </w:pPr>
      <w:r>
        <w:separator/>
      </w:r>
    </w:p>
  </w:footnote>
  <w:footnote w:type="continuationSeparator" w:id="0">
    <w:p w:rsidR="008633B3" w:rsidRDefault="008633B3" w:rsidP="007C0E4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07D2" w:rsidRPr="003A07D2" w:rsidRDefault="00362CE4" w:rsidP="003A07D2">
    <w:pPr>
      <w:pStyle w:val="NoSpacing"/>
      <w:tabs>
        <w:tab w:val="center" w:pos="3686"/>
      </w:tabs>
      <w:spacing w:beforeLines="20" w:before="48"/>
      <w:rPr>
        <w:rFonts w:ascii="Arial" w:hAnsi="Arial" w:cs="Arial"/>
        <w:caps/>
        <w:spacing w:val="-2"/>
        <w:sz w:val="22"/>
        <w:szCs w:val="22"/>
      </w:rPr>
    </w:pPr>
    <w:r>
      <w:rPr>
        <w:rFonts w:ascii="Arial" w:hAnsi="Arial" w:cs="Arial"/>
        <w:caps/>
        <w:noProof/>
        <w:spacing w:val="-2"/>
        <w:sz w:val="22"/>
        <w:szCs w:val="22"/>
      </w:rPr>
      <mc:AlternateContent>
        <mc:Choice Requires="wps">
          <w:drawing>
            <wp:anchor distT="0" distB="0" distL="114300" distR="114300" simplePos="0" relativeHeight="251658240" behindDoc="0" locked="0" layoutInCell="1" allowOverlap="1">
              <wp:simplePos x="0" y="0"/>
              <wp:positionH relativeFrom="column">
                <wp:posOffset>3369945</wp:posOffset>
              </wp:positionH>
              <wp:positionV relativeFrom="paragraph">
                <wp:posOffset>-85725</wp:posOffset>
              </wp:positionV>
              <wp:extent cx="2453640" cy="90043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45D89" w:rsidRPr="003F71B5" w:rsidRDefault="00F45D89" w:rsidP="00F45D89">
                          <w:pPr>
                            <w:spacing w:before="0"/>
                            <w:jc w:val="right"/>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5.35pt;margin-top:-6.75pt;width:193.2pt;height:7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" stroked="f">
              <v:textbox>
                <w:txbxContent>
                  <w:p w:rsidR="00F45D89" w:rsidRPr="003F71B5" w:rsidRDefault="00F45D89" w:rsidP="00F45D89">
                    <w:pPr>
                      <w:spacing w:before="0"/>
                      <w:jc w:val="right"/>
                      <w:rPr>
                        <w:sz w:val="18"/>
                        <w:szCs w:val="18"/>
                      </w:rPr>
                    </w:pPr>
                  </w:p>
                </w:txbxContent>
              </v:textbox>
            </v:shape>
          </w:pict>
        </mc:Fallback>
      </mc:AlternateContent>
    </w:r>
    <w:r>
      <w:rPr>
        <w:rFonts w:ascii="Arial" w:hAnsi="Arial" w:cs="Arial"/>
        <w:caps/>
        <w:noProof/>
        <w:spacing w:val="-2"/>
        <w:sz w:val="22"/>
        <w:szCs w:val="22"/>
      </w:rPr>
      <w:drawing>
        <wp:anchor distT="0" distB="0" distL="114300" distR="114300" simplePos="0" relativeHeight="251657216" behindDoc="1" locked="0" layoutInCell="1" allowOverlap="1">
          <wp:simplePos x="0" y="0"/>
          <wp:positionH relativeFrom="column">
            <wp:posOffset>213360</wp:posOffset>
          </wp:positionH>
          <wp:positionV relativeFrom="paragraph">
            <wp:posOffset>-19050</wp:posOffset>
          </wp:positionV>
          <wp:extent cx="2823845" cy="542925"/>
          <wp:effectExtent l="0" t="0" r="0" b="0"/>
          <wp:wrapNone/>
          <wp:docPr id="2" name="Picture 4" descr="E:\Darbs\Stradini\Stradinu logo [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rbs\Stradini\Stradinu logo [RGB].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5510" w:rsidRDefault="00C85510" w:rsidP="00F2701B">
    <w:pPr>
      <w:pStyle w:val="NoSpacing"/>
      <w:spacing w:before="40"/>
      <w:ind w:left="1418"/>
      <w:rPr>
        <w:rFonts w:ascii="Arial" w:hAnsi="Arial" w:cs="Arial"/>
        <w:caps/>
        <w:spacing w:val="-2"/>
        <w:sz w:val="16"/>
        <w:szCs w:val="16"/>
      </w:rPr>
    </w:pPr>
  </w:p>
  <w:p w:rsidR="00C85510" w:rsidRDefault="00C85510" w:rsidP="00F2701B">
    <w:pPr>
      <w:pStyle w:val="NoSpacing"/>
      <w:spacing w:before="40"/>
      <w:ind w:left="1418"/>
      <w:rPr>
        <w:rFonts w:ascii="Arial" w:hAnsi="Arial" w:cs="Arial"/>
        <w:caps/>
        <w:spacing w:val="-2"/>
        <w:sz w:val="16"/>
        <w:szCs w:val="16"/>
      </w:rPr>
    </w:pPr>
  </w:p>
  <w:p w:rsidR="00C85510" w:rsidRDefault="00C85510" w:rsidP="00F2701B">
    <w:pPr>
      <w:pStyle w:val="NoSpacing"/>
      <w:spacing w:before="40"/>
      <w:ind w:left="1418"/>
      <w:rPr>
        <w:rFonts w:ascii="Arial" w:hAnsi="Arial" w:cs="Arial"/>
        <w:caps/>
        <w:spacing w:val="-2"/>
        <w:sz w:val="16"/>
        <w:szCs w:val="16"/>
      </w:rPr>
    </w:pPr>
  </w:p>
  <w:p w:rsidR="003A07D2" w:rsidRPr="006D60B4" w:rsidRDefault="003A07D2" w:rsidP="00C85510">
    <w:pPr>
      <w:pStyle w:val="NoSpacing"/>
      <w:spacing w:before="40"/>
      <w:ind w:left="1701"/>
      <w:rPr>
        <w:rFonts w:ascii="Arial" w:hAnsi="Arial" w:cs="Arial"/>
        <w:caps/>
        <w:spacing w:val="-2"/>
        <w:sz w:val="16"/>
        <w:szCs w:val="16"/>
      </w:rPr>
    </w:pPr>
    <w:r w:rsidRPr="006D60B4">
      <w:rPr>
        <w:rFonts w:ascii="Arial" w:hAnsi="Arial" w:cs="Arial"/>
        <w:caps/>
        <w:spacing w:val="-2"/>
        <w:sz w:val="16"/>
        <w:szCs w:val="16"/>
      </w:rPr>
      <w:t>R</w:t>
    </w:r>
    <w:r>
      <w:rPr>
        <w:rFonts w:ascii="Arial" w:hAnsi="Arial" w:cs="Arial"/>
        <w:caps/>
        <w:spacing w:val="-2"/>
        <w:sz w:val="16"/>
        <w:szCs w:val="16"/>
      </w:rPr>
      <w:t>Ī</w:t>
    </w:r>
    <w:r w:rsidRPr="006D60B4">
      <w:rPr>
        <w:rFonts w:ascii="Arial" w:hAnsi="Arial" w:cs="Arial"/>
        <w:caps/>
        <w:spacing w:val="-2"/>
        <w:sz w:val="16"/>
        <w:szCs w:val="16"/>
      </w:rPr>
      <w:t>gas Stradiņa universitāte</w:t>
    </w:r>
  </w:p>
  <w:p w:rsidR="003A07D2" w:rsidRPr="00EC6555" w:rsidRDefault="003A07D2" w:rsidP="00C85510">
    <w:pPr>
      <w:pStyle w:val="NoSpacing"/>
      <w:spacing w:before="40"/>
      <w:ind w:left="1701"/>
      <w:rPr>
        <w:rFonts w:ascii="Arial" w:hAnsi="Arial" w:cs="Arial"/>
        <w:sz w:val="16"/>
        <w:szCs w:val="16"/>
      </w:rPr>
    </w:pPr>
    <w:r w:rsidRPr="00EC6555">
      <w:rPr>
        <w:rFonts w:ascii="Arial" w:hAnsi="Arial" w:cs="Arial"/>
        <w:sz w:val="16"/>
        <w:szCs w:val="16"/>
      </w:rPr>
      <w:t>Reģ</w:t>
    </w:r>
    <w:r>
      <w:rPr>
        <w:rFonts w:ascii="Arial" w:hAnsi="Arial" w:cs="Arial"/>
        <w:sz w:val="16"/>
        <w:szCs w:val="16"/>
      </w:rPr>
      <w:t xml:space="preserve">istrācijas </w:t>
    </w:r>
    <w:r w:rsidRPr="00EC6555">
      <w:rPr>
        <w:rFonts w:ascii="Arial" w:hAnsi="Arial" w:cs="Arial"/>
        <w:sz w:val="16"/>
        <w:szCs w:val="16"/>
      </w:rPr>
      <w:t>Nr. 90000013771</w:t>
    </w:r>
  </w:p>
  <w:p w:rsidR="003A07D2" w:rsidRPr="00EC6555" w:rsidRDefault="003A07D2" w:rsidP="00C85510">
    <w:pPr>
      <w:pStyle w:val="NoSpacing"/>
      <w:spacing w:before="40"/>
      <w:ind w:left="1701"/>
      <w:rPr>
        <w:rFonts w:ascii="Arial" w:hAnsi="Arial" w:cs="Arial"/>
        <w:sz w:val="16"/>
        <w:szCs w:val="16"/>
      </w:rPr>
    </w:pPr>
    <w:r w:rsidRPr="00EC6555">
      <w:rPr>
        <w:rFonts w:ascii="Arial" w:hAnsi="Arial" w:cs="Arial"/>
        <w:sz w:val="16"/>
        <w:szCs w:val="16"/>
      </w:rPr>
      <w:t>Dzirciema 16, Rīga, LV-1007, Latvija</w:t>
    </w:r>
  </w:p>
  <w:p w:rsidR="00D86A54" w:rsidRDefault="003A07D2" w:rsidP="00C85510">
    <w:pPr>
      <w:pStyle w:val="NoSpacing"/>
      <w:spacing w:before="40"/>
      <w:ind w:left="1701"/>
      <w:rPr>
        <w:rFonts w:ascii="Arial" w:hAnsi="Arial" w:cs="Arial"/>
        <w:sz w:val="16"/>
        <w:szCs w:val="16"/>
      </w:rPr>
    </w:pPr>
    <w:r w:rsidRPr="00D86A54">
      <w:rPr>
        <w:rFonts w:ascii="Arial" w:hAnsi="Arial" w:cs="Arial"/>
        <w:sz w:val="16"/>
        <w:szCs w:val="16"/>
      </w:rPr>
      <w:t xml:space="preserve">Tālr. </w:t>
    </w:r>
    <w:hyperlink r:id="rId2" w:history="1">
      <w:r w:rsidR="00D86A54" w:rsidRPr="00D86A54">
        <w:rPr>
          <w:rStyle w:val="Hyperlink"/>
          <w:rFonts w:ascii="Arial" w:hAnsi="Arial" w:cs="Arial"/>
          <w:color w:val="auto"/>
          <w:sz w:val="16"/>
          <w:szCs w:val="16"/>
          <w:u w:val="none"/>
          <w:bdr w:val="none" w:sz="0" w:space="0" w:color="auto" w:frame="1"/>
        </w:rPr>
        <w:t>67321321</w:t>
      </w:r>
    </w:hyperlink>
    <w:r w:rsidR="00C87C99">
      <w:rPr>
        <w:rFonts w:ascii="Arial" w:hAnsi="Arial" w:cs="Arial"/>
        <w:sz w:val="16"/>
        <w:szCs w:val="16"/>
      </w:rPr>
      <w:t>, 67409219</w:t>
    </w:r>
  </w:p>
  <w:p w:rsidR="003A07D2" w:rsidRPr="006D60B4" w:rsidRDefault="003A07D2" w:rsidP="00C85510">
    <w:pPr>
      <w:pStyle w:val="NoSpacing"/>
      <w:spacing w:before="40"/>
      <w:ind w:left="1701"/>
      <w:rPr>
        <w:rFonts w:ascii="Arial" w:hAnsi="Arial" w:cs="Arial"/>
        <w:sz w:val="16"/>
        <w:szCs w:val="16"/>
      </w:rPr>
    </w:pPr>
    <w:r w:rsidRPr="00EC6555">
      <w:rPr>
        <w:rFonts w:ascii="Arial" w:hAnsi="Arial" w:cs="Arial"/>
        <w:sz w:val="16"/>
        <w:szCs w:val="16"/>
      </w:rPr>
      <w:t>E-pasts: rsu@rsu.lv, www.rsu.lv</w:t>
    </w:r>
  </w:p>
  <w:p w:rsidR="003A07D2" w:rsidRPr="00CA4EE2" w:rsidRDefault="003A07D2" w:rsidP="003A07D2">
    <w:pPr>
      <w:pStyle w:val="Header"/>
      <w:spacing w:beforeLines="20" w:before="48" w:after="0"/>
      <w:rPr>
        <w:rFonts w:ascii="Arial" w:hAnsi="Arial" w:cs="Arial"/>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73C309A"/>
    <w:lvl w:ilvl="0">
      <w:start w:val="1"/>
      <w:numFmt w:val="decimal"/>
      <w:lvlText w:val="%1."/>
      <w:lvlJc w:val="left"/>
      <w:pPr>
        <w:ind w:left="1070" w:hanging="360"/>
      </w:pPr>
      <w:rPr>
        <w:rFonts w:ascii="Times New Roman" w:eastAsia="Times New Roman" w:hAnsi="Times New Roman" w:cs="Times New Roman"/>
        <w:b w:val="0"/>
        <w:i w:val="0"/>
      </w:rPr>
    </w:lvl>
    <w:lvl w:ilvl="1">
      <w:start w:val="1"/>
      <w:numFmt w:val="decimal"/>
      <w:lvlText w:val="%1.%2."/>
      <w:lvlJc w:val="left"/>
      <w:pPr>
        <w:ind w:left="1502" w:hanging="432"/>
      </w:pPr>
      <w:rPr>
        <w:b w:val="0"/>
      </w:rPr>
    </w:lvl>
    <w:lvl w:ilvl="2">
      <w:start w:val="1"/>
      <w:numFmt w:val="decimal"/>
      <w:lvlText w:val="%1.%2.%3."/>
      <w:lvlJc w:val="left"/>
      <w:pPr>
        <w:ind w:left="1934" w:hanging="504"/>
      </w:pPr>
    </w:lvl>
    <w:lvl w:ilvl="3">
      <w:start w:val="1"/>
      <w:numFmt w:val="decimal"/>
      <w:lvlText w:val="%1.%2.%3.%4."/>
      <w:lvlJc w:val="left"/>
      <w:pPr>
        <w:ind w:left="2438" w:hanging="648"/>
      </w:pPr>
      <w:rPr>
        <w:b w:val="0"/>
        <w:i w:val="0"/>
      </w:rPr>
    </w:lvl>
    <w:lvl w:ilvl="4">
      <w:start w:val="1"/>
      <w:numFmt w:val="decimal"/>
      <w:lvlText w:val="%1.%2.%3.%4.%5."/>
      <w:lvlJc w:val="left"/>
      <w:pPr>
        <w:ind w:left="2942" w:hanging="792"/>
      </w:pPr>
    </w:lvl>
    <w:lvl w:ilvl="5">
      <w:start w:val="1"/>
      <w:numFmt w:val="decimal"/>
      <w:lvlText w:val="%1.%2.%3.%4.%5.%6."/>
      <w:lvlJc w:val="left"/>
      <w:pPr>
        <w:ind w:left="3446" w:hanging="936"/>
      </w:pPr>
    </w:lvl>
    <w:lvl w:ilvl="6">
      <w:start w:val="1"/>
      <w:numFmt w:val="decimal"/>
      <w:lvlText w:val="%1.%2.%3.%4.%5.%6.%7."/>
      <w:lvlJc w:val="left"/>
      <w:pPr>
        <w:ind w:left="3950" w:hanging="1080"/>
      </w:pPr>
    </w:lvl>
    <w:lvl w:ilvl="7">
      <w:start w:val="1"/>
      <w:numFmt w:val="decimal"/>
      <w:lvlText w:val="%1.%2.%3.%4.%5.%6.%7.%8."/>
      <w:lvlJc w:val="left"/>
      <w:pPr>
        <w:ind w:left="4454" w:hanging="1224"/>
      </w:pPr>
    </w:lvl>
    <w:lvl w:ilvl="8">
      <w:start w:val="1"/>
      <w:numFmt w:val="decimal"/>
      <w:lvlText w:val="%1.%2.%3.%4.%5.%6.%7.%8.%9."/>
      <w:lvlJc w:val="left"/>
      <w:pPr>
        <w:ind w:left="5030" w:hanging="1440"/>
      </w:pPr>
    </w:lvl>
  </w:abstractNum>
  <w:abstractNum w:abstractNumId="1" w15:restartNumberingAfterBreak="0">
    <w:nsid w:val="04BF33CC"/>
    <w:multiLevelType w:val="hybridMultilevel"/>
    <w:tmpl w:val="D0B8B4B6"/>
    <w:lvl w:ilvl="0" w:tplc="4692C9C0">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1">
    <w:nsid w:val="0BAF5B10"/>
    <w:multiLevelType w:val="hybridMultilevel"/>
    <w:tmpl w:val="6286068C"/>
    <w:lvl w:ilvl="0" w:tplc="2A6847F6">
      <w:start w:val="1"/>
      <w:numFmt w:val="bullet"/>
      <w:lvlText w:val=""/>
      <w:lvlJc w:val="left"/>
      <w:pPr>
        <w:ind w:left="720" w:hanging="360"/>
      </w:pPr>
      <w:rPr>
        <w:rFonts w:ascii="Symbol" w:hAnsi="Symbol" w:hint="default"/>
      </w:rPr>
    </w:lvl>
    <w:lvl w:ilvl="1" w:tplc="23B68064" w:tentative="1">
      <w:start w:val="1"/>
      <w:numFmt w:val="bullet"/>
      <w:lvlText w:val="o"/>
      <w:lvlJc w:val="left"/>
      <w:pPr>
        <w:ind w:left="1440" w:hanging="360"/>
      </w:pPr>
      <w:rPr>
        <w:rFonts w:ascii="Courier New" w:hAnsi="Courier New" w:cs="Courier New" w:hint="default"/>
      </w:rPr>
    </w:lvl>
    <w:lvl w:ilvl="2" w:tplc="FF8C3392" w:tentative="1">
      <w:start w:val="1"/>
      <w:numFmt w:val="bullet"/>
      <w:lvlText w:val=""/>
      <w:lvlJc w:val="left"/>
      <w:pPr>
        <w:ind w:left="2160" w:hanging="360"/>
      </w:pPr>
      <w:rPr>
        <w:rFonts w:ascii="Wingdings" w:hAnsi="Wingdings" w:hint="default"/>
      </w:rPr>
    </w:lvl>
    <w:lvl w:ilvl="3" w:tplc="C75A6D72" w:tentative="1">
      <w:start w:val="1"/>
      <w:numFmt w:val="bullet"/>
      <w:lvlText w:val=""/>
      <w:lvlJc w:val="left"/>
      <w:pPr>
        <w:ind w:left="2880" w:hanging="360"/>
      </w:pPr>
      <w:rPr>
        <w:rFonts w:ascii="Symbol" w:hAnsi="Symbol" w:hint="default"/>
      </w:rPr>
    </w:lvl>
    <w:lvl w:ilvl="4" w:tplc="0908BEAC" w:tentative="1">
      <w:start w:val="1"/>
      <w:numFmt w:val="bullet"/>
      <w:lvlText w:val="o"/>
      <w:lvlJc w:val="left"/>
      <w:pPr>
        <w:ind w:left="3600" w:hanging="360"/>
      </w:pPr>
      <w:rPr>
        <w:rFonts w:ascii="Courier New" w:hAnsi="Courier New" w:cs="Courier New" w:hint="default"/>
      </w:rPr>
    </w:lvl>
    <w:lvl w:ilvl="5" w:tplc="83EA06D0" w:tentative="1">
      <w:start w:val="1"/>
      <w:numFmt w:val="bullet"/>
      <w:lvlText w:val=""/>
      <w:lvlJc w:val="left"/>
      <w:pPr>
        <w:ind w:left="4320" w:hanging="360"/>
      </w:pPr>
      <w:rPr>
        <w:rFonts w:ascii="Wingdings" w:hAnsi="Wingdings" w:hint="default"/>
      </w:rPr>
    </w:lvl>
    <w:lvl w:ilvl="6" w:tplc="9516FDA0" w:tentative="1">
      <w:start w:val="1"/>
      <w:numFmt w:val="bullet"/>
      <w:lvlText w:val=""/>
      <w:lvlJc w:val="left"/>
      <w:pPr>
        <w:ind w:left="5040" w:hanging="360"/>
      </w:pPr>
      <w:rPr>
        <w:rFonts w:ascii="Symbol" w:hAnsi="Symbol" w:hint="default"/>
      </w:rPr>
    </w:lvl>
    <w:lvl w:ilvl="7" w:tplc="B18A8F6A" w:tentative="1">
      <w:start w:val="1"/>
      <w:numFmt w:val="bullet"/>
      <w:lvlText w:val="o"/>
      <w:lvlJc w:val="left"/>
      <w:pPr>
        <w:ind w:left="5760" w:hanging="360"/>
      </w:pPr>
      <w:rPr>
        <w:rFonts w:ascii="Courier New" w:hAnsi="Courier New" w:cs="Courier New" w:hint="default"/>
      </w:rPr>
    </w:lvl>
    <w:lvl w:ilvl="8" w:tplc="7DE649EC" w:tentative="1">
      <w:start w:val="1"/>
      <w:numFmt w:val="bullet"/>
      <w:lvlText w:val=""/>
      <w:lvlJc w:val="left"/>
      <w:pPr>
        <w:ind w:left="6480" w:hanging="360"/>
      </w:pPr>
      <w:rPr>
        <w:rFonts w:ascii="Wingdings" w:hAnsi="Wingdings" w:hint="default"/>
      </w:rPr>
    </w:lvl>
  </w:abstractNum>
  <w:abstractNum w:abstractNumId="3" w15:restartNumberingAfterBreak="0">
    <w:nsid w:val="0E660A45"/>
    <w:multiLevelType w:val="hybridMultilevel"/>
    <w:tmpl w:val="569652D4"/>
    <w:lvl w:ilvl="0" w:tplc="BBA09B74">
      <w:start w:val="1"/>
      <w:numFmt w:val="decimal"/>
      <w:lvlText w:val="%1)"/>
      <w:lvlJc w:val="left"/>
      <w:pPr>
        <w:ind w:left="1080" w:hanging="360"/>
      </w:pPr>
      <w:rPr>
        <w:rFonts w:ascii="Calibri" w:hAnsi="Calibri" w:hint="default"/>
        <w:b w:val="0"/>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0312627"/>
    <w:multiLevelType w:val="hybridMultilevel"/>
    <w:tmpl w:val="AC90BB32"/>
    <w:lvl w:ilvl="0" w:tplc="0426000F">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32035AD6"/>
    <w:multiLevelType w:val="hybridMultilevel"/>
    <w:tmpl w:val="FE1E80B0"/>
    <w:lvl w:ilvl="0" w:tplc="2D7AF10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1">
    <w:nsid w:val="34513D60"/>
    <w:multiLevelType w:val="hybridMultilevel"/>
    <w:tmpl w:val="81CE2126"/>
    <w:lvl w:ilvl="0" w:tplc="D7FEBBBA">
      <w:start w:val="1"/>
      <w:numFmt w:val="bullet"/>
      <w:lvlText w:val=""/>
      <w:lvlJc w:val="left"/>
      <w:pPr>
        <w:ind w:left="720" w:hanging="360"/>
      </w:pPr>
      <w:rPr>
        <w:rFonts w:ascii="Symbol" w:hAnsi="Symbol" w:hint="default"/>
      </w:rPr>
    </w:lvl>
    <w:lvl w:ilvl="1" w:tplc="5BB46658" w:tentative="1">
      <w:start w:val="1"/>
      <w:numFmt w:val="bullet"/>
      <w:lvlText w:val="o"/>
      <w:lvlJc w:val="left"/>
      <w:pPr>
        <w:ind w:left="1440" w:hanging="360"/>
      </w:pPr>
      <w:rPr>
        <w:rFonts w:ascii="Courier New" w:hAnsi="Courier New" w:cs="Courier New" w:hint="default"/>
      </w:rPr>
    </w:lvl>
    <w:lvl w:ilvl="2" w:tplc="A448FBE8" w:tentative="1">
      <w:start w:val="1"/>
      <w:numFmt w:val="bullet"/>
      <w:lvlText w:val=""/>
      <w:lvlJc w:val="left"/>
      <w:pPr>
        <w:ind w:left="2160" w:hanging="360"/>
      </w:pPr>
      <w:rPr>
        <w:rFonts w:ascii="Wingdings" w:hAnsi="Wingdings" w:hint="default"/>
      </w:rPr>
    </w:lvl>
    <w:lvl w:ilvl="3" w:tplc="95DCB046" w:tentative="1">
      <w:start w:val="1"/>
      <w:numFmt w:val="bullet"/>
      <w:lvlText w:val=""/>
      <w:lvlJc w:val="left"/>
      <w:pPr>
        <w:ind w:left="2880" w:hanging="360"/>
      </w:pPr>
      <w:rPr>
        <w:rFonts w:ascii="Symbol" w:hAnsi="Symbol" w:hint="default"/>
      </w:rPr>
    </w:lvl>
    <w:lvl w:ilvl="4" w:tplc="EEBE8392" w:tentative="1">
      <w:start w:val="1"/>
      <w:numFmt w:val="bullet"/>
      <w:lvlText w:val="o"/>
      <w:lvlJc w:val="left"/>
      <w:pPr>
        <w:ind w:left="3600" w:hanging="360"/>
      </w:pPr>
      <w:rPr>
        <w:rFonts w:ascii="Courier New" w:hAnsi="Courier New" w:cs="Courier New" w:hint="default"/>
      </w:rPr>
    </w:lvl>
    <w:lvl w:ilvl="5" w:tplc="1DDCF3D2" w:tentative="1">
      <w:start w:val="1"/>
      <w:numFmt w:val="bullet"/>
      <w:lvlText w:val=""/>
      <w:lvlJc w:val="left"/>
      <w:pPr>
        <w:ind w:left="4320" w:hanging="360"/>
      </w:pPr>
      <w:rPr>
        <w:rFonts w:ascii="Wingdings" w:hAnsi="Wingdings" w:hint="default"/>
      </w:rPr>
    </w:lvl>
    <w:lvl w:ilvl="6" w:tplc="5636E132" w:tentative="1">
      <w:start w:val="1"/>
      <w:numFmt w:val="bullet"/>
      <w:lvlText w:val=""/>
      <w:lvlJc w:val="left"/>
      <w:pPr>
        <w:ind w:left="5040" w:hanging="360"/>
      </w:pPr>
      <w:rPr>
        <w:rFonts w:ascii="Symbol" w:hAnsi="Symbol" w:hint="default"/>
      </w:rPr>
    </w:lvl>
    <w:lvl w:ilvl="7" w:tplc="B8A2996E" w:tentative="1">
      <w:start w:val="1"/>
      <w:numFmt w:val="bullet"/>
      <w:lvlText w:val="o"/>
      <w:lvlJc w:val="left"/>
      <w:pPr>
        <w:ind w:left="5760" w:hanging="360"/>
      </w:pPr>
      <w:rPr>
        <w:rFonts w:ascii="Courier New" w:hAnsi="Courier New" w:cs="Courier New" w:hint="default"/>
      </w:rPr>
    </w:lvl>
    <w:lvl w:ilvl="8" w:tplc="7F204B4A" w:tentative="1">
      <w:start w:val="1"/>
      <w:numFmt w:val="bullet"/>
      <w:lvlText w:val=""/>
      <w:lvlJc w:val="left"/>
      <w:pPr>
        <w:ind w:left="6480" w:hanging="360"/>
      </w:pPr>
      <w:rPr>
        <w:rFonts w:ascii="Wingdings" w:hAnsi="Wingdings" w:hint="default"/>
      </w:rPr>
    </w:lvl>
  </w:abstractNum>
  <w:abstractNum w:abstractNumId="7" w15:restartNumberingAfterBreak="0">
    <w:nsid w:val="3CEA14F6"/>
    <w:multiLevelType w:val="hybridMultilevel"/>
    <w:tmpl w:val="60086A5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3E14432E"/>
    <w:multiLevelType w:val="hybridMultilevel"/>
    <w:tmpl w:val="772A1E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282341D"/>
    <w:multiLevelType w:val="multilevel"/>
    <w:tmpl w:val="1E8AEB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4.%3."/>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Tabulaiiiii"/>
      <w:lvlText w:val="3.4.%3.%4."/>
      <w:lvlJc w:val="left"/>
      <w:rPr>
        <w:rFonts w:ascii="Times New Roman" w:hAnsi="Times New Roman" w:cs="Times New Roman" w:hint="default"/>
        <w:i w:val="0"/>
        <w:iCs w:val="0"/>
        <w:smallCaps w:val="0"/>
        <w:strike w:val="0"/>
        <w:dstrike w:val="0"/>
        <w:noProof w:val="0"/>
        <w:vanish w:val="0"/>
        <w:color w:val="000000"/>
        <w:spacing w:val="0"/>
        <w:kern w:val="0"/>
        <w:position w:val="0"/>
        <w:u w:val="none"/>
        <w:effect w:val="none"/>
        <w:vertAlign w:val="baseline"/>
        <w:em w:val="none"/>
        <w:lang w:val="x-none" w:eastAsia="x-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3F721F8"/>
    <w:multiLevelType w:val="hybridMultilevel"/>
    <w:tmpl w:val="62B2E34A"/>
    <w:lvl w:ilvl="0" w:tplc="72B05D80">
      <w:start w:val="1"/>
      <w:numFmt w:val="decimal"/>
      <w:lvlText w:val="%1)"/>
      <w:lvlJc w:val="left"/>
      <w:pPr>
        <w:ind w:left="939" w:hanging="372"/>
      </w:pPr>
      <w:rPr>
        <w:rFonts w:eastAsia="Times New Roman" w:hint="default"/>
        <w:color w:val="00000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491862CE"/>
    <w:multiLevelType w:val="hybridMultilevel"/>
    <w:tmpl w:val="0E201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F4550A3"/>
    <w:multiLevelType w:val="hybridMultilevel"/>
    <w:tmpl w:val="215E7F2C"/>
    <w:lvl w:ilvl="0" w:tplc="0966E91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52E028E8"/>
    <w:multiLevelType w:val="hybridMultilevel"/>
    <w:tmpl w:val="0D8C1CA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14" w15:restartNumberingAfterBreak="0">
    <w:nsid w:val="59C36188"/>
    <w:multiLevelType w:val="hybridMultilevel"/>
    <w:tmpl w:val="753C169A"/>
    <w:lvl w:ilvl="0" w:tplc="F44C973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606A0879"/>
    <w:multiLevelType w:val="hybridMultilevel"/>
    <w:tmpl w:val="A4D4068A"/>
    <w:lvl w:ilvl="0" w:tplc="047437C2">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62C3162C"/>
    <w:multiLevelType w:val="multilevel"/>
    <w:tmpl w:val="B0B245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C9F7044"/>
    <w:multiLevelType w:val="hybridMultilevel"/>
    <w:tmpl w:val="BBA68070"/>
    <w:lvl w:ilvl="0" w:tplc="F0A485DE">
      <w:start w:val="1"/>
      <w:numFmt w:val="lowerLetter"/>
      <w:lvlText w:val="%1)"/>
      <w:lvlJc w:val="left"/>
      <w:pPr>
        <w:ind w:left="1080" w:hanging="360"/>
      </w:pPr>
      <w:rPr>
        <w:rFonts w:hint="default"/>
        <w:b w:val="0"/>
        <w:strike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DD84791"/>
    <w:multiLevelType w:val="hybridMultilevel"/>
    <w:tmpl w:val="5434C2EC"/>
    <w:lvl w:ilvl="0" w:tplc="87622DC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760851EB"/>
    <w:multiLevelType w:val="multilevel"/>
    <w:tmpl w:val="E1343DB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2422" w:hanging="72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429" w:hanging="720"/>
      </w:pPr>
      <w:rPr>
        <w:rFonts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 w15:restartNumberingAfterBreak="0">
    <w:nsid w:val="7E2F3157"/>
    <w:multiLevelType w:val="multilevel"/>
    <w:tmpl w:val="09600BB0"/>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6"/>
  </w:num>
  <w:num w:numId="3">
    <w:abstractNumId w:val="10"/>
  </w:num>
  <w:num w:numId="4">
    <w:abstractNumId w:val="14"/>
  </w:num>
  <w:num w:numId="5">
    <w:abstractNumId w:val="1"/>
  </w:num>
  <w:num w:numId="6">
    <w:abstractNumId w:val="5"/>
  </w:num>
  <w:num w:numId="7">
    <w:abstractNumId w:val="18"/>
  </w:num>
  <w:num w:numId="8">
    <w:abstractNumId w:val="4"/>
  </w:num>
  <w:num w:numId="9">
    <w:abstractNumId w:val="12"/>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
  </w:num>
  <w:num w:numId="13">
    <w:abstractNumId w:val="11"/>
  </w:num>
  <w:num w:numId="14">
    <w:abstractNumId w:val="9"/>
  </w:num>
  <w:num w:numId="15">
    <w:abstractNumId w:val="17"/>
  </w:num>
  <w:num w:numId="16">
    <w:abstractNumId w:val="20"/>
  </w:num>
  <w:num w:numId="17">
    <w:abstractNumId w:val="8"/>
  </w:num>
  <w:num w:numId="18">
    <w:abstractNumId w:val="19"/>
  </w:num>
  <w:num w:numId="19">
    <w:abstractNumId w:val="1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1CC"/>
    <w:rsid w:val="00000478"/>
    <w:rsid w:val="00001766"/>
    <w:rsid w:val="00023B41"/>
    <w:rsid w:val="000516BC"/>
    <w:rsid w:val="000532EE"/>
    <w:rsid w:val="000614C1"/>
    <w:rsid w:val="00062EC8"/>
    <w:rsid w:val="00065BD9"/>
    <w:rsid w:val="00077116"/>
    <w:rsid w:val="000A1726"/>
    <w:rsid w:val="000F3CA7"/>
    <w:rsid w:val="000F3F56"/>
    <w:rsid w:val="000F7C9F"/>
    <w:rsid w:val="00111E4E"/>
    <w:rsid w:val="00121B20"/>
    <w:rsid w:val="0018242B"/>
    <w:rsid w:val="00184FAF"/>
    <w:rsid w:val="001A1D1F"/>
    <w:rsid w:val="001C39B5"/>
    <w:rsid w:val="001E4277"/>
    <w:rsid w:val="00216648"/>
    <w:rsid w:val="00221FA7"/>
    <w:rsid w:val="002372DF"/>
    <w:rsid w:val="0025015C"/>
    <w:rsid w:val="00251945"/>
    <w:rsid w:val="00256883"/>
    <w:rsid w:val="002622D8"/>
    <w:rsid w:val="00270A83"/>
    <w:rsid w:val="002714A3"/>
    <w:rsid w:val="002A74DA"/>
    <w:rsid w:val="002B68DF"/>
    <w:rsid w:val="002B70AA"/>
    <w:rsid w:val="002D5C80"/>
    <w:rsid w:val="002E443A"/>
    <w:rsid w:val="002E4EB8"/>
    <w:rsid w:val="002F56C9"/>
    <w:rsid w:val="00301589"/>
    <w:rsid w:val="003140D7"/>
    <w:rsid w:val="003163A2"/>
    <w:rsid w:val="003220FF"/>
    <w:rsid w:val="003223CC"/>
    <w:rsid w:val="00326573"/>
    <w:rsid w:val="003326AC"/>
    <w:rsid w:val="00357807"/>
    <w:rsid w:val="0036161A"/>
    <w:rsid w:val="00362CE4"/>
    <w:rsid w:val="00376394"/>
    <w:rsid w:val="0039495D"/>
    <w:rsid w:val="003A07D2"/>
    <w:rsid w:val="003A7D66"/>
    <w:rsid w:val="003C1039"/>
    <w:rsid w:val="003D1959"/>
    <w:rsid w:val="003D5F10"/>
    <w:rsid w:val="003E1F84"/>
    <w:rsid w:val="003F71B5"/>
    <w:rsid w:val="004054B9"/>
    <w:rsid w:val="00441DF5"/>
    <w:rsid w:val="0044791E"/>
    <w:rsid w:val="00457453"/>
    <w:rsid w:val="00466270"/>
    <w:rsid w:val="0049413D"/>
    <w:rsid w:val="004B3AFD"/>
    <w:rsid w:val="004D262D"/>
    <w:rsid w:val="004E1C14"/>
    <w:rsid w:val="004F3DC4"/>
    <w:rsid w:val="00531FDE"/>
    <w:rsid w:val="00540ADD"/>
    <w:rsid w:val="0054659A"/>
    <w:rsid w:val="00596400"/>
    <w:rsid w:val="005B6080"/>
    <w:rsid w:val="005D1F2D"/>
    <w:rsid w:val="005D2172"/>
    <w:rsid w:val="005D5FAC"/>
    <w:rsid w:val="005F0CE5"/>
    <w:rsid w:val="006073C5"/>
    <w:rsid w:val="00616CAE"/>
    <w:rsid w:val="00624BAD"/>
    <w:rsid w:val="0064694D"/>
    <w:rsid w:val="006572D3"/>
    <w:rsid w:val="006822E8"/>
    <w:rsid w:val="006841FB"/>
    <w:rsid w:val="00692CF7"/>
    <w:rsid w:val="00696352"/>
    <w:rsid w:val="00696AE4"/>
    <w:rsid w:val="006C4FFF"/>
    <w:rsid w:val="006D2CB9"/>
    <w:rsid w:val="006D60B4"/>
    <w:rsid w:val="00704AD3"/>
    <w:rsid w:val="00717428"/>
    <w:rsid w:val="00723F43"/>
    <w:rsid w:val="00751798"/>
    <w:rsid w:val="00753C53"/>
    <w:rsid w:val="00771115"/>
    <w:rsid w:val="0077515D"/>
    <w:rsid w:val="00784AA5"/>
    <w:rsid w:val="00790039"/>
    <w:rsid w:val="007B343C"/>
    <w:rsid w:val="007C0E44"/>
    <w:rsid w:val="007C4F50"/>
    <w:rsid w:val="007E00B2"/>
    <w:rsid w:val="007F3582"/>
    <w:rsid w:val="0080073A"/>
    <w:rsid w:val="00802116"/>
    <w:rsid w:val="00816285"/>
    <w:rsid w:val="0084163F"/>
    <w:rsid w:val="008471AC"/>
    <w:rsid w:val="008633B3"/>
    <w:rsid w:val="008816D8"/>
    <w:rsid w:val="0088379D"/>
    <w:rsid w:val="00885FDE"/>
    <w:rsid w:val="0089035A"/>
    <w:rsid w:val="008A2AF6"/>
    <w:rsid w:val="008E52F7"/>
    <w:rsid w:val="00914E73"/>
    <w:rsid w:val="00915CA9"/>
    <w:rsid w:val="009271CC"/>
    <w:rsid w:val="00932FB5"/>
    <w:rsid w:val="00947B19"/>
    <w:rsid w:val="009909F5"/>
    <w:rsid w:val="0099426C"/>
    <w:rsid w:val="009A0BBD"/>
    <w:rsid w:val="009A166D"/>
    <w:rsid w:val="009A343E"/>
    <w:rsid w:val="009A5DAE"/>
    <w:rsid w:val="009C17FF"/>
    <w:rsid w:val="009E3125"/>
    <w:rsid w:val="00A00F37"/>
    <w:rsid w:val="00A1798C"/>
    <w:rsid w:val="00A2367A"/>
    <w:rsid w:val="00A30598"/>
    <w:rsid w:val="00A4249A"/>
    <w:rsid w:val="00A5051B"/>
    <w:rsid w:val="00A50DBD"/>
    <w:rsid w:val="00A54C7E"/>
    <w:rsid w:val="00A84AF1"/>
    <w:rsid w:val="00A85A2E"/>
    <w:rsid w:val="00A962F4"/>
    <w:rsid w:val="00AA2B3C"/>
    <w:rsid w:val="00AC2931"/>
    <w:rsid w:val="00AC2CBC"/>
    <w:rsid w:val="00AC760F"/>
    <w:rsid w:val="00AD677B"/>
    <w:rsid w:val="00AE104A"/>
    <w:rsid w:val="00AF5593"/>
    <w:rsid w:val="00AF77E7"/>
    <w:rsid w:val="00B0405F"/>
    <w:rsid w:val="00B31A38"/>
    <w:rsid w:val="00B41ECB"/>
    <w:rsid w:val="00B45AF3"/>
    <w:rsid w:val="00B63241"/>
    <w:rsid w:val="00B650DB"/>
    <w:rsid w:val="00B77066"/>
    <w:rsid w:val="00B770E3"/>
    <w:rsid w:val="00B875CF"/>
    <w:rsid w:val="00B905F0"/>
    <w:rsid w:val="00BD1A99"/>
    <w:rsid w:val="00BE2216"/>
    <w:rsid w:val="00BF2FB6"/>
    <w:rsid w:val="00BF3038"/>
    <w:rsid w:val="00BF4AAA"/>
    <w:rsid w:val="00C05D5F"/>
    <w:rsid w:val="00C11061"/>
    <w:rsid w:val="00C211A5"/>
    <w:rsid w:val="00C2479E"/>
    <w:rsid w:val="00C24E4D"/>
    <w:rsid w:val="00C32C7F"/>
    <w:rsid w:val="00C419F3"/>
    <w:rsid w:val="00C54245"/>
    <w:rsid w:val="00C611A3"/>
    <w:rsid w:val="00C72D48"/>
    <w:rsid w:val="00C7388A"/>
    <w:rsid w:val="00C85510"/>
    <w:rsid w:val="00C87C99"/>
    <w:rsid w:val="00CA4EE2"/>
    <w:rsid w:val="00CB7BE9"/>
    <w:rsid w:val="00CC715D"/>
    <w:rsid w:val="00CD49B9"/>
    <w:rsid w:val="00CD609E"/>
    <w:rsid w:val="00CF2140"/>
    <w:rsid w:val="00CF5CBE"/>
    <w:rsid w:val="00D044E7"/>
    <w:rsid w:val="00D20C3C"/>
    <w:rsid w:val="00D211BD"/>
    <w:rsid w:val="00D3391F"/>
    <w:rsid w:val="00D425EB"/>
    <w:rsid w:val="00D668F8"/>
    <w:rsid w:val="00D72944"/>
    <w:rsid w:val="00D763B3"/>
    <w:rsid w:val="00D84BB8"/>
    <w:rsid w:val="00D84E85"/>
    <w:rsid w:val="00D86A54"/>
    <w:rsid w:val="00D86A87"/>
    <w:rsid w:val="00D91A1D"/>
    <w:rsid w:val="00D93F33"/>
    <w:rsid w:val="00DB023E"/>
    <w:rsid w:val="00DB1B21"/>
    <w:rsid w:val="00DB2A24"/>
    <w:rsid w:val="00DC3CED"/>
    <w:rsid w:val="00DC4700"/>
    <w:rsid w:val="00DD234E"/>
    <w:rsid w:val="00DF0C24"/>
    <w:rsid w:val="00E00F35"/>
    <w:rsid w:val="00E33F47"/>
    <w:rsid w:val="00E355D5"/>
    <w:rsid w:val="00E50815"/>
    <w:rsid w:val="00EA02A0"/>
    <w:rsid w:val="00EA73E4"/>
    <w:rsid w:val="00EB3DE3"/>
    <w:rsid w:val="00EC6555"/>
    <w:rsid w:val="00EC7D4A"/>
    <w:rsid w:val="00ED03A0"/>
    <w:rsid w:val="00ED3B89"/>
    <w:rsid w:val="00ED62F2"/>
    <w:rsid w:val="00EE7A0D"/>
    <w:rsid w:val="00EF045F"/>
    <w:rsid w:val="00EF092A"/>
    <w:rsid w:val="00F142CC"/>
    <w:rsid w:val="00F171A3"/>
    <w:rsid w:val="00F208EB"/>
    <w:rsid w:val="00F2701B"/>
    <w:rsid w:val="00F45D89"/>
    <w:rsid w:val="00F64562"/>
    <w:rsid w:val="00F674C8"/>
    <w:rsid w:val="00F75702"/>
    <w:rsid w:val="00F80AC1"/>
    <w:rsid w:val="00F80DC0"/>
    <w:rsid w:val="00F8171F"/>
    <w:rsid w:val="00F9082E"/>
    <w:rsid w:val="00F93230"/>
    <w:rsid w:val="00F93258"/>
    <w:rsid w:val="00F95124"/>
    <w:rsid w:val="00FB54FC"/>
    <w:rsid w:val="00FD154F"/>
    <w:rsid w:val="00FD4437"/>
    <w:rsid w:val="00FD4DA3"/>
    <w:rsid w:val="00FF6C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43F53486"/>
  <w15:chartTrackingRefBased/>
  <w15:docId w15:val="{2D41D752-6629-4F5E-993A-5D07EE067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71CC"/>
    <w:pPr>
      <w:spacing w:before="60" w:after="60"/>
    </w:pPr>
    <w:rPr>
      <w:rFonts w:ascii="Times New Roman" w:hAnsi="Times New Roman"/>
      <w:sz w:val="24"/>
      <w:szCs w:val="24"/>
      <w:lang w:eastAsia="en-US"/>
    </w:rPr>
  </w:style>
  <w:style w:type="paragraph" w:styleId="Heading1">
    <w:name w:val="heading 1"/>
    <w:basedOn w:val="Normal"/>
    <w:next w:val="Normal"/>
    <w:link w:val="Heading1Char"/>
    <w:uiPriority w:val="9"/>
    <w:qFormat/>
    <w:rsid w:val="00CA4EE2"/>
    <w:pPr>
      <w:keepNext/>
      <w:keepLines/>
      <w:spacing w:before="360" w:after="120"/>
      <w:outlineLvl w:val="0"/>
    </w:pPr>
    <w:rPr>
      <w:rFonts w:eastAsia="Times New Roman"/>
      <w:b/>
      <w:bCs/>
      <w:color w:val="8E001C"/>
      <w:sz w:val="28"/>
      <w:szCs w:val="28"/>
    </w:rPr>
  </w:style>
  <w:style w:type="paragraph" w:styleId="Heading2">
    <w:name w:val="heading 2"/>
    <w:basedOn w:val="Normal"/>
    <w:next w:val="Normal"/>
    <w:link w:val="Heading2Char"/>
    <w:uiPriority w:val="9"/>
    <w:qFormat/>
    <w:rsid w:val="00CA4EE2"/>
    <w:pPr>
      <w:keepNext/>
      <w:keepLines/>
      <w:spacing w:before="160"/>
      <w:outlineLvl w:val="1"/>
    </w:pPr>
    <w:rPr>
      <w:rFonts w:eastAsia="Times New Roman"/>
      <w:b/>
      <w:bCs/>
      <w:color w:val="8E001C"/>
      <w:sz w:val="26"/>
      <w:szCs w:val="26"/>
    </w:rPr>
  </w:style>
  <w:style w:type="paragraph" w:styleId="Heading3">
    <w:name w:val="heading 3"/>
    <w:basedOn w:val="Normal"/>
    <w:next w:val="Normal"/>
    <w:link w:val="Heading3Char"/>
    <w:uiPriority w:val="9"/>
    <w:qFormat/>
    <w:rsid w:val="00CA4EE2"/>
    <w:pPr>
      <w:keepNext/>
      <w:keepLines/>
      <w:spacing w:before="120"/>
      <w:outlineLvl w:val="2"/>
    </w:pPr>
    <w:rPr>
      <w:rFonts w:eastAsia="Times New Roman"/>
      <w:b/>
      <w:bCs/>
      <w:color w:val="8E001C"/>
    </w:rPr>
  </w:style>
  <w:style w:type="paragraph" w:styleId="Heading4">
    <w:name w:val="heading 4"/>
    <w:basedOn w:val="Normal"/>
    <w:next w:val="Normal"/>
    <w:link w:val="Heading4Char"/>
    <w:uiPriority w:val="9"/>
    <w:qFormat/>
    <w:rsid w:val="00CA4EE2"/>
    <w:pPr>
      <w:keepNext/>
      <w:keepLines/>
      <w:spacing w:before="120"/>
      <w:outlineLvl w:val="3"/>
    </w:pPr>
    <w:rPr>
      <w:rFonts w:eastAsia="Times New Roman"/>
      <w:b/>
      <w:bCs/>
      <w:i/>
      <w:iCs/>
      <w:color w:val="8E001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271CC"/>
    <w:rPr>
      <w:rFonts w:ascii="Times New Roman" w:hAnsi="Times New Roman"/>
      <w:sz w:val="24"/>
      <w:szCs w:val="24"/>
      <w:lang w:eastAsia="en-US"/>
    </w:rPr>
  </w:style>
  <w:style w:type="character" w:customStyle="1" w:styleId="Heading1Char">
    <w:name w:val="Heading 1 Char"/>
    <w:link w:val="Heading1"/>
    <w:uiPriority w:val="9"/>
    <w:rsid w:val="00CA4EE2"/>
    <w:rPr>
      <w:rFonts w:ascii="Times New Roman" w:eastAsia="Times New Roman" w:hAnsi="Times New Roman"/>
      <w:b/>
      <w:bCs/>
      <w:color w:val="8E001C"/>
      <w:sz w:val="28"/>
      <w:szCs w:val="28"/>
      <w:lang w:eastAsia="en-US"/>
    </w:rPr>
  </w:style>
  <w:style w:type="character" w:customStyle="1" w:styleId="Heading2Char">
    <w:name w:val="Heading 2 Char"/>
    <w:link w:val="Heading2"/>
    <w:uiPriority w:val="9"/>
    <w:rsid w:val="00CA4EE2"/>
    <w:rPr>
      <w:rFonts w:ascii="Times New Roman" w:eastAsia="Times New Roman" w:hAnsi="Times New Roman"/>
      <w:b/>
      <w:bCs/>
      <w:color w:val="8E001C"/>
      <w:sz w:val="26"/>
      <w:szCs w:val="26"/>
      <w:lang w:eastAsia="en-US"/>
    </w:rPr>
  </w:style>
  <w:style w:type="character" w:customStyle="1" w:styleId="Heading3Char">
    <w:name w:val="Heading 3 Char"/>
    <w:link w:val="Heading3"/>
    <w:uiPriority w:val="9"/>
    <w:rsid w:val="00CA4EE2"/>
    <w:rPr>
      <w:rFonts w:ascii="Times New Roman" w:eastAsia="Times New Roman" w:hAnsi="Times New Roman"/>
      <w:b/>
      <w:bCs/>
      <w:color w:val="8E001C"/>
      <w:sz w:val="24"/>
      <w:szCs w:val="24"/>
      <w:lang w:eastAsia="en-US"/>
    </w:rPr>
  </w:style>
  <w:style w:type="character" w:customStyle="1" w:styleId="Heading4Char">
    <w:name w:val="Heading 4 Char"/>
    <w:link w:val="Heading4"/>
    <w:uiPriority w:val="9"/>
    <w:rsid w:val="00CA4EE2"/>
    <w:rPr>
      <w:rFonts w:ascii="Times New Roman" w:eastAsia="Times New Roman" w:hAnsi="Times New Roman"/>
      <w:b/>
      <w:bCs/>
      <w:i/>
      <w:iCs/>
      <w:color w:val="8E001C"/>
      <w:sz w:val="24"/>
      <w:szCs w:val="24"/>
      <w:lang w:eastAsia="en-US"/>
    </w:rPr>
  </w:style>
  <w:style w:type="paragraph" w:styleId="Header">
    <w:name w:val="header"/>
    <w:basedOn w:val="Normal"/>
    <w:link w:val="HeaderChar"/>
    <w:uiPriority w:val="99"/>
    <w:unhideWhenUsed/>
    <w:rsid w:val="007C0E44"/>
    <w:pPr>
      <w:tabs>
        <w:tab w:val="center" w:pos="4153"/>
        <w:tab w:val="right" w:pos="8306"/>
      </w:tabs>
    </w:pPr>
  </w:style>
  <w:style w:type="character" w:customStyle="1" w:styleId="HeaderChar">
    <w:name w:val="Header Char"/>
    <w:link w:val="Header"/>
    <w:uiPriority w:val="99"/>
    <w:rsid w:val="007C0E44"/>
    <w:rPr>
      <w:rFonts w:ascii="Times New Roman" w:hAnsi="Times New Roman"/>
      <w:sz w:val="24"/>
      <w:szCs w:val="24"/>
      <w:lang w:eastAsia="en-US"/>
    </w:rPr>
  </w:style>
  <w:style w:type="paragraph" w:styleId="Footer">
    <w:name w:val="footer"/>
    <w:basedOn w:val="Normal"/>
    <w:link w:val="FooterChar"/>
    <w:uiPriority w:val="99"/>
    <w:unhideWhenUsed/>
    <w:rsid w:val="007C0E44"/>
    <w:pPr>
      <w:tabs>
        <w:tab w:val="center" w:pos="4153"/>
        <w:tab w:val="right" w:pos="8306"/>
      </w:tabs>
    </w:pPr>
  </w:style>
  <w:style w:type="character" w:customStyle="1" w:styleId="FooterChar">
    <w:name w:val="Footer Char"/>
    <w:link w:val="Footer"/>
    <w:uiPriority w:val="99"/>
    <w:rsid w:val="007C0E44"/>
    <w:rPr>
      <w:rFonts w:ascii="Times New Roman" w:hAnsi="Times New Roman"/>
      <w:sz w:val="24"/>
      <w:szCs w:val="24"/>
      <w:lang w:eastAsia="en-US"/>
    </w:rPr>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6D60B4"/>
    <w:pPr>
      <w:spacing w:before="0" w:after="200" w:line="276" w:lineRule="auto"/>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6D60B4"/>
    <w:pPr>
      <w:spacing w:before="0" w:after="0"/>
    </w:pPr>
    <w:rPr>
      <w:rFonts w:ascii="Tahoma" w:hAnsi="Tahoma" w:cs="Tahoma"/>
      <w:sz w:val="16"/>
      <w:szCs w:val="16"/>
      <w:lang w:val="en-US"/>
    </w:rPr>
  </w:style>
  <w:style w:type="character" w:customStyle="1" w:styleId="BalloonTextChar">
    <w:name w:val="Balloon Text Char"/>
    <w:link w:val="BalloonText"/>
    <w:uiPriority w:val="99"/>
    <w:semiHidden/>
    <w:rsid w:val="006D60B4"/>
    <w:rPr>
      <w:rFonts w:ascii="Tahoma" w:hAnsi="Tahoma" w:cs="Tahoma"/>
      <w:sz w:val="16"/>
      <w:szCs w:val="16"/>
      <w:lang w:val="en-US" w:eastAsia="en-US"/>
    </w:rPr>
  </w:style>
  <w:style w:type="character" w:styleId="IntenseReference">
    <w:name w:val="Intense Reference"/>
    <w:uiPriority w:val="32"/>
    <w:qFormat/>
    <w:rsid w:val="00CA4EE2"/>
    <w:rPr>
      <w:smallCaps/>
      <w:spacing w:val="5"/>
      <w:u w:val="single"/>
    </w:rPr>
  </w:style>
  <w:style w:type="paragraph" w:customStyle="1" w:styleId="Normalsteksts">
    <w:name w:val="Normals teksts"/>
    <w:basedOn w:val="Normal"/>
    <w:link w:val="NormalstekstsChar"/>
    <w:qFormat/>
    <w:rsid w:val="00753C53"/>
    <w:pPr>
      <w:spacing w:before="120" w:after="120" w:line="276" w:lineRule="auto"/>
      <w:ind w:firstLine="709"/>
      <w:jc w:val="both"/>
    </w:pPr>
  </w:style>
  <w:style w:type="character" w:customStyle="1" w:styleId="NormalstekstsChar">
    <w:name w:val="Normals teksts Char"/>
    <w:link w:val="Normalsteksts"/>
    <w:rsid w:val="00753C53"/>
    <w:rPr>
      <w:rFonts w:ascii="Times New Roman" w:hAnsi="Times New Roman"/>
      <w:sz w:val="24"/>
      <w:szCs w:val="24"/>
      <w:lang w:val="lv-LV"/>
    </w:rPr>
  </w:style>
  <w:style w:type="paragraph" w:customStyle="1" w:styleId="Saspieststeksts">
    <w:name w:val="Saspiests teksts"/>
    <w:basedOn w:val="Normalsteksts"/>
    <w:link w:val="SaspieststekstsChar"/>
    <w:qFormat/>
    <w:rsid w:val="00753C53"/>
    <w:pPr>
      <w:spacing w:before="0" w:after="0" w:line="240" w:lineRule="auto"/>
    </w:pPr>
  </w:style>
  <w:style w:type="character" w:customStyle="1" w:styleId="SaspieststekstsChar">
    <w:name w:val="Saspiests teksts Char"/>
    <w:link w:val="Saspieststeksts"/>
    <w:rsid w:val="00753C53"/>
    <w:rPr>
      <w:rFonts w:ascii="Times New Roman" w:hAnsi="Times New Roman"/>
      <w:sz w:val="24"/>
      <w:szCs w:val="24"/>
      <w:lang w:val="lv-LV"/>
    </w:rPr>
  </w:style>
  <w:style w:type="paragraph" w:customStyle="1" w:styleId="Temadokumentam">
    <w:name w:val="Tema dokumentam"/>
    <w:basedOn w:val="Normalsteksts"/>
    <w:link w:val="TemadokumentamChar"/>
    <w:qFormat/>
    <w:rsid w:val="00753C53"/>
    <w:pPr>
      <w:ind w:firstLine="0"/>
    </w:pPr>
    <w:rPr>
      <w:b/>
    </w:rPr>
  </w:style>
  <w:style w:type="character" w:customStyle="1" w:styleId="TemadokumentamChar">
    <w:name w:val="Tema dokumentam Char"/>
    <w:link w:val="Temadokumentam"/>
    <w:rsid w:val="00753C53"/>
    <w:rPr>
      <w:rFonts w:ascii="Times New Roman" w:hAnsi="Times New Roman"/>
      <w:b/>
      <w:sz w:val="24"/>
      <w:szCs w:val="24"/>
      <w:lang w:val="lv-LV"/>
    </w:rPr>
  </w:style>
  <w:style w:type="character" w:customStyle="1" w:styleId="NoSpacingChar">
    <w:name w:val="No Spacing Char"/>
    <w:link w:val="NoSpacing"/>
    <w:uiPriority w:val="1"/>
    <w:rsid w:val="00753C53"/>
    <w:rPr>
      <w:rFonts w:ascii="Times New Roman" w:hAnsi="Times New Roman"/>
      <w:sz w:val="24"/>
      <w:szCs w:val="24"/>
      <w:lang w:val="lv-LV"/>
    </w:rPr>
  </w:style>
  <w:style w:type="character" w:styleId="Hyperlink">
    <w:name w:val="Hyperlink"/>
    <w:uiPriority w:val="99"/>
    <w:unhideWhenUsed/>
    <w:rsid w:val="00D86A54"/>
    <w:rPr>
      <w:color w:val="0000FF"/>
      <w:u w:val="single"/>
    </w:rPr>
  </w:style>
  <w:style w:type="character" w:styleId="CommentReference">
    <w:name w:val="annotation reference"/>
    <w:uiPriority w:val="99"/>
    <w:semiHidden/>
    <w:unhideWhenUsed/>
    <w:rsid w:val="00C85510"/>
    <w:rPr>
      <w:sz w:val="16"/>
      <w:szCs w:val="16"/>
    </w:rPr>
  </w:style>
  <w:style w:type="paragraph" w:styleId="CommentText">
    <w:name w:val="annotation text"/>
    <w:basedOn w:val="Normal"/>
    <w:link w:val="CommentTextChar"/>
    <w:uiPriority w:val="99"/>
    <w:semiHidden/>
    <w:unhideWhenUsed/>
    <w:rsid w:val="00C85510"/>
    <w:rPr>
      <w:sz w:val="20"/>
      <w:szCs w:val="20"/>
    </w:rPr>
  </w:style>
  <w:style w:type="character" w:customStyle="1" w:styleId="CommentTextChar">
    <w:name w:val="Comment Text Char"/>
    <w:link w:val="CommentText"/>
    <w:uiPriority w:val="99"/>
    <w:semiHidden/>
    <w:rsid w:val="00C85510"/>
    <w:rPr>
      <w:rFonts w:ascii="Times New Roman" w:hAnsi="Times New Roman"/>
      <w:lang w:eastAsia="en-US" w:bidi="ar-SA"/>
    </w:rPr>
  </w:style>
  <w:style w:type="paragraph" w:styleId="CommentSubject">
    <w:name w:val="annotation subject"/>
    <w:basedOn w:val="CommentText"/>
    <w:next w:val="CommentText"/>
    <w:link w:val="CommentSubjectChar"/>
    <w:uiPriority w:val="99"/>
    <w:semiHidden/>
    <w:unhideWhenUsed/>
    <w:rsid w:val="00C85510"/>
    <w:rPr>
      <w:b/>
      <w:bCs/>
    </w:rPr>
  </w:style>
  <w:style w:type="character" w:customStyle="1" w:styleId="CommentSubjectChar">
    <w:name w:val="Comment Subject Char"/>
    <w:link w:val="CommentSubject"/>
    <w:uiPriority w:val="99"/>
    <w:semiHidden/>
    <w:rsid w:val="00C85510"/>
    <w:rPr>
      <w:rFonts w:ascii="Times New Roman" w:hAnsi="Times New Roman"/>
      <w:b/>
      <w:bCs/>
      <w:lang w:eastAsia="en-US" w:bidi="ar-SA"/>
    </w:rPr>
  </w:style>
  <w:style w:type="character" w:styleId="UnresolvedMention">
    <w:name w:val="Unresolved Mention"/>
    <w:uiPriority w:val="99"/>
    <w:semiHidden/>
    <w:unhideWhenUsed/>
    <w:rsid w:val="00802116"/>
    <w:rPr>
      <w:color w:val="605E5C"/>
      <w:shd w:val="clear" w:color="auto" w:fill="E1DFDD"/>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3326AC"/>
    <w:rPr>
      <w:sz w:val="22"/>
      <w:szCs w:val="22"/>
      <w:lang w:val="lv-LV"/>
    </w:rPr>
  </w:style>
  <w:style w:type="paragraph" w:styleId="FootnoteText">
    <w:name w:val="footnote text"/>
    <w:basedOn w:val="Normal"/>
    <w:link w:val="FootnoteTextChar"/>
    <w:uiPriority w:val="99"/>
    <w:semiHidden/>
    <w:unhideWhenUsed/>
    <w:rsid w:val="00DF0C24"/>
    <w:rPr>
      <w:sz w:val="20"/>
      <w:szCs w:val="20"/>
    </w:rPr>
  </w:style>
  <w:style w:type="character" w:customStyle="1" w:styleId="FootnoteTextChar">
    <w:name w:val="Footnote Text Char"/>
    <w:link w:val="FootnoteText"/>
    <w:uiPriority w:val="99"/>
    <w:semiHidden/>
    <w:rsid w:val="00DF0C24"/>
    <w:rPr>
      <w:rFonts w:ascii="Times New Roman" w:hAnsi="Times New Roman"/>
      <w:lang w:eastAsia="en-US"/>
    </w:rPr>
  </w:style>
  <w:style w:type="character" w:styleId="FootnoteReference">
    <w:name w:val="footnote reference"/>
    <w:uiPriority w:val="99"/>
    <w:semiHidden/>
    <w:unhideWhenUsed/>
    <w:rsid w:val="00DF0C24"/>
    <w:rPr>
      <w:vertAlign w:val="superscript"/>
    </w:rPr>
  </w:style>
  <w:style w:type="table" w:styleId="TableGrid">
    <w:name w:val="Table Grid"/>
    <w:basedOn w:val="TableNormal"/>
    <w:uiPriority w:val="39"/>
    <w:rsid w:val="00717428"/>
    <w:pPr>
      <w:jc w:val="both"/>
    </w:pPr>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Tabulaiiiiii">
    <w:name w:val="1.1.1. Tabulaiiiiii"/>
    <w:basedOn w:val="Normal"/>
    <w:link w:val="111TabulaiiiiiiChar"/>
    <w:qFormat/>
    <w:rsid w:val="00717428"/>
    <w:pPr>
      <w:numPr>
        <w:ilvl w:val="2"/>
        <w:numId w:val="14"/>
      </w:numPr>
      <w:spacing w:before="0" w:after="0"/>
      <w:ind w:left="709" w:hanging="709"/>
      <w:jc w:val="both"/>
    </w:pPr>
    <w:rPr>
      <w:rFonts w:eastAsia="Times New Roman"/>
      <w:color w:val="000000"/>
      <w:szCs w:val="20"/>
      <w:lang w:val="x-none" w:eastAsia="x-none"/>
    </w:rPr>
  </w:style>
  <w:style w:type="paragraph" w:customStyle="1" w:styleId="1111Tabulaiiiii">
    <w:name w:val="1.1.1.1.Tabulaiiiii"/>
    <w:basedOn w:val="111Tabulaiiiiii"/>
    <w:qFormat/>
    <w:rsid w:val="00717428"/>
    <w:pPr>
      <w:numPr>
        <w:ilvl w:val="3"/>
      </w:numPr>
      <w:tabs>
        <w:tab w:val="num" w:pos="360"/>
      </w:tabs>
      <w:ind w:left="3600" w:hanging="360"/>
    </w:pPr>
  </w:style>
  <w:style w:type="character" w:customStyle="1" w:styleId="111TabulaiiiiiiChar">
    <w:name w:val="1.1.1. Tabulaiiiiii Char"/>
    <w:link w:val="111Tabulaiiiiii"/>
    <w:rsid w:val="00717428"/>
    <w:rPr>
      <w:rFonts w:ascii="Times New Roman" w:eastAsia="Times New Roman" w:hAnsi="Times New Roman"/>
      <w:color w:val="000000"/>
      <w:sz w:val="24"/>
      <w:lang w:val="x-none" w:eastAsia="x-none"/>
    </w:rPr>
  </w:style>
  <w:style w:type="paragraph" w:customStyle="1" w:styleId="Nodala111">
    <w:name w:val="Nodala 1.1.1"/>
    <w:basedOn w:val="111Tabulaiiiiii"/>
    <w:link w:val="Nodala111Char"/>
    <w:qFormat/>
    <w:rsid w:val="00717428"/>
    <w:pPr>
      <w:ind w:left="1224" w:hanging="504"/>
    </w:pPr>
    <w:rPr>
      <w:szCs w:val="22"/>
    </w:rPr>
  </w:style>
  <w:style w:type="character" w:customStyle="1" w:styleId="Nodala111Char">
    <w:name w:val="Nodala 1.1.1 Char"/>
    <w:link w:val="Nodala111"/>
    <w:rsid w:val="00717428"/>
    <w:rPr>
      <w:rFonts w:ascii="Times New Roman" w:eastAsia="Times New Roman" w:hAnsi="Times New Roman"/>
      <w:color w:val="000000"/>
      <w:sz w:val="24"/>
      <w:szCs w:val="22"/>
      <w:lang w:val="x-none" w:eastAsia="x-none"/>
    </w:rPr>
  </w:style>
  <w:style w:type="paragraph" w:customStyle="1" w:styleId="Nodala1111">
    <w:name w:val="Nodala 1.1.1.1"/>
    <w:basedOn w:val="Nodala111"/>
    <w:link w:val="Nodala1111Char"/>
    <w:qFormat/>
    <w:rsid w:val="00717428"/>
    <w:pPr>
      <w:numPr>
        <w:ilvl w:val="0"/>
        <w:numId w:val="0"/>
      </w:numPr>
      <w:spacing w:before="60" w:after="60"/>
      <w:ind w:left="1080" w:hanging="720"/>
    </w:pPr>
    <w:rPr>
      <w:rFonts w:eastAsia="Calibri"/>
      <w:szCs w:val="24"/>
      <w:lang w:eastAsia="ar-SA"/>
    </w:rPr>
  </w:style>
  <w:style w:type="character" w:customStyle="1" w:styleId="Nodala1111Char">
    <w:name w:val="Nodala 1.1.1.1 Char"/>
    <w:link w:val="Nodala1111"/>
    <w:rsid w:val="00717428"/>
    <w:rPr>
      <w:rFonts w:ascii="Times New Roman" w:hAnsi="Times New Roman"/>
      <w:color w:val="000000"/>
      <w:sz w:val="24"/>
      <w:szCs w:val="24"/>
      <w:lang w:val="x-none" w:eastAsia="ar-SA"/>
    </w:rPr>
  </w:style>
  <w:style w:type="paragraph" w:customStyle="1" w:styleId="Nodala1">
    <w:name w:val="Nodala 1"/>
    <w:basedOn w:val="Normal"/>
    <w:qFormat/>
    <w:rsid w:val="00C611A3"/>
    <w:pPr>
      <w:shd w:val="clear" w:color="auto" w:fill="D9D9D9"/>
      <w:tabs>
        <w:tab w:val="num" w:pos="360"/>
      </w:tabs>
      <w:suppressAutoHyphens/>
      <w:spacing w:before="120" w:after="120"/>
      <w:jc w:val="center"/>
    </w:pPr>
    <w:rPr>
      <w:b/>
      <w:lang w:eastAsia="ar-SA"/>
    </w:rPr>
  </w:style>
  <w:style w:type="paragraph" w:customStyle="1" w:styleId="Nodala11">
    <w:name w:val="Nodala 1.1"/>
    <w:basedOn w:val="Normal"/>
    <w:qFormat/>
    <w:rsid w:val="00C611A3"/>
    <w:pPr>
      <w:tabs>
        <w:tab w:val="num" w:pos="360"/>
      </w:tabs>
      <w:suppressAutoHyphens/>
      <w:jc w:val="both"/>
    </w:pPr>
    <w:rPr>
      <w:rFonts w:eastAsia="Times New Roman"/>
      <w:lang w:eastAsia="ar-SA"/>
    </w:rPr>
  </w:style>
  <w:style w:type="table" w:customStyle="1" w:styleId="TableGrid12">
    <w:name w:val="Table Grid12"/>
    <w:basedOn w:val="TableNormal"/>
    <w:next w:val="TableGrid"/>
    <w:uiPriority w:val="59"/>
    <w:rsid w:val="00B875CF"/>
    <w:pPr>
      <w:jc w:val="both"/>
    </w:pPr>
    <w:rPr>
      <w:rFonts w:asciiTheme="minorHAnsi" w:eastAsia="Times New Roman"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7538">
      <w:bodyDiv w:val="1"/>
      <w:marLeft w:val="0"/>
      <w:marRight w:val="0"/>
      <w:marTop w:val="0"/>
      <w:marBottom w:val="0"/>
      <w:divBdr>
        <w:top w:val="none" w:sz="0" w:space="0" w:color="auto"/>
        <w:left w:val="none" w:sz="0" w:space="0" w:color="auto"/>
        <w:bottom w:val="none" w:sz="0" w:space="0" w:color="auto"/>
        <w:right w:val="none" w:sz="0" w:space="0" w:color="auto"/>
      </w:divBdr>
    </w:div>
    <w:div w:id="182282893">
      <w:bodyDiv w:val="1"/>
      <w:marLeft w:val="0"/>
      <w:marRight w:val="0"/>
      <w:marTop w:val="0"/>
      <w:marBottom w:val="0"/>
      <w:divBdr>
        <w:top w:val="none" w:sz="0" w:space="0" w:color="auto"/>
        <w:left w:val="none" w:sz="0" w:space="0" w:color="auto"/>
        <w:bottom w:val="none" w:sz="0" w:space="0" w:color="auto"/>
        <w:right w:val="none" w:sz="0" w:space="0" w:color="auto"/>
      </w:divBdr>
    </w:div>
    <w:div w:id="1680891891">
      <w:bodyDiv w:val="1"/>
      <w:marLeft w:val="0"/>
      <w:marRight w:val="0"/>
      <w:marTop w:val="0"/>
      <w:marBottom w:val="0"/>
      <w:divBdr>
        <w:top w:val="none" w:sz="0" w:space="0" w:color="auto"/>
        <w:left w:val="none" w:sz="0" w:space="0" w:color="auto"/>
        <w:bottom w:val="none" w:sz="0" w:space="0" w:color="auto"/>
        <w:right w:val="none" w:sz="0" w:space="0" w:color="auto"/>
      </w:divBdr>
    </w:div>
    <w:div w:id="1951664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iub.gov.lv/lv/publisko-iepirkumu-likums-p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eis.gov.lv/EKEIS/Supplier/Procurement/119452"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formsb.pvs.iub.gov.lv/show/a8e0eec0-e363-49ed-9877-bc025ed91533"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tel:+37167321321"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c3e683bc9fcb4a0ca53bf098ae65513f xmlns="323f7832-4617-4a04-9584-fda549a8824c">
      <Terms xmlns="http://schemas.microsoft.com/office/infopath/2007/PartnerControls"/>
    </c3e683bc9fcb4a0ca53bf098ae65513f>
    <TaxCatchAll xmlns="323f7832-4617-4a04-9584-fda549a8824c">
      <Value>72</Value>
    </TaxCatchAll>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1886BDD49E1BDD48B605EE56306BA4A1" ma:contentTypeVersion="5" ma:contentTypeDescription="Izveidot jaunu dokumentu." ma:contentTypeScope="" ma:versionID="77cc453f58cf112ad3dd016895642910">
  <xsd:schema xmlns:xsd="http://www.w3.org/2001/XMLSchema" xmlns:xs="http://www.w3.org/2001/XMLSchema" xmlns:p="http://schemas.microsoft.com/office/2006/metadata/properties" xmlns:ns1="http://schemas.microsoft.com/sharepoint/v3" xmlns:ns2="323f7832-4617-4a04-9584-fda549a8824c" targetNamespace="http://schemas.microsoft.com/office/2006/metadata/properties" ma:root="true" ma:fieldsID="7369f3fd4cd33939da6783633c74301e" ns1:_="" ns2:_="">
    <xsd:import namespace="http://schemas.microsoft.com/sharepoint/v3"/>
    <xsd:import namespace="323f7832-4617-4a04-9584-fda549a8824c"/>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2:c3e683bc9fcb4a0ca53bf098ae65513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internalName="PublishingStartDate">
      <xsd:simpleType>
        <xsd:restriction base="dms:Unknown"/>
      </xsd:simpleType>
    </xsd:element>
    <xsd:element name="PublishingExpirationDate" ma:index="9" nillable="true" ma:displayName="Beigu datuma plānošana"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3f7832-4617-4a04-9584-fda549a882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c3e683bc9fcb4a0ca53bf098ae65513f" ma:index="14" nillable="true" ma:taxonomy="true" ma:internalName="c3e683bc9fcb4a0ca53bf098ae65513f" ma:taxonomyFieldName="RSU_x002d_keywords" ma:displayName="Atslēgvārdi" ma:default="" ma:fieldId="{c3e683bc-9fcb-4a0c-a53b-f098ae65513f}" ma:taxonomyMulti="true" ma:sspId="b46c2e3e-e079-4162-bfe7-c2a32d08ecb0" ma:termSetId="bb4ce254-684f-4308-bec3-9cd0c3e3481e"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125890e7-c3c5-4e26-ba44-64f343b41df8}" ma:internalName="TaxCatchAll" ma:showField="CatchAllData" ma:web="323f7832-4617-4a04-9584-fda549a88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304AD-4C65-4489-AC26-F5C1D1F69308}">
  <ds:schemaRefs>
    <ds:schemaRef ds:uri="http://schemas.microsoft.com/sharepoint/v3/contenttype/forms"/>
  </ds:schemaRefs>
</ds:datastoreItem>
</file>

<file path=customXml/itemProps2.xml><?xml version="1.0" encoding="utf-8"?>
<ds:datastoreItem xmlns:ds="http://schemas.openxmlformats.org/officeDocument/2006/customXml" ds:itemID="{BAED8AFE-6148-4CCF-A38B-EEA11513A09E}">
  <ds:schemaRefs>
    <ds:schemaRef ds:uri="http://schemas.microsoft.com/office/2006/metadata/longProperties"/>
  </ds:schemaRefs>
</ds:datastoreItem>
</file>

<file path=customXml/itemProps3.xml><?xml version="1.0" encoding="utf-8"?>
<ds:datastoreItem xmlns:ds="http://schemas.openxmlformats.org/officeDocument/2006/customXml" ds:itemID="{5FC79B99-51CC-448F-953D-000340105A44}">
  <ds:schemaRefs>
    <ds:schemaRef ds:uri="http://purl.org/dc/dcmitype/"/>
    <ds:schemaRef ds:uri="323f7832-4617-4a04-9584-fda549a8824c"/>
    <ds:schemaRef ds:uri="http://schemas.microsoft.com/office/2006/documentManagement/types"/>
    <ds:schemaRef ds:uri="http://schemas.openxmlformats.org/package/2006/metadata/core-properties"/>
    <ds:schemaRef ds:uri="http://purl.org/dc/elements/1.1/"/>
    <ds:schemaRef ds:uri="http://schemas.microsoft.com/sharepoint/v3"/>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4378D46B-13A1-476D-AF28-7FE6D482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f7832-4617-4a04-9584-fda549a88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E6A353C-7FEF-4DC5-80B8-535E6DC39318}">
  <ds:schemaRefs>
    <ds:schemaRef ds:uri="http://schemas.microsoft.com/sharepoint/events"/>
  </ds:schemaRefs>
</ds:datastoreItem>
</file>

<file path=customXml/itemProps6.xml><?xml version="1.0" encoding="utf-8"?>
<ds:datastoreItem xmlns:ds="http://schemas.openxmlformats.org/officeDocument/2006/customXml" ds:itemID="{7D091066-4E9F-42DC-81E7-4FB65F771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8059</Words>
  <Characters>4594</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Veidlapa sarakstei Latvijā</vt:lpstr>
    </vt:vector>
  </TitlesOfParts>
  <Company>RSU</Company>
  <LinksUpToDate>false</LinksUpToDate>
  <CharactersWithSpaces>12628</CharactersWithSpaces>
  <SharedDoc>false</SharedDoc>
  <HLinks>
    <vt:vector size="6" baseType="variant">
      <vt:variant>
        <vt:i4>5898242</vt:i4>
      </vt:variant>
      <vt:variant>
        <vt:i4>0</vt:i4>
      </vt:variant>
      <vt:variant>
        <vt:i4>0</vt:i4>
      </vt:variant>
      <vt:variant>
        <vt:i4>5</vt:i4>
      </vt:variant>
      <vt:variant>
        <vt:lpwstr>tel:+37167321321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 sarakstei Latvijā</dc:title>
  <dc:subject/>
  <dc:creator>Jānis Lejiņš</dc:creator>
  <cp:keywords/>
  <cp:lastModifiedBy>Ieva Kantika</cp:lastModifiedBy>
  <cp:revision>8</cp:revision>
  <cp:lastPrinted>2018-11-07T12:31:00Z</cp:lastPrinted>
  <dcterms:created xsi:type="dcterms:W3CDTF">2024-01-31T11:17:00Z</dcterms:created>
  <dcterms:modified xsi:type="dcterms:W3CDTF">2024-06-26T11:22:00Z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Dokuments</vt:lpwstr>
  </property>
  <property fmtid="{D5CDD505-2E9C-101B-9397-08002B2CF9AE}" pid="3" name="RSU-keywords">
    <vt:lpwstr>72;#Veidlapa|74ccb5a4-390e-447a-b6a4-e6c04fd282dd</vt:lpwstr>
  </property>
</Properties>
</file>