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EE1B10" w:rsidTr="00357807">
        <w:trPr>
          <w:trHeight w:val="334"/>
        </w:trPr>
        <w:tc>
          <w:tcPr>
            <w:tcW w:w="9215" w:type="dxa"/>
            <w:hideMark/>
          </w:tcPr>
          <w:p w:rsidR="00753C53" w:rsidRPr="00EE1B10" w:rsidRDefault="00753C53" w:rsidP="00270A83">
            <w:pPr>
              <w:pStyle w:val="Temadokumentam"/>
              <w:jc w:val="center"/>
              <w:rPr>
                <w:b w:val="0"/>
              </w:rPr>
            </w:pPr>
            <w:r w:rsidRPr="00EE1B10">
              <w:rPr>
                <w:b w:val="0"/>
              </w:rPr>
              <w:t>Rīgā</w:t>
            </w:r>
          </w:p>
        </w:tc>
      </w:tr>
    </w:tbl>
    <w:p w:rsidR="00753C53" w:rsidRPr="00EE1B10" w:rsidRDefault="00753C53" w:rsidP="00753C53">
      <w:pPr>
        <w:pStyle w:val="NoSpacing"/>
        <w:ind w:left="-36"/>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EE1B10" w:rsidTr="0077515D">
        <w:tc>
          <w:tcPr>
            <w:tcW w:w="271" w:type="dxa"/>
          </w:tcPr>
          <w:p w:rsidR="00753C53" w:rsidRPr="00EE1B10"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rsidR="00753C53" w:rsidRPr="00EE1B10" w:rsidRDefault="00EE1B10" w:rsidP="00E50815">
            <w:pPr>
              <w:pStyle w:val="Saspieststeksts"/>
              <w:spacing w:before="120"/>
              <w:ind w:firstLine="37"/>
            </w:pPr>
            <w:r w:rsidRPr="00EE1B10">
              <w:t>19.08</w:t>
            </w:r>
            <w:r w:rsidR="00362CE4" w:rsidRPr="00EE1B10">
              <w:t>.2024</w:t>
            </w:r>
            <w:r w:rsidR="005D1F2D" w:rsidRPr="00EE1B10">
              <w:t>.</w:t>
            </w:r>
          </w:p>
        </w:tc>
        <w:tc>
          <w:tcPr>
            <w:tcW w:w="530" w:type="dxa"/>
            <w:hideMark/>
          </w:tcPr>
          <w:p w:rsidR="00753C53" w:rsidRPr="00EE1B10" w:rsidRDefault="00753C53" w:rsidP="00357807">
            <w:pPr>
              <w:pStyle w:val="Normalsteksts"/>
              <w:spacing w:after="0" w:line="240" w:lineRule="auto"/>
              <w:ind w:firstLine="0"/>
              <w:jc w:val="right"/>
            </w:pPr>
            <w:r w:rsidRPr="00EE1B10">
              <w:t>Nr.</w:t>
            </w:r>
          </w:p>
        </w:tc>
        <w:tc>
          <w:tcPr>
            <w:tcW w:w="1738" w:type="dxa"/>
            <w:tcBorders>
              <w:top w:val="nil"/>
              <w:left w:val="nil"/>
              <w:bottom w:val="single" w:sz="8" w:space="0" w:color="262626"/>
              <w:right w:val="nil"/>
            </w:tcBorders>
          </w:tcPr>
          <w:p w:rsidR="00753C53" w:rsidRPr="00EE1B10" w:rsidRDefault="00F9082E" w:rsidP="00E50815">
            <w:pPr>
              <w:pStyle w:val="Saspieststeksts"/>
              <w:spacing w:before="120"/>
              <w:ind w:firstLine="64"/>
            </w:pPr>
            <w:r w:rsidRPr="00EE1B10">
              <w:t>3-JID</w:t>
            </w:r>
            <w:bookmarkStart w:id="0" w:name="_GoBack"/>
            <w:bookmarkEnd w:id="0"/>
            <w:r w:rsidRPr="00C27537">
              <w:t>.2-4/</w:t>
            </w:r>
            <w:r w:rsidR="00C27537" w:rsidRPr="00C27537">
              <w:t>839</w:t>
            </w:r>
          </w:p>
        </w:tc>
        <w:tc>
          <w:tcPr>
            <w:tcW w:w="425" w:type="dxa"/>
          </w:tcPr>
          <w:p w:rsidR="00753C53" w:rsidRPr="00EE1B10" w:rsidRDefault="00753C53" w:rsidP="00357807">
            <w:pPr>
              <w:pStyle w:val="Saspieststeksts"/>
              <w:spacing w:before="120"/>
            </w:pPr>
          </w:p>
        </w:tc>
        <w:tc>
          <w:tcPr>
            <w:tcW w:w="2409" w:type="dxa"/>
          </w:tcPr>
          <w:p w:rsidR="00753C53" w:rsidRPr="00EE1B10" w:rsidRDefault="00753C53" w:rsidP="00357807">
            <w:pPr>
              <w:pStyle w:val="Normalsteksts"/>
              <w:spacing w:after="0" w:line="240" w:lineRule="auto"/>
              <w:ind w:firstLine="0"/>
              <w:jc w:val="left"/>
              <w:rPr>
                <w:b/>
              </w:rPr>
            </w:pPr>
          </w:p>
        </w:tc>
      </w:tr>
    </w:tbl>
    <w:p w:rsidR="003326AC" w:rsidRPr="00EE1B10" w:rsidRDefault="003326AC" w:rsidP="003C1039">
      <w:pPr>
        <w:spacing w:before="0" w:after="0"/>
        <w:rPr>
          <w:b/>
          <w:bCs/>
        </w:rPr>
      </w:pPr>
    </w:p>
    <w:p w:rsidR="00717428" w:rsidRPr="00EE1B10" w:rsidRDefault="00717428" w:rsidP="00362CE4">
      <w:pPr>
        <w:tabs>
          <w:tab w:val="left" w:pos="5130"/>
          <w:tab w:val="right" w:pos="8306"/>
        </w:tabs>
        <w:spacing w:after="0" w:line="276" w:lineRule="auto"/>
        <w:ind w:firstLine="720"/>
        <w:jc w:val="right"/>
      </w:pPr>
      <w:r w:rsidRPr="00EE1B10">
        <w:rPr>
          <w:b/>
        </w:rPr>
        <w:t>Ieinteresētajiem piegādātājiem</w:t>
      </w:r>
    </w:p>
    <w:p w:rsidR="00717428" w:rsidRPr="00EE1B10" w:rsidRDefault="00717428" w:rsidP="00717428">
      <w:pPr>
        <w:spacing w:after="0" w:line="276" w:lineRule="auto"/>
        <w:jc w:val="both"/>
        <w:rPr>
          <w:i/>
        </w:rPr>
      </w:pPr>
      <w:r w:rsidRPr="00EE1B10">
        <w:rPr>
          <w:i/>
        </w:rPr>
        <w:t>Par informācijas sniegšanu</w:t>
      </w:r>
    </w:p>
    <w:p w:rsidR="00717428" w:rsidRPr="00EE1B10" w:rsidRDefault="00717428" w:rsidP="00717428">
      <w:pPr>
        <w:spacing w:after="0"/>
        <w:ind w:firstLine="567"/>
        <w:contextualSpacing/>
        <w:jc w:val="both"/>
      </w:pPr>
    </w:p>
    <w:p w:rsidR="00717428" w:rsidRPr="00EE1B10" w:rsidRDefault="00717428" w:rsidP="00717428">
      <w:pPr>
        <w:spacing w:after="0"/>
        <w:ind w:firstLine="567"/>
        <w:contextualSpacing/>
        <w:jc w:val="both"/>
      </w:pPr>
      <w:r w:rsidRPr="00EE1B10">
        <w:t xml:space="preserve">Pasūtītājs Rīgas Stradiņa universitātes iepirkuma komisija (turpmāk – Komisija) atklāta konkursa </w:t>
      </w:r>
      <w:r w:rsidRPr="00EE1B10">
        <w:rPr>
          <w:rFonts w:eastAsia="Times New Roman"/>
          <w:b/>
          <w:bCs/>
          <w:color w:val="000000"/>
          <w:lang w:eastAsia="lv-LV"/>
        </w:rPr>
        <w:t>“</w:t>
      </w:r>
      <w:r w:rsidR="00EE1B10" w:rsidRPr="00EE1B10">
        <w:rPr>
          <w:rFonts w:eastAsia="Times New Roman"/>
          <w:b/>
          <w:bCs/>
        </w:rPr>
        <w:t>Virtuālās realitātes spēles prototipa izveide</w:t>
      </w:r>
      <w:r w:rsidRPr="00EE1B10">
        <w:rPr>
          <w:rFonts w:eastAsia="Times New Roman"/>
          <w:b/>
          <w:bCs/>
          <w:color w:val="000000"/>
          <w:lang w:eastAsia="lv-LV"/>
        </w:rPr>
        <w:t>”</w:t>
      </w:r>
      <w:r w:rsidRPr="00EE1B10">
        <w:rPr>
          <w:rFonts w:eastAsia="Times New Roman"/>
          <w:bCs/>
          <w:color w:val="000000"/>
          <w:lang w:eastAsia="lv-LV"/>
        </w:rPr>
        <w:t>, identifikācijas Nr. RSU 202</w:t>
      </w:r>
      <w:r w:rsidR="00362CE4" w:rsidRPr="00EE1B10">
        <w:rPr>
          <w:rFonts w:eastAsia="Times New Roman"/>
          <w:bCs/>
          <w:color w:val="000000"/>
          <w:lang w:eastAsia="lv-LV"/>
        </w:rPr>
        <w:t>4</w:t>
      </w:r>
      <w:r w:rsidRPr="00EE1B10">
        <w:rPr>
          <w:rFonts w:eastAsia="Times New Roman"/>
          <w:bCs/>
          <w:color w:val="000000"/>
          <w:lang w:eastAsia="lv-LV"/>
        </w:rPr>
        <w:t>/</w:t>
      </w:r>
      <w:r w:rsidR="00EE1B10" w:rsidRPr="00EE1B10">
        <w:rPr>
          <w:rFonts w:eastAsia="Times New Roman"/>
          <w:bCs/>
          <w:color w:val="000000"/>
          <w:lang w:eastAsia="lv-LV"/>
        </w:rPr>
        <w:t>95</w:t>
      </w:r>
      <w:r w:rsidRPr="00EE1B10">
        <w:rPr>
          <w:rFonts w:eastAsia="Times New Roman"/>
          <w:bCs/>
          <w:color w:val="000000"/>
          <w:lang w:eastAsia="lv-LV"/>
        </w:rPr>
        <w:t>/AK</w:t>
      </w:r>
      <w:r w:rsidRPr="00EE1B10">
        <w:t xml:space="preserve"> (turpmāk – Atklāts konkurss) ietvaros ir saņēmusi ieinteresētā piegādātāja jautājumu</w:t>
      </w:r>
      <w:r w:rsidR="00EE1B10" w:rsidRPr="00EE1B10">
        <w:t>s</w:t>
      </w:r>
      <w:r w:rsidRPr="00EE1B10">
        <w:t xml:space="preserve"> par Atklāts konkursa nolikuma dokumentāciju. Komisija uz jautājum</w:t>
      </w:r>
      <w:r w:rsidR="00EE1B10" w:rsidRPr="00EE1B10">
        <w:t>iem</w:t>
      </w:r>
      <w:r w:rsidRPr="00EE1B10">
        <w:t xml:space="preserve"> (citējot jautājumu</w:t>
      </w:r>
      <w:r w:rsidR="00EE1B10" w:rsidRPr="00EE1B10">
        <w:t>s</w:t>
      </w:r>
      <w:r w:rsidRPr="00EE1B10">
        <w:t>) sniedz turpmāk minēt</w:t>
      </w:r>
      <w:r w:rsidR="00EE1B10" w:rsidRPr="00EE1B10">
        <w:t>ās</w:t>
      </w:r>
      <w:r w:rsidRPr="00EE1B10">
        <w:t xml:space="preserve"> atbild</w:t>
      </w:r>
      <w:r w:rsidR="00EE1B10" w:rsidRPr="00EE1B10">
        <w:t>es</w:t>
      </w:r>
      <w:r w:rsidRPr="00EE1B10">
        <w:t>:</w:t>
      </w:r>
    </w:p>
    <w:tbl>
      <w:tblPr>
        <w:tblStyle w:val="TableGrid12"/>
        <w:tblW w:w="9782" w:type="dxa"/>
        <w:tblInd w:w="-431" w:type="dxa"/>
        <w:tblLook w:val="04A0" w:firstRow="1" w:lastRow="0" w:firstColumn="1" w:lastColumn="0" w:noHBand="0" w:noVBand="1"/>
      </w:tblPr>
      <w:tblGrid>
        <w:gridCol w:w="1450"/>
        <w:gridCol w:w="8332"/>
      </w:tblGrid>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1.jautājums</w:t>
            </w:r>
          </w:p>
        </w:tc>
        <w:tc>
          <w:tcPr>
            <w:tcW w:w="8505" w:type="dxa"/>
          </w:tcPr>
          <w:p w:rsidR="00EE1B10" w:rsidRPr="00EE1B10" w:rsidRDefault="00EE1B10" w:rsidP="00E01304">
            <w:pPr>
              <w:rPr>
                <w:rFonts w:eastAsiaTheme="minorHAnsi" w:cs="Times New Roman"/>
                <w:lang w:eastAsia="lv-LV"/>
              </w:rPr>
            </w:pPr>
            <w:r w:rsidRPr="00EE1B10">
              <w:rPr>
                <w:rFonts w:eastAsiaTheme="minorHAnsi" w:cs="Times New Roman"/>
                <w:lang w:eastAsia="lv-LV"/>
              </w:rPr>
              <w:t xml:space="preserve">“5.pielikums PRETENDENTA PIESAISTĪTO SPECIĀLISTU SARAKSTS UN PIEREDZES APRAKSTS” ir atsauce uz “atbilstoši Atklāta konkursa nolikuma 7.6.3.1.punkta prasībām” - </w:t>
            </w:r>
            <w:proofErr w:type="spellStart"/>
            <w:r w:rsidRPr="00EE1B10">
              <w:rPr>
                <w:rFonts w:eastAsiaTheme="minorHAnsi" w:cs="Times New Roman"/>
                <w:lang w:eastAsia="lv-LV"/>
              </w:rPr>
              <w:t>šada</w:t>
            </w:r>
            <w:proofErr w:type="spellEnd"/>
            <w:r w:rsidRPr="00EE1B10">
              <w:rPr>
                <w:rFonts w:eastAsiaTheme="minorHAnsi" w:cs="Times New Roman"/>
                <w:lang w:eastAsia="lv-LV"/>
              </w:rPr>
              <w:t xml:space="preserve"> punkta nolikumā nav. Nolikumā vairākās vietās ir problēmas ar numerāciju - 7. Punkts laikam ir domāts kā 5. Punkts, bet arī </w:t>
            </w:r>
            <w:proofErr w:type="spellStart"/>
            <w:r w:rsidRPr="00EE1B10">
              <w:rPr>
                <w:rFonts w:eastAsiaTheme="minorHAnsi" w:cs="Times New Roman"/>
                <w:lang w:eastAsia="lv-LV"/>
              </w:rPr>
              <w:t>apakšnumerācija</w:t>
            </w:r>
            <w:proofErr w:type="spellEnd"/>
            <w:r w:rsidRPr="00EE1B10">
              <w:rPr>
                <w:rFonts w:eastAsiaTheme="minorHAnsi" w:cs="Times New Roman"/>
                <w:lang w:eastAsia="lv-LV"/>
              </w:rPr>
              <w:t xml:space="preserve"> atšķiras - jo nav tāda 5.6.3.1 punkta. Lūdzam pārbaudīt numerāciju nolikumā, jo iespējams tad arī citās atsaucēs ir problēmas!</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eastAsiaTheme="minorEastAsia" w:hAnsi="Times New Roman" w:cs="Times New Roman"/>
                <w:sz w:val="24"/>
                <w:szCs w:val="24"/>
                <w:lang w:eastAsia="lv-LV"/>
              </w:rPr>
            </w:pPr>
            <w:r w:rsidRPr="00EE1B10">
              <w:rPr>
                <w:rFonts w:ascii="Times New Roman" w:hAnsi="Times New Roman" w:cs="Times New Roman"/>
                <w:sz w:val="24"/>
                <w:szCs w:val="24"/>
              </w:rPr>
              <w:t>Komisija</w:t>
            </w:r>
            <w:r w:rsidRPr="00EE1B10">
              <w:rPr>
                <w:rFonts w:ascii="Times New Roman" w:eastAsiaTheme="minorEastAsia" w:hAnsi="Times New Roman" w:cs="Times New Roman"/>
                <w:sz w:val="24"/>
                <w:szCs w:val="24"/>
                <w:lang w:eastAsia="lv-LV"/>
              </w:rPr>
              <w:t xml:space="preserve"> norāda, ka ieinteresētā piegādātāja norādītās kļūdas Atklāta konkursa nolikuma 5.pielikumā un Atklāta konkursa nolikumā Komisija nekonstatē, t.sk. kļūdas numerācijā. Šajā sakarā Komisija paskaidro, ka Atklāta konkursa nolikuma 7.6.3.punktā un tā apakšpunktos – 7.6.3.1., 7.6.3.2. un 7.6.3.3.punktos – ir norādītas prasības pretendenta speciālistiem. </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 xml:space="preserve">2.Jautājums </w:t>
            </w:r>
          </w:p>
        </w:tc>
        <w:tc>
          <w:tcPr>
            <w:tcW w:w="8505" w:type="dxa"/>
          </w:tcPr>
          <w:p w:rsidR="00EE1B10" w:rsidRPr="00EE1B10" w:rsidRDefault="00EE1B10" w:rsidP="00E01304">
            <w:pPr>
              <w:shd w:val="clear" w:color="auto" w:fill="FFFFFF"/>
              <w:jc w:val="left"/>
              <w:rPr>
                <w:rFonts w:cs="Times New Roman"/>
              </w:rPr>
            </w:pPr>
            <w:r w:rsidRPr="00EE1B10">
              <w:rPr>
                <w:rFonts w:cs="Times New Roman"/>
              </w:rPr>
              <w:t>Vai ir izglītības prasības speciālistiem? Ja pareizi sapratām, tad Nolikuma 5.7.6 punktā minētās prasības šķita attiecināmas uz ārvalstu speciālistiem. Vēlējāmies precizēt, jo mūsu komandā grafiskais dizaineris ir ar bakalaura grādu mākslā nevis datorzinātnē - vai viņa izglītība ir atbilstoša?</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 xml:space="preserve">Atbilde </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 xml:space="preserve">Komisija skaidro, ka Atklāta konkursa nolikuma prasības neparedz izglītības prasības pretendenta speciālistiem, bet gan nosaka būtiskas pieredzes prasības pretendenta speciālistiem. Tomēr atbilstoši Atklāta konkursa nolikuma 7.6.6.punktam, gadījumā, ja pretendents piedāvā speciālistus, kas nepārzina latviešu valodu vismaz B2 līmenī, tad pretendentam jānodrošina tulks, kas atbilst kādai no Atklāta konkursa nolikuma 7.6.6.punkta a)vai b)apakšpunkta prasībām (t.sk. attiecībā uz tulka izglītību un/vai pieredzi, lai spētu nodrošināt komunikāciju starp speciālistiem un pasūtītāju augstā kvalitātē atbilstoši Atklāta konkursa iepirkuma priekšmetam).  </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lastRenderedPageBreak/>
              <w:t>3.jautājums</w:t>
            </w:r>
          </w:p>
        </w:tc>
        <w:tc>
          <w:tcPr>
            <w:tcW w:w="8505" w:type="dxa"/>
          </w:tcPr>
          <w:p w:rsidR="00EE1B10" w:rsidRPr="00EE1B10" w:rsidRDefault="00EE1B10" w:rsidP="00E01304">
            <w:pPr>
              <w:rPr>
                <w:rFonts w:cs="Times New Roman"/>
                <w:lang w:eastAsia="lv-LV"/>
              </w:rPr>
            </w:pPr>
            <w:r w:rsidRPr="00EE1B10">
              <w:rPr>
                <w:rFonts w:cs="Times New Roman"/>
              </w:rPr>
              <w:t>Tehniskās specifikācijas 2. Risinājuma aprakstā minēts:</w:t>
            </w:r>
            <w:r w:rsidRPr="00EE1B10">
              <w:rPr>
                <w:rFonts w:cs="Times New Roman"/>
              </w:rPr>
              <w:br/>
              <w:t>2.1. "Kognitīvās un elpošanas spēju attīstīšanai, ir jārada spēles vidi ar stresa izraisošiem elementiem, kas pielīdzināta sacensību videi sportā." Savukārt 2.2. ir minēti scenāriji - vai šie scenāriji tad attiecīgi ir šīs stresa situācijas? Ja nē, tad kas ir domāts ar stresa izraisošiem elementiem?</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Komisija skaidro, ka nē,</w:t>
            </w:r>
            <w:r w:rsidRPr="00EE1B10">
              <w:rPr>
                <w:rFonts w:ascii="Times New Roman" w:hAnsi="Times New Roman" w:cs="Times New Roman"/>
                <w:bCs/>
                <w:iCs/>
                <w:sz w:val="24"/>
                <w:szCs w:val="24"/>
              </w:rPr>
              <w:t xml:space="preserve"> stresa izraisošie faktori spēlē izpaudīsies kā, piemēram, skaņas, kustību signāli  (līdzjutēju ūjināšana, māšana ar rokām , lai novērstu spēles spēlētāja uzmanību. Stresu var izraisīt arī pretspēlētāju vai komandas biedru skaņas vai kustību signāli), laika atskaite arī ir plānota kā stresa izraisošais faktors (piem., ir dots noteikts laiks lai veiktu uzdevumu), bumbas lidojuma ātrums un tā izmaiņas var būt kā stresa izraisošais faktors, aizsargu darbības, kas cenšas atņemt bumbu var būt kā stresa izraisošais faktors u.c. iespējamie, kuri spēles izstrādes procesā var rasties diskusijas iznākumā.</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4.jautājums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Tehniskās specifikācijas scenārijā minētā ķeršana norit satverot ar rokām?</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rPr>
                <w:rFonts w:cs="Times New Roman"/>
              </w:rPr>
            </w:pPr>
            <w:r w:rsidRPr="00EE1B10">
              <w:rPr>
                <w:rFonts w:cs="Times New Roman"/>
              </w:rPr>
              <w:t>Komisija</w:t>
            </w:r>
            <w:r w:rsidRPr="00EE1B10">
              <w:rPr>
                <w:rFonts w:eastAsiaTheme="minorEastAsia" w:cs="Times New Roman"/>
                <w:lang w:eastAsia="lv-LV"/>
              </w:rPr>
              <w:t xml:space="preserve"> skaidro: ne</w:t>
            </w:r>
            <w:r w:rsidRPr="00EE1B10">
              <w:rPr>
                <w:rFonts w:cs="Times New Roman"/>
                <w:bCs/>
                <w:iCs/>
              </w:rPr>
              <w:t xml:space="preserve"> tikai, ir plānota spēles lietošana basketbolistu, futbolistu un hokejistu vidū. Tātad basketbola bumba, futbola bumba (ir ieplānots, nepieciešamības gadījumā, iegādāties speciālas </w:t>
            </w:r>
            <w:proofErr w:type="spellStart"/>
            <w:r w:rsidRPr="00EE1B10">
              <w:rPr>
                <w:rFonts w:cs="Times New Roman"/>
                <w:bCs/>
                <w:iCs/>
              </w:rPr>
              <w:t>sasprādzes</w:t>
            </w:r>
            <w:proofErr w:type="spellEnd"/>
            <w:r w:rsidRPr="00EE1B10">
              <w:rPr>
                <w:rFonts w:cs="Times New Roman"/>
                <w:bCs/>
                <w:iCs/>
              </w:rPr>
              <w:t xml:space="preserve"> ar kurām piestiprināt spēles kontrolieri pie kājas), hokeja ripa.  Piekrišanu jau ir devušas basketbola skolas, tiks uzrunātas hokeja un futbola skolas.</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5.jautājums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Vai tehniskās specifikācijas 2.2. minētie scenāriji ir divi atsevišķi scenāriji un katrā no tiem ir 11 grūtības līmeņi?</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Komisija skaidro, ka pētījumā eksperimenta laikā dalībnieki tiks sadalīti divās grupās. Viena spēlēs spēli, kur tiks attīstītā kognitīva funkcija (viens spēles scenārijs), savukārt otri spēlēs spēli, kura lielākoties sastāvēs no elpošanas vingrinājumiem (otrs spēles scenārijs). Spēlē jebkurā gadījumā būs viens veselums. Patreiz ir 11 grūtības līmeņi (tas ir spēles līmeņu uzmetums), kuri līdz spēles izstrādes sākumam var mainīties, jo patreiz norit darbs pie jomas pārskata pētījumiem, kuru rezultāti var izmainīt parametrus, kurus attīstīt spēlētājam spēlējot spēli. Līdz ar to var mainīties grūtības līmeņi.</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6.jautājums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Tehniskās specifikācijas 2.1. minēts "Spēles prototipa testēšanai visa izstrādes procesa laikā Pretendentam ir jānodrošina vismaz 2 (divi) virtuālās realitātes briļļu komplekti, kas pieejami Pasūtītājam." un laika grafikā minēts, ka iegādei paredzētas 14 dienas. Šīs brilles cik saprotam tiek iegādātas par izpildītāja paša finansējumu un nodotas pasūtītājam, un pēc prototipa nodošanas pasūtītājs atgriež šīs brilles atpakaļ īpašumā izpildītājam?</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tabs>
                <w:tab w:val="left" w:pos="426"/>
              </w:tabs>
              <w:rPr>
                <w:rFonts w:cs="Times New Roman"/>
              </w:rPr>
            </w:pPr>
            <w:r w:rsidRPr="00EE1B10">
              <w:rPr>
                <w:rFonts w:cs="Times New Roman"/>
              </w:rPr>
              <w:t>Komisija informē, ka virtuālās realitātes brilles tiek iegādātas par izpildītāja paša finanšu līdzekļiem un nodotas lietošanā pasūtītājam, savukārt pēc prototipa nodošanas pasūtītājs atgriež šīs brilles atpakaļ īpašumā izpildītājam.</w:t>
            </w:r>
          </w:p>
        </w:tc>
      </w:tr>
      <w:tr w:rsidR="00EE1B10" w:rsidRPr="00EE1B10" w:rsidTr="00E01304">
        <w:trPr>
          <w:trHeight w:val="848"/>
        </w:trPr>
        <w:tc>
          <w:tcPr>
            <w:tcW w:w="1277" w:type="dxa"/>
          </w:tcPr>
          <w:p w:rsidR="00EE1B10" w:rsidRPr="00EE1B10" w:rsidRDefault="00EE1B10" w:rsidP="00E01304">
            <w:pPr>
              <w:tabs>
                <w:tab w:val="left" w:pos="7230"/>
              </w:tabs>
              <w:contextualSpacing/>
              <w:rPr>
                <w:rFonts w:cs="Times New Roman"/>
              </w:rPr>
            </w:pPr>
            <w:r w:rsidRPr="00EE1B10">
              <w:rPr>
                <w:rFonts w:cs="Times New Roman"/>
              </w:rPr>
              <w:lastRenderedPageBreak/>
              <w:t>7.jautājums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Laika grafikā minēts "atlikušo iekārtu iegāde" un minētas kopā 12 iekārtas - šīs iekārtas iegādājas pats pasūtītājs par atsevišķu savu ar šo iepirkumu nesaistītu finansējumu?</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 xml:space="preserve">Komisija skaidro, ka tehniskajā specifikācijā minētās 12 iekārtas iekļautas informatīvi, tomēr </w:t>
            </w:r>
            <w:r w:rsidRPr="00EE1B10">
              <w:rPr>
                <w:rFonts w:ascii="Times New Roman" w:hAnsi="Times New Roman" w:cs="Times New Roman"/>
                <w:color w:val="000000"/>
                <w:sz w:val="24"/>
                <w:szCs w:val="24"/>
              </w:rPr>
              <w:t>šīs iekārtas iegādājas pats pasūtītājs ar atsevišķu ar Atklātu konkursu nesaistītu iepirkumu. Saskaņā ar Atklāta konkursa 2.pielikumā “Tehniskā specifikācija” norādīto: “</w:t>
            </w:r>
            <w:r w:rsidRPr="00EE1B10">
              <w:rPr>
                <w:rFonts w:ascii="Times New Roman" w:hAnsi="Times New Roman" w:cs="Times New Roman"/>
                <w:i/>
                <w:color w:val="000000"/>
                <w:sz w:val="24"/>
                <w:szCs w:val="24"/>
              </w:rPr>
              <w:t xml:space="preserve">Pēc spēles prototipa izstrādes posma tiek organizēts testēšanas posms ar </w:t>
            </w:r>
            <w:proofErr w:type="spellStart"/>
            <w:r w:rsidRPr="00EE1B10">
              <w:rPr>
                <w:rFonts w:ascii="Times New Roman" w:hAnsi="Times New Roman" w:cs="Times New Roman"/>
                <w:i/>
                <w:color w:val="000000"/>
                <w:sz w:val="24"/>
                <w:szCs w:val="24"/>
              </w:rPr>
              <w:t>mērķgrupu</w:t>
            </w:r>
            <w:proofErr w:type="spellEnd"/>
            <w:r w:rsidRPr="00EE1B10">
              <w:rPr>
                <w:rFonts w:ascii="Times New Roman" w:hAnsi="Times New Roman" w:cs="Times New Roman"/>
                <w:i/>
                <w:color w:val="000000"/>
                <w:sz w:val="24"/>
                <w:szCs w:val="24"/>
              </w:rPr>
              <w:t>. Pēc tam spēles prototips tiks izmantots zinātniskajā pētījumā, kurā piedalīsies pusaudža vecuma dalībnieki, kuri ir sporta spēļu pārstāvji</w:t>
            </w:r>
            <w:r w:rsidRPr="00EE1B10">
              <w:rPr>
                <w:rFonts w:ascii="Times New Roman" w:hAnsi="Times New Roman" w:cs="Times New Roman"/>
                <w:color w:val="000000"/>
                <w:sz w:val="24"/>
                <w:szCs w:val="24"/>
              </w:rPr>
              <w:t xml:space="preserve">.” Šajā sakarā Komisija paskaidro, ka šajā pētījumā laika grafikā informatīvi minētās 12 (divpadsmit) iekārtas (iegādātas nesaistīti ar Atklātu konkursu) tiks izmantotas, testējot šī Atklāta konkursa ietvaros izstrādāto spēles prototipu. </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8.jautājums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 xml:space="preserve">Vai ir iespējami paredzēt avansa </w:t>
            </w:r>
            <w:proofErr w:type="spellStart"/>
            <w:r w:rsidRPr="00EE1B10">
              <w:rPr>
                <w:rFonts w:ascii="Times New Roman" w:hAnsi="Times New Roman" w:cs="Times New Roman"/>
                <w:sz w:val="24"/>
                <w:szCs w:val="24"/>
              </w:rPr>
              <w:t>maksajumu</w:t>
            </w:r>
            <w:proofErr w:type="spellEnd"/>
            <w:r w:rsidRPr="00EE1B10">
              <w:rPr>
                <w:rFonts w:ascii="Times New Roman" w:hAnsi="Times New Roman" w:cs="Times New Roman"/>
                <w:sz w:val="24"/>
                <w:szCs w:val="24"/>
              </w:rPr>
              <w:t xml:space="preserve"> uzsākot projektu, piemēram, nepieciešamās aparatūras iegādei, kas tiek nodota pasūtītājam uz pasūtījuma izstrādes laiku?</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tabs>
                <w:tab w:val="left" w:pos="426"/>
              </w:tabs>
              <w:rPr>
                <w:rFonts w:cs="Times New Roman"/>
              </w:rPr>
            </w:pPr>
            <w:r w:rsidRPr="00EE1B10">
              <w:rPr>
                <w:rFonts w:cs="Times New Roman"/>
              </w:rPr>
              <w:t xml:space="preserve">Komisija skaidro, ka atbilstoši Atklāta konkursa nolikuma 7.pielikuma “Iepirkuma līguma projekts” 2.5.punktam “Avansa maksājumi Līguma darbības laikā netiek paredzēti”. </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9.jautājums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Vērtēšanas nosacījumos minēta praktikantu nodarbināšana. Šobrīd mūsu uzņēmumā strādā joprojām aktīvs students, kas palika strādāt pie mums pēc savas prakses šī gada sākumā - prakse ir noslēgusies, bet viņš joprojām studē un strādā pie mums uzņēmumā. Vai viņš ir kāda veidā attiecināms - vai par viņu iespējams iegūt punktu?</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Komisija</w:t>
            </w:r>
            <w:r w:rsidRPr="00EE1B10">
              <w:rPr>
                <w:rFonts w:ascii="Times New Roman" w:eastAsiaTheme="minorEastAsia" w:hAnsi="Times New Roman" w:cs="Times New Roman"/>
                <w:sz w:val="24"/>
                <w:szCs w:val="24"/>
                <w:lang w:eastAsia="lv-LV"/>
              </w:rPr>
              <w:t xml:space="preserve"> skaidro, ka Komisijai, piešķirot punktus, jāvadās pēc C kritērijā norādītā apraksta, proti, ja persona līguma darbības laikā (kritērijā nav norādīts konkrēts periods, uz kuru persona ir nodarbināma) tiek nodarbināta mācību prakses ietvaros, tad izpildās C kritērijā noteiktais, savukārt, ja ar personu nav aktīvs studiju prakses līgums, tad neizpildās C kritērijā noteiktais. Būtisks nosacījums, ka</w:t>
            </w:r>
            <w:r w:rsidRPr="00EE1B10">
              <w:rPr>
                <w:rFonts w:ascii="Times New Roman" w:hAnsi="Times New Roman" w:cs="Times New Roman"/>
                <w:sz w:val="24"/>
                <w:szCs w:val="24"/>
              </w:rPr>
              <w:t xml:space="preserve"> persona kā praktikants tiek iesaistīta līguma izpildes laikā. </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10.jautājums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Vai praktikantiem jābūt nodarbinātiem uz visu projekta laiku (vai citu minimālu laika periodu), ņemot vērā, ka projekta izpildes laiks ir 15 mēneši, bet praktikantiem nav parasti 15 mēnešu garas prakses.</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Komisija skaidro, ka kritērijā nav norādīts konkrēts periods, uz kuru persona(-</w:t>
            </w:r>
            <w:proofErr w:type="spellStart"/>
            <w:r w:rsidRPr="00EE1B10">
              <w:rPr>
                <w:rFonts w:ascii="Times New Roman" w:hAnsi="Times New Roman" w:cs="Times New Roman"/>
                <w:sz w:val="24"/>
                <w:szCs w:val="24"/>
              </w:rPr>
              <w:t>as</w:t>
            </w:r>
            <w:proofErr w:type="spellEnd"/>
            <w:r w:rsidRPr="00EE1B10">
              <w:rPr>
                <w:rFonts w:ascii="Times New Roman" w:hAnsi="Times New Roman" w:cs="Times New Roman"/>
                <w:sz w:val="24"/>
                <w:szCs w:val="24"/>
              </w:rPr>
              <w:t>) ir nodarbināma(-</w:t>
            </w:r>
            <w:proofErr w:type="spellStart"/>
            <w:r w:rsidRPr="00EE1B10">
              <w:rPr>
                <w:rFonts w:ascii="Times New Roman" w:hAnsi="Times New Roman" w:cs="Times New Roman"/>
                <w:sz w:val="24"/>
                <w:szCs w:val="24"/>
              </w:rPr>
              <w:t>as</w:t>
            </w:r>
            <w:proofErr w:type="spellEnd"/>
            <w:r w:rsidRPr="00EE1B10">
              <w:rPr>
                <w:rFonts w:ascii="Times New Roman" w:hAnsi="Times New Roman" w:cs="Times New Roman"/>
                <w:sz w:val="24"/>
                <w:szCs w:val="24"/>
              </w:rPr>
              <w:t>) studiju prakses ietvaros, tomēr būtisks nosacījums, ka persona(-</w:t>
            </w:r>
            <w:proofErr w:type="spellStart"/>
            <w:r w:rsidRPr="00EE1B10">
              <w:rPr>
                <w:rFonts w:ascii="Times New Roman" w:hAnsi="Times New Roman" w:cs="Times New Roman"/>
                <w:sz w:val="24"/>
                <w:szCs w:val="24"/>
              </w:rPr>
              <w:t>as</w:t>
            </w:r>
            <w:proofErr w:type="spellEnd"/>
            <w:r w:rsidRPr="00EE1B10">
              <w:rPr>
                <w:rFonts w:ascii="Times New Roman" w:hAnsi="Times New Roman" w:cs="Times New Roman"/>
                <w:sz w:val="24"/>
                <w:szCs w:val="24"/>
              </w:rPr>
              <w:t xml:space="preserve">) kā praktikants tiek iesaistīta līguma izpildes laikā. Vienlaikus vērā ņemams, ka pretendentam, ja tas būs iesniedzis apliecinājumu par studentu nodarbināšanu un ieguvis punktus C kritērijā, tad saskaņā ar kritēriju konkrētajam pretendentam, ar kuru tiks noslēgts līgums (līguma izpildītājam) ne vēl kā 10 (desmit) darba dienu laikā no Līguma noslēgšanas jāveic attiecīgās personas (praktikanta) nodarbināšana, un </w:t>
            </w:r>
            <w:r w:rsidRPr="00EE1B10">
              <w:rPr>
                <w:rFonts w:ascii="Times New Roman" w:hAnsi="Times New Roman" w:cs="Times New Roman"/>
                <w:sz w:val="24"/>
                <w:szCs w:val="24"/>
              </w:rPr>
              <w:lastRenderedPageBreak/>
              <w:t>jāiesniedz: 1) prakses līguma apliecinātu kopiju; 2)atbilstošu izziņu no izglītības iestādes par konkrētā praktikanta prakses laiku un vietu.</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lastRenderedPageBreak/>
              <w:t>11.jautājums</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Vai pieļaujams, ka noslēdz vienošanos ar skolu un praktikanti tiek pieņemti darbā pie projekta tikai nākošajā semestrī - nevis tekošajā no septembra? Vai tomēr, lai iegūtu punktus vērtējumam praktikanti jāpieņem tikai uz pirmo semestri un nākošajā semestrī attiecīgi var vairs nebūt nodarbināti praktikanti?</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 xml:space="preserve">Komisija skaidro, ka kritērijs neparedz konkrētu periodu, no kura praktikants ir jānodarbina līguma izpildes laikā, tomēr būtisks nosacījums, ka studiju prakses līguma apliecināta kopija jāiesniedz ne vēlāk kā 10 (desmit) darba dienas pēc Līguma noslēgšanas, kā arī atbilstoši izziņu no izglītības iestādes par praktikanta prakses laiku un vietu. Ievērojot minēto, pretendents kritērijā varēs iegūt punktus, ja praktikants tiks nodarbināts nākošajā semestrī, ko spēs apliecināt ar noslēgtu prakses līgumu un izziņu no izglītības iestādes.  </w:t>
            </w:r>
          </w:p>
        </w:tc>
      </w:tr>
      <w:tr w:rsidR="00EE1B10" w:rsidRPr="00EE1B10" w:rsidTr="00E01304">
        <w:tc>
          <w:tcPr>
            <w:tcW w:w="1277" w:type="dxa"/>
          </w:tcPr>
          <w:p w:rsidR="00EE1B10" w:rsidRPr="00EE1B10" w:rsidRDefault="00EE1B10" w:rsidP="00E01304">
            <w:pPr>
              <w:tabs>
                <w:tab w:val="left" w:pos="7230"/>
              </w:tabs>
              <w:contextualSpacing/>
              <w:rPr>
                <w:rFonts w:cs="Times New Roman"/>
              </w:rPr>
            </w:pPr>
            <w:r w:rsidRPr="00EE1B10">
              <w:rPr>
                <w:rFonts w:cs="Times New Roman"/>
              </w:rPr>
              <w:t xml:space="preserve">12.jautājums </w:t>
            </w:r>
          </w:p>
        </w:tc>
        <w:tc>
          <w:tcPr>
            <w:tcW w:w="8505" w:type="dxa"/>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Lai iegūtu papildu punktus par ergonomisku darba vidi ir obligāti nepieciešams trešo pušu veikts audita pakalpojums? Lūdzu nosaukt derīgus auditorus vai prasības pēc kā nosaka, ka ir derīgs auditors vai apliecinājums</w:t>
            </w:r>
          </w:p>
        </w:tc>
      </w:tr>
      <w:tr w:rsidR="00EE1B10" w:rsidRPr="00EE1B10" w:rsidTr="00E01304">
        <w:tc>
          <w:tcPr>
            <w:tcW w:w="1277" w:type="dxa"/>
            <w:shd w:val="clear" w:color="auto" w:fill="FBE4D5" w:themeFill="accent2" w:themeFillTint="33"/>
          </w:tcPr>
          <w:p w:rsidR="00EE1B10" w:rsidRPr="00EE1B10" w:rsidRDefault="00EE1B10" w:rsidP="00E01304">
            <w:pPr>
              <w:tabs>
                <w:tab w:val="left" w:pos="7230"/>
              </w:tabs>
              <w:contextualSpacing/>
              <w:rPr>
                <w:rFonts w:cs="Times New Roman"/>
              </w:rPr>
            </w:pPr>
            <w:r w:rsidRPr="00EE1B10">
              <w:rPr>
                <w:rFonts w:cs="Times New Roman"/>
              </w:rPr>
              <w:t>Atbilde</w:t>
            </w:r>
          </w:p>
        </w:tc>
        <w:tc>
          <w:tcPr>
            <w:tcW w:w="8505" w:type="dxa"/>
            <w:shd w:val="clear" w:color="auto" w:fill="FBE4D5" w:themeFill="accent2" w:themeFillTint="33"/>
          </w:tcPr>
          <w:p w:rsidR="00EE1B10" w:rsidRPr="00EE1B10" w:rsidRDefault="00EE1B10" w:rsidP="00E01304">
            <w:pPr>
              <w:pStyle w:val="ListParagraph"/>
              <w:tabs>
                <w:tab w:val="left" w:pos="426"/>
              </w:tabs>
              <w:ind w:left="0"/>
              <w:rPr>
                <w:rFonts w:ascii="Times New Roman" w:hAnsi="Times New Roman" w:cs="Times New Roman"/>
                <w:sz w:val="24"/>
                <w:szCs w:val="24"/>
              </w:rPr>
            </w:pPr>
            <w:r w:rsidRPr="00EE1B10">
              <w:rPr>
                <w:rFonts w:ascii="Times New Roman" w:hAnsi="Times New Roman" w:cs="Times New Roman"/>
                <w:sz w:val="24"/>
                <w:szCs w:val="24"/>
              </w:rPr>
              <w:t>Komisija informē, ka no D kritērija neizriet, ka vienīgais veids, kādā pretendents var apliecināt atbilstību B kritērijam, ir trešo pušu veikts audita pakalpojums. Šajā sakarā Komisija norāda, ka pretendents var apliecināt atbilstību kritērijam jebkurā veidā, kas būtu atbilstošs Darba aizsardzības likuma prasībām. Vienlaikus Komisija paskaidro, ka B kritērija prasības pretendents var izpildīt, piemēram, arī gadījumā, ja pretendenta uzņēmumā ir nodarbināts darba aizsardzības speciālists, kas uzņēmuma darbinieks vai dienesta attiecībās esoša persona, kuras pienākums ir organizēt un kontrolēt darba aizsardzības pasākumus un veikt darba vides iekšējo uzraudzību un kurš ir apmācīts Ministru kabineta noteiktajā kārtībā (Darba aizsardzības likuma 1.panta 3.punkts) vai arī šo funkciju atbilstoši Darba aizsardzības likuma 9.panta pirmās daļas prasībām var veikt kompetents speciālists, kurš ir “</w:t>
            </w:r>
            <w:r w:rsidRPr="00EE1B10">
              <w:rPr>
                <w:rFonts w:ascii="Times New Roman" w:hAnsi="Times New Roman" w:cs="Times New Roman"/>
                <w:i/>
                <w:sz w:val="24"/>
                <w:szCs w:val="24"/>
              </w:rPr>
              <w:t>speciālists, kurš uz attiecīga līguma pamata kā ārpakalpojuma sniedzējs veic darba vides iekšējo uzraudzību uzņēmumā un kura kompetence darba aizsardzības jautājumos novērtēta Ministru kabineta noteiktajā kārtībā</w:t>
            </w:r>
            <w:r w:rsidRPr="00EE1B10">
              <w:rPr>
                <w:rFonts w:ascii="Times New Roman" w:hAnsi="Times New Roman" w:cs="Times New Roman"/>
                <w:sz w:val="24"/>
                <w:szCs w:val="24"/>
              </w:rPr>
              <w:t xml:space="preserve">” (Darba aizsardzības likuma 1.panta 11.punkts). Komisija paskaidro, ka jebkura no norādītajām personām var apliecināt ergonomisko risinājumu ieviešanu pretendenta uzņēmumā. </w:t>
            </w:r>
          </w:p>
        </w:tc>
      </w:tr>
    </w:tbl>
    <w:p w:rsidR="00AD677B" w:rsidRPr="00EE1B10" w:rsidRDefault="00AD677B" w:rsidP="00AD677B"/>
    <w:p w:rsidR="00BD1A99" w:rsidRPr="00EE1B10" w:rsidRDefault="00BD1A99" w:rsidP="00AD677B"/>
    <w:p w:rsidR="00DB1B21" w:rsidRPr="00EE1B10" w:rsidRDefault="00DB1B21" w:rsidP="00DB1B21">
      <w:pPr>
        <w:tabs>
          <w:tab w:val="right" w:pos="9071"/>
        </w:tabs>
        <w:spacing w:before="0" w:after="0"/>
        <w:contextualSpacing/>
        <w:rPr>
          <w:rFonts w:eastAsia="Times New Roman"/>
          <w:lang w:eastAsia="lv-LV"/>
        </w:rPr>
      </w:pPr>
      <w:r w:rsidRPr="00EE1B10">
        <w:rPr>
          <w:rFonts w:eastAsia="Times New Roman"/>
          <w:lang w:eastAsia="lv-LV"/>
        </w:rPr>
        <w:t>Iepirkuma komisijas priekšsēdētāja</w:t>
      </w:r>
      <w:r w:rsidRPr="00EE1B10">
        <w:rPr>
          <w:rFonts w:eastAsia="Times New Roman"/>
          <w:lang w:eastAsia="lv-LV"/>
        </w:rPr>
        <w:tab/>
      </w:r>
      <w:proofErr w:type="spellStart"/>
      <w:r w:rsidR="00AF5593" w:rsidRPr="00EE1B10">
        <w:rPr>
          <w:rFonts w:eastAsia="Times New Roman"/>
          <w:lang w:eastAsia="lv-LV"/>
        </w:rPr>
        <w:t>I.Kantika</w:t>
      </w:r>
      <w:proofErr w:type="spellEnd"/>
    </w:p>
    <w:p w:rsidR="00DB1B21" w:rsidRPr="00EE1B10" w:rsidRDefault="00DB1B21" w:rsidP="00DB1B21">
      <w:pPr>
        <w:spacing w:before="0" w:after="0"/>
        <w:contextualSpacing/>
        <w:rPr>
          <w:rFonts w:eastAsia="Times New Roman"/>
          <w:lang w:eastAsia="lv-LV"/>
        </w:rPr>
      </w:pPr>
    </w:p>
    <w:p w:rsidR="00BD1A99" w:rsidRPr="00EE1B10" w:rsidRDefault="00BD1A99" w:rsidP="00DB1B21">
      <w:pPr>
        <w:spacing w:before="0" w:after="0"/>
        <w:contextualSpacing/>
        <w:rPr>
          <w:rFonts w:eastAsia="Times New Roman"/>
          <w:lang w:eastAsia="lv-LV"/>
        </w:rPr>
      </w:pPr>
    </w:p>
    <w:p w:rsidR="00E50815" w:rsidRPr="00EE1B10" w:rsidRDefault="00E50815" w:rsidP="000F7C9F">
      <w:pPr>
        <w:tabs>
          <w:tab w:val="left" w:pos="3036"/>
        </w:tabs>
        <w:rPr>
          <w:lang w:eastAsia="lv-LV"/>
        </w:rPr>
      </w:pPr>
    </w:p>
    <w:sectPr w:rsidR="00E50815" w:rsidRPr="00EE1B10" w:rsidSect="001A1D1F">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3B3" w:rsidRDefault="008633B3" w:rsidP="007C0E44">
      <w:pPr>
        <w:spacing w:before="0" w:after="0"/>
      </w:pPr>
      <w:r>
        <w:separator/>
      </w:r>
    </w:p>
  </w:endnote>
  <w:endnote w:type="continuationSeparator" w:id="0">
    <w:p w:rsidR="008633B3" w:rsidRDefault="008633B3"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38" w:rsidRDefault="00BF3038" w:rsidP="00BF3038">
    <w:pPr>
      <w:jc w:val="center"/>
      <w:rPr>
        <w:lang w:eastAsia="lv-LV"/>
      </w:rPr>
    </w:pPr>
    <w:r>
      <w:rPr>
        <w:lang w:eastAsia="lv-LV"/>
      </w:rPr>
      <w:t>ŠIS DOKUMENTS IR ELEKTRONISKI PARAKSTĪTS AR DROŠU ELEKTRONISKO PARAKSTU UN SATUR LAIKA ZĪMOGU</w:t>
    </w:r>
  </w:p>
  <w:p w:rsidR="009A0BBD" w:rsidRDefault="009A0B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3A" w:rsidRDefault="002E443A" w:rsidP="002E443A">
    <w:pPr>
      <w:jc w:val="center"/>
      <w:rPr>
        <w:lang w:eastAsia="lv-LV"/>
      </w:rPr>
    </w:pPr>
    <w:bookmarkStart w:id="1" w:name="_Hlk57807900"/>
    <w:r>
      <w:rPr>
        <w:lang w:eastAsia="lv-LV"/>
      </w:rPr>
      <w:t>ŠIS DOKUMENTS IR ELEKTRONISKI PARAKSTĪTS AR DROŠU ELEKTRONISKO PARAKSTU UN SATUR LAIKA ZĪMOGU</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3B3" w:rsidRDefault="008633B3" w:rsidP="007C0E44">
      <w:pPr>
        <w:spacing w:before="0" w:after="0"/>
      </w:pPr>
      <w:r>
        <w:separator/>
      </w:r>
    </w:p>
  </w:footnote>
  <w:footnote w:type="continuationSeparator" w:id="0">
    <w:p w:rsidR="008633B3" w:rsidRDefault="008633B3"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7D2" w:rsidRPr="003A07D2" w:rsidRDefault="00362CE4"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5D89" w:rsidRPr="003F71B5" w:rsidRDefault="00F45D89"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rsidR="00F45D89" w:rsidRPr="003F71B5" w:rsidRDefault="00F45D89"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3A07D2" w:rsidRPr="006D60B4" w:rsidRDefault="003A07D2"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rsidR="00D86A54" w:rsidRDefault="003A07D2"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00D86A54" w:rsidRPr="00D86A54">
        <w:rPr>
          <w:rStyle w:val="Hyperlink"/>
          <w:rFonts w:ascii="Arial" w:hAnsi="Arial" w:cs="Arial"/>
          <w:color w:val="auto"/>
          <w:sz w:val="16"/>
          <w:szCs w:val="16"/>
          <w:u w:val="none"/>
          <w:bdr w:val="none" w:sz="0" w:space="0" w:color="auto" w:frame="1"/>
        </w:rPr>
        <w:t>67321321</w:t>
      </w:r>
    </w:hyperlink>
    <w:r w:rsidR="00C87C99">
      <w:rPr>
        <w:rFonts w:ascii="Arial" w:hAnsi="Arial" w:cs="Arial"/>
        <w:sz w:val="16"/>
        <w:szCs w:val="16"/>
      </w:rPr>
      <w:t>, 67409219</w:t>
    </w:r>
  </w:p>
  <w:p w:rsidR="003A07D2" w:rsidRPr="006D60B4" w:rsidRDefault="003A07D2"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rsidR="003A07D2" w:rsidRPr="00CA4EE2" w:rsidRDefault="003A07D2"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7"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6"/>
  </w:num>
  <w:num w:numId="3">
    <w:abstractNumId w:val="9"/>
  </w:num>
  <w:num w:numId="4">
    <w:abstractNumId w:val="12"/>
  </w:num>
  <w:num w:numId="5">
    <w:abstractNumId w:val="1"/>
  </w:num>
  <w:num w:numId="6">
    <w:abstractNumId w:val="5"/>
  </w:num>
  <w:num w:numId="7">
    <w:abstractNumId w:val="15"/>
  </w:num>
  <w:num w:numId="8">
    <w:abstractNumId w:val="4"/>
  </w:num>
  <w:num w:numId="9">
    <w:abstractNumId w:val="1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0"/>
  </w:num>
  <w:num w:numId="14">
    <w:abstractNumId w:val="8"/>
  </w:num>
  <w:num w:numId="15">
    <w:abstractNumId w:val="14"/>
  </w:num>
  <w:num w:numId="16">
    <w:abstractNumId w:val="17"/>
  </w:num>
  <w:num w:numId="17">
    <w:abstractNumId w:val="7"/>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23B41"/>
    <w:rsid w:val="000516BC"/>
    <w:rsid w:val="000532EE"/>
    <w:rsid w:val="000614C1"/>
    <w:rsid w:val="00062EC8"/>
    <w:rsid w:val="00065BD9"/>
    <w:rsid w:val="00077116"/>
    <w:rsid w:val="000A1726"/>
    <w:rsid w:val="000F3CA7"/>
    <w:rsid w:val="000F3F56"/>
    <w:rsid w:val="000F7C9F"/>
    <w:rsid w:val="00111E4E"/>
    <w:rsid w:val="00121B20"/>
    <w:rsid w:val="0018242B"/>
    <w:rsid w:val="00184FAF"/>
    <w:rsid w:val="001A1D1F"/>
    <w:rsid w:val="001C39B5"/>
    <w:rsid w:val="001E4277"/>
    <w:rsid w:val="00216648"/>
    <w:rsid w:val="00221FA7"/>
    <w:rsid w:val="002372DF"/>
    <w:rsid w:val="0025015C"/>
    <w:rsid w:val="00251945"/>
    <w:rsid w:val="00256883"/>
    <w:rsid w:val="002622D8"/>
    <w:rsid w:val="00270A83"/>
    <w:rsid w:val="002714A3"/>
    <w:rsid w:val="002A74DA"/>
    <w:rsid w:val="002B68DF"/>
    <w:rsid w:val="002B70AA"/>
    <w:rsid w:val="002D5C80"/>
    <w:rsid w:val="002E443A"/>
    <w:rsid w:val="002E4EB8"/>
    <w:rsid w:val="002F56C9"/>
    <w:rsid w:val="00301589"/>
    <w:rsid w:val="003140D7"/>
    <w:rsid w:val="003163A2"/>
    <w:rsid w:val="003220FF"/>
    <w:rsid w:val="003223CC"/>
    <w:rsid w:val="00326573"/>
    <w:rsid w:val="003326AC"/>
    <w:rsid w:val="00357807"/>
    <w:rsid w:val="0036161A"/>
    <w:rsid w:val="00362CE4"/>
    <w:rsid w:val="00376394"/>
    <w:rsid w:val="0039495D"/>
    <w:rsid w:val="003A07D2"/>
    <w:rsid w:val="003A7D66"/>
    <w:rsid w:val="003C1039"/>
    <w:rsid w:val="003D1959"/>
    <w:rsid w:val="003D5F10"/>
    <w:rsid w:val="003E1F84"/>
    <w:rsid w:val="003F71B5"/>
    <w:rsid w:val="004054B9"/>
    <w:rsid w:val="00441DF5"/>
    <w:rsid w:val="0044791E"/>
    <w:rsid w:val="00457453"/>
    <w:rsid w:val="00466270"/>
    <w:rsid w:val="0049413D"/>
    <w:rsid w:val="004B3AFD"/>
    <w:rsid w:val="004D262D"/>
    <w:rsid w:val="004E1C14"/>
    <w:rsid w:val="004F3DC4"/>
    <w:rsid w:val="00531FDE"/>
    <w:rsid w:val="00540ADD"/>
    <w:rsid w:val="0054659A"/>
    <w:rsid w:val="00596400"/>
    <w:rsid w:val="005B6080"/>
    <w:rsid w:val="005D1F2D"/>
    <w:rsid w:val="005D2172"/>
    <w:rsid w:val="005D5FAC"/>
    <w:rsid w:val="005F0CE5"/>
    <w:rsid w:val="006073C5"/>
    <w:rsid w:val="00616CAE"/>
    <w:rsid w:val="00624BAD"/>
    <w:rsid w:val="0064694D"/>
    <w:rsid w:val="006572D3"/>
    <w:rsid w:val="006822E8"/>
    <w:rsid w:val="006841FB"/>
    <w:rsid w:val="00692CF7"/>
    <w:rsid w:val="00696352"/>
    <w:rsid w:val="00696AE4"/>
    <w:rsid w:val="006C4FFF"/>
    <w:rsid w:val="006D2CB9"/>
    <w:rsid w:val="006D60B4"/>
    <w:rsid w:val="00704AD3"/>
    <w:rsid w:val="00717428"/>
    <w:rsid w:val="00723F43"/>
    <w:rsid w:val="00751798"/>
    <w:rsid w:val="00753C53"/>
    <w:rsid w:val="00771115"/>
    <w:rsid w:val="0077515D"/>
    <w:rsid w:val="00784AA5"/>
    <w:rsid w:val="00790039"/>
    <w:rsid w:val="007B343C"/>
    <w:rsid w:val="007C0E44"/>
    <w:rsid w:val="007C4F50"/>
    <w:rsid w:val="007E00B2"/>
    <w:rsid w:val="007F3582"/>
    <w:rsid w:val="0080073A"/>
    <w:rsid w:val="00802116"/>
    <w:rsid w:val="0084163F"/>
    <w:rsid w:val="008471AC"/>
    <w:rsid w:val="008633B3"/>
    <w:rsid w:val="008816D8"/>
    <w:rsid w:val="0088379D"/>
    <w:rsid w:val="00885FDE"/>
    <w:rsid w:val="0089035A"/>
    <w:rsid w:val="008A2AF6"/>
    <w:rsid w:val="008E52F7"/>
    <w:rsid w:val="00914E73"/>
    <w:rsid w:val="00915CA9"/>
    <w:rsid w:val="009271CC"/>
    <w:rsid w:val="00932FB5"/>
    <w:rsid w:val="00947B19"/>
    <w:rsid w:val="009909F5"/>
    <w:rsid w:val="0099426C"/>
    <w:rsid w:val="009A0BBD"/>
    <w:rsid w:val="009A166D"/>
    <w:rsid w:val="009A343E"/>
    <w:rsid w:val="009A5DAE"/>
    <w:rsid w:val="009C17FF"/>
    <w:rsid w:val="009E3125"/>
    <w:rsid w:val="00A00F37"/>
    <w:rsid w:val="00A1798C"/>
    <w:rsid w:val="00A2367A"/>
    <w:rsid w:val="00A30598"/>
    <w:rsid w:val="00A4249A"/>
    <w:rsid w:val="00A5051B"/>
    <w:rsid w:val="00A50DBD"/>
    <w:rsid w:val="00A54C7E"/>
    <w:rsid w:val="00A84AF1"/>
    <w:rsid w:val="00A85A2E"/>
    <w:rsid w:val="00A962F4"/>
    <w:rsid w:val="00AA2B3C"/>
    <w:rsid w:val="00AC2931"/>
    <w:rsid w:val="00AC2CBC"/>
    <w:rsid w:val="00AC760F"/>
    <w:rsid w:val="00AD677B"/>
    <w:rsid w:val="00AE104A"/>
    <w:rsid w:val="00AF5593"/>
    <w:rsid w:val="00AF77E7"/>
    <w:rsid w:val="00B0405F"/>
    <w:rsid w:val="00B31A38"/>
    <w:rsid w:val="00B41ECB"/>
    <w:rsid w:val="00B45AF3"/>
    <w:rsid w:val="00B63241"/>
    <w:rsid w:val="00B650DB"/>
    <w:rsid w:val="00B77066"/>
    <w:rsid w:val="00B770E3"/>
    <w:rsid w:val="00B905F0"/>
    <w:rsid w:val="00BD1A99"/>
    <w:rsid w:val="00BE2216"/>
    <w:rsid w:val="00BF2FB6"/>
    <w:rsid w:val="00BF3038"/>
    <w:rsid w:val="00BF4AAA"/>
    <w:rsid w:val="00C05D5F"/>
    <w:rsid w:val="00C11061"/>
    <w:rsid w:val="00C211A5"/>
    <w:rsid w:val="00C2479E"/>
    <w:rsid w:val="00C24E4D"/>
    <w:rsid w:val="00C27537"/>
    <w:rsid w:val="00C32C7F"/>
    <w:rsid w:val="00C419F3"/>
    <w:rsid w:val="00C54245"/>
    <w:rsid w:val="00C611A3"/>
    <w:rsid w:val="00C72D48"/>
    <w:rsid w:val="00C7388A"/>
    <w:rsid w:val="00C85510"/>
    <w:rsid w:val="00C87C99"/>
    <w:rsid w:val="00CA4EE2"/>
    <w:rsid w:val="00CB7BE9"/>
    <w:rsid w:val="00CC715D"/>
    <w:rsid w:val="00CD49B9"/>
    <w:rsid w:val="00CD609E"/>
    <w:rsid w:val="00CF2140"/>
    <w:rsid w:val="00CF5CBE"/>
    <w:rsid w:val="00D044E7"/>
    <w:rsid w:val="00D20C3C"/>
    <w:rsid w:val="00D211BD"/>
    <w:rsid w:val="00D3391F"/>
    <w:rsid w:val="00D425EB"/>
    <w:rsid w:val="00D668F8"/>
    <w:rsid w:val="00D72944"/>
    <w:rsid w:val="00D763B3"/>
    <w:rsid w:val="00D84BB8"/>
    <w:rsid w:val="00D86A54"/>
    <w:rsid w:val="00D86A87"/>
    <w:rsid w:val="00D91A1D"/>
    <w:rsid w:val="00D93F33"/>
    <w:rsid w:val="00DB023E"/>
    <w:rsid w:val="00DB1B21"/>
    <w:rsid w:val="00DB2A24"/>
    <w:rsid w:val="00DC3CED"/>
    <w:rsid w:val="00DC4700"/>
    <w:rsid w:val="00DD234E"/>
    <w:rsid w:val="00DF0C24"/>
    <w:rsid w:val="00E00F35"/>
    <w:rsid w:val="00E355D5"/>
    <w:rsid w:val="00E50815"/>
    <w:rsid w:val="00EA02A0"/>
    <w:rsid w:val="00EA73E4"/>
    <w:rsid w:val="00EB3DE3"/>
    <w:rsid w:val="00EC6555"/>
    <w:rsid w:val="00EC7D4A"/>
    <w:rsid w:val="00ED03A0"/>
    <w:rsid w:val="00ED3B89"/>
    <w:rsid w:val="00ED62F2"/>
    <w:rsid w:val="00EE1B10"/>
    <w:rsid w:val="00EE7A0D"/>
    <w:rsid w:val="00EF045F"/>
    <w:rsid w:val="00EF092A"/>
    <w:rsid w:val="00F142CC"/>
    <w:rsid w:val="00F171A3"/>
    <w:rsid w:val="00F208EB"/>
    <w:rsid w:val="00F2701B"/>
    <w:rsid w:val="00F45D89"/>
    <w:rsid w:val="00F64562"/>
    <w:rsid w:val="00F674C8"/>
    <w:rsid w:val="00F75702"/>
    <w:rsid w:val="00F80AC1"/>
    <w:rsid w:val="00F80DC0"/>
    <w:rsid w:val="00F8171F"/>
    <w:rsid w:val="00F9082E"/>
    <w:rsid w:val="00F93258"/>
    <w:rsid w:val="00F95124"/>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79CBF641"/>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basedOn w:val="Normal"/>
    <w:link w:val="FootnoteTextChar"/>
    <w:uiPriority w:val="99"/>
    <w:semiHidden/>
    <w:unhideWhenUsed/>
    <w:rsid w:val="00DF0C24"/>
    <w:rPr>
      <w:sz w:val="20"/>
      <w:szCs w:val="20"/>
    </w:rPr>
  </w:style>
  <w:style w:type="character" w:customStyle="1" w:styleId="FootnoteTextChar">
    <w:name w:val="Footnote Text Char"/>
    <w:link w:val="FootnoteText"/>
    <w:uiPriority w:val="99"/>
    <w:semiHidden/>
    <w:rsid w:val="00DF0C24"/>
    <w:rPr>
      <w:rFonts w:ascii="Times New Roman" w:hAnsi="Times New Roman"/>
      <w:lang w:eastAsia="en-US"/>
    </w:rPr>
  </w:style>
  <w:style w:type="character" w:styleId="FootnoteReference">
    <w:name w:val="footnote reference"/>
    <w:uiPriority w:val="99"/>
    <w:semiHidden/>
    <w:unhideWhenUsed/>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EE1B10"/>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3.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4.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5.xml><?xml version="1.0" encoding="utf-8"?>
<ds:datastoreItem xmlns:ds="http://schemas.openxmlformats.org/officeDocument/2006/customXml" ds:itemID="{5FC79B99-51CC-448F-953D-000340105A44}">
  <ds:schemaRefs>
    <ds:schemaRef ds:uri="http://purl.org/dc/dcmitype/"/>
    <ds:schemaRef ds:uri="323f7832-4617-4a04-9584-fda549a8824c"/>
    <ds:schemaRef ds:uri="http://schemas.microsoft.com/office/2006/documentManagement/types"/>
    <ds:schemaRef ds:uri="http://schemas.openxmlformats.org/package/2006/metadata/core-properties"/>
    <ds:schemaRef ds:uri="http://purl.org/dc/elements/1.1/"/>
    <ds:schemaRef ds:uri="http://schemas.microsoft.com/sharepoint/v3"/>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6A162987-C149-4843-9855-C36F06109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6814</Words>
  <Characters>3885</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10678</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6</cp:revision>
  <cp:lastPrinted>2018-11-07T12:31:00Z</cp:lastPrinted>
  <dcterms:created xsi:type="dcterms:W3CDTF">2024-01-31T11:17:00Z</dcterms:created>
  <dcterms:modified xsi:type="dcterms:W3CDTF">2024-08-19T13:59:00Z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