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PU-6537</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Elektrolīnijas E020 automatizācija Sesavas pagastā, Jelgavas novadā</w:t>
      </w:r>
      <w:r w:rsidRPr="006F5271" w:rsidR="0041254B">
        <w:rPr>
          <w:rFonts w:cs="Times New Roman"/>
          <w:color w:val="000000"/>
          <w:szCs w:val="24"/>
        </w:rPr>
        <w:t xml:space="preserve"> (</w:t>
      </w:r>
      <w:r w:rsidRPr="006F5271" w:rsidR="0041254B">
        <w:rPr>
          <w:rFonts w:cs="Times New Roman"/>
          <w:color w:val="000000"/>
          <w:szCs w:val="24"/>
        </w:rPr>
        <w:t>TA-11884</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7.1.1. 20kV GVL U447 orientējoši starp balstu Nr.106 un balstu Nr.107 projektēt jaudas slēdzi ar RAA ar pieslēgumu ST dispečervadības sistēmai (DVS). </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i/>
          <w:iCs/>
          <w:color w:val="000000"/>
          <w:szCs w:val="24"/>
        </w:rPr>
        <w:t>norādījumu nav</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i/>
          <w:iCs/>
          <w:color w:val="000000"/>
          <w:szCs w:val="24"/>
        </w:rPr>
        <w:t>norādījumu nav</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Šapošņikova, Irina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