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C344DF"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N-2024-2621</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01F4F" w14:paraId="62AAE084" w14:textId="77777777">
      <w:pPr>
        <w:jc w:val="both"/>
        <w:rPr>
          <w:rFonts w:ascii="Times New Roman" w:hAnsi="Times New Roman" w:eastAsia="Calibri" w:cs="Times New Roman"/>
          <w:i/>
          <w:iCs/>
          <w:color w:val="000000"/>
          <w:lang w:val="lv-LV" w:eastAsia="lv-LV"/>
        </w:rPr>
      </w:pPr>
      <w:r w:rsidRPr="00C67AAD">
        <w:rPr>
          <w:rFonts w:ascii="Arial" w:hAnsi="Arial" w:eastAsia="Calibri" w:cs="Arial"/>
          <w:i/>
          <w:iCs/>
          <w:color w:val="808080"/>
          <w:lang w:val="lv-LV" w:eastAsia="lv-LV"/>
        </w:rPr>
        <w:t>Par atklāta konkursa “Inženierkonsultanta pakalpojumi termināļa paplašināšanas 6. kārtas būvdarbiem” (identifikācijas Nr. RIX 2023/427) nolikumu</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C344DF" w:rsidR="00C344DF" w:rsidP="00C344DF" w:rsidRDefault="00C344DF" w14:paraId="7FCC1AA0" w14:textId="77777777">
      <w:pPr>
        <w:jc w:val="both"/>
        <w:rPr>
          <w:rFonts w:ascii="Arial" w:hAnsi="Arial" w:cs="Arial"/>
          <w:color w:val="000000"/>
          <w:sz w:val="22"/>
          <w:szCs w:val="22"/>
          <w:shd w:val="clear" w:color="auto" w:fill="FFFFFF"/>
          <w:lang w:val="lv-LV"/>
        </w:rPr>
      </w:pPr>
      <w:bookmarkStart w:name="OLE_LINK6" w:id="0"/>
      <w:r w:rsidRPr="00C344DF">
        <w:rPr>
          <w:rFonts w:ascii="Arial" w:hAnsi="Arial" w:cs="Arial"/>
          <w:color w:val="000000"/>
          <w:sz w:val="22"/>
          <w:szCs w:val="22"/>
          <w:shd w:val="clear" w:color="auto" w:fill="FFFFFF"/>
          <w:lang w:val="lv-LV"/>
        </w:rPr>
        <w:t xml:space="preserve">Valsts akciju sabiedrība </w:t>
      </w:r>
      <w:bookmarkStart w:name="OLE_LINK35" w:id="1"/>
      <w:r w:rsidRPr="00C344DF">
        <w:rPr>
          <w:rFonts w:ascii="Arial" w:hAnsi="Arial" w:cs="Arial"/>
          <w:color w:val="000000"/>
          <w:sz w:val="22"/>
          <w:szCs w:val="22"/>
          <w:shd w:val="clear" w:color="auto" w:fill="FFFFFF"/>
          <w:lang w:val="lv-LV"/>
        </w:rPr>
        <w:t>„</w:t>
      </w:r>
      <w:bookmarkEnd w:id="1"/>
      <w:r w:rsidRPr="00C344DF">
        <w:rPr>
          <w:rFonts w:ascii="Arial" w:hAnsi="Arial" w:cs="Arial"/>
          <w:color w:val="000000"/>
          <w:sz w:val="22"/>
          <w:szCs w:val="22"/>
          <w:shd w:val="clear" w:color="auto" w:fill="FFFFFF"/>
          <w:lang w:val="lv-LV"/>
        </w:rPr>
        <w:t>STARPTAUTISKĀ LIDOSTA „RĪGA”” (turpmāk – Pasūtītājs) Elektronisko iepirkumu sistēmā 2024. gada 25.oktobrī saņēmusi ieinteresētā piegādātāja jautājumus par atklāta konkursa „</w:t>
      </w:r>
      <w:proofErr w:type="spellStart"/>
      <w:r w:rsidRPr="00C344DF">
        <w:rPr>
          <w:rFonts w:ascii="Arial" w:hAnsi="Arial" w:cs="Arial"/>
          <w:color w:val="000000"/>
          <w:sz w:val="22"/>
          <w:szCs w:val="22"/>
          <w:shd w:val="clear" w:color="auto" w:fill="FFFFFF"/>
          <w:lang w:val="lv-LV"/>
        </w:rPr>
        <w:t>Inženierkonsultanta</w:t>
      </w:r>
      <w:proofErr w:type="spellEnd"/>
      <w:r w:rsidRPr="00C344DF">
        <w:rPr>
          <w:rFonts w:ascii="Arial" w:hAnsi="Arial" w:cs="Arial"/>
          <w:color w:val="000000"/>
          <w:sz w:val="22"/>
          <w:szCs w:val="22"/>
          <w:shd w:val="clear" w:color="auto" w:fill="FFFFFF"/>
          <w:lang w:val="lv-LV"/>
        </w:rPr>
        <w:t xml:space="preserve"> pakalpojumi termināļa paplašināšanas 6. kārtas būvdarbiem” (identifikācijas Nr. RIX 2023/427) (turpmāk – Konkurss) nolikumu. Iepirkuma komisija ir izskatījusi jautājumus un apstiprinājusi šādu atbildi.</w:t>
      </w:r>
    </w:p>
    <w:p w:rsidRPr="00C344DF" w:rsidR="00C344DF" w:rsidP="00C344DF" w:rsidRDefault="00C344DF" w14:paraId="542666B5" w14:textId="77777777">
      <w:pPr>
        <w:jc w:val="both"/>
        <w:rPr>
          <w:rFonts w:ascii="Arial" w:hAnsi="Arial" w:cs="Arial"/>
          <w:color w:val="000000"/>
          <w:sz w:val="22"/>
          <w:szCs w:val="22"/>
          <w:shd w:val="clear" w:color="auto" w:fill="FFFFFF"/>
          <w:lang w:val="lv-LV"/>
        </w:rPr>
      </w:pPr>
    </w:p>
    <w:tbl>
      <w:tblPr>
        <w:tblStyle w:val="TableGrid"/>
        <w:tblW w:w="9351" w:type="dxa"/>
        <w:tblLook w:val="04A0" w:firstRow="1" w:lastRow="0" w:firstColumn="1" w:lastColumn="0" w:noHBand="0" w:noVBand="1"/>
      </w:tblPr>
      <w:tblGrid>
        <w:gridCol w:w="562"/>
        <w:gridCol w:w="3686"/>
        <w:gridCol w:w="5103"/>
      </w:tblGrid>
      <w:tr w:rsidRPr="00C344DF" w:rsidR="00C344DF" w:rsidTr="00C344DF" w14:paraId="6CA972AC" w14:textId="77777777">
        <w:tc>
          <w:tcPr>
            <w:tcW w:w="562" w:type="dxa"/>
            <w:tcBorders>
              <w:top w:val="single" w:color="auto" w:sz="4" w:space="0"/>
              <w:left w:val="single" w:color="auto" w:sz="4" w:space="0"/>
              <w:bottom w:val="single" w:color="auto" w:sz="4" w:space="0"/>
              <w:right w:val="single" w:color="auto" w:sz="4" w:space="0"/>
            </w:tcBorders>
          </w:tcPr>
          <w:p w:rsidRPr="00C344DF" w:rsidR="00C344DF" w:rsidP="00C344DF" w:rsidRDefault="00C344DF" w14:paraId="603F0DE3" w14:textId="77777777">
            <w:pPr>
              <w:jc w:val="both"/>
              <w:rPr>
                <w:rFonts w:ascii="Arial" w:hAnsi="Arial" w:cs="Arial"/>
                <w:b/>
                <w:bCs/>
                <w:color w:val="000000"/>
                <w:shd w:val="clear" w:color="auto" w:fill="FFFFFF"/>
              </w:rPr>
            </w:pPr>
          </w:p>
        </w:tc>
        <w:tc>
          <w:tcPr>
            <w:tcW w:w="3686" w:type="dxa"/>
            <w:tcBorders>
              <w:top w:val="single" w:color="auto" w:sz="4" w:space="0"/>
              <w:left w:val="single" w:color="auto" w:sz="4" w:space="0"/>
              <w:bottom w:val="single" w:color="auto" w:sz="4" w:space="0"/>
              <w:right w:val="single" w:color="auto" w:sz="4" w:space="0"/>
            </w:tcBorders>
            <w:hideMark/>
          </w:tcPr>
          <w:p w:rsidRPr="00C344DF" w:rsidR="00C344DF" w:rsidP="00C344DF" w:rsidRDefault="00C344DF" w14:paraId="6E049906" w14:textId="77777777">
            <w:pPr>
              <w:jc w:val="both"/>
              <w:rPr>
                <w:rFonts w:ascii="Arial" w:hAnsi="Arial" w:cs="Arial"/>
                <w:b/>
                <w:bCs/>
                <w:color w:val="000000"/>
                <w:shd w:val="clear" w:color="auto" w:fill="FFFFFF"/>
              </w:rPr>
            </w:pPr>
            <w:r w:rsidRPr="00C344DF">
              <w:rPr>
                <w:rFonts w:ascii="Arial" w:hAnsi="Arial" w:cs="Arial"/>
                <w:b/>
                <w:bCs/>
                <w:color w:val="000000"/>
                <w:shd w:val="clear" w:color="auto" w:fill="FFFFFF"/>
              </w:rPr>
              <w:t>Piegādātāja jautājumi:</w:t>
            </w:r>
          </w:p>
        </w:tc>
        <w:tc>
          <w:tcPr>
            <w:tcW w:w="5103" w:type="dxa"/>
            <w:tcBorders>
              <w:top w:val="single" w:color="auto" w:sz="4" w:space="0"/>
              <w:left w:val="single" w:color="auto" w:sz="4" w:space="0"/>
              <w:bottom w:val="single" w:color="auto" w:sz="4" w:space="0"/>
              <w:right w:val="single" w:color="auto" w:sz="4" w:space="0"/>
            </w:tcBorders>
            <w:hideMark/>
          </w:tcPr>
          <w:p w:rsidRPr="00C344DF" w:rsidR="00C344DF" w:rsidP="00C344DF" w:rsidRDefault="00C344DF" w14:paraId="416F7A09" w14:textId="77777777">
            <w:pPr>
              <w:jc w:val="both"/>
              <w:rPr>
                <w:rFonts w:ascii="Arial" w:hAnsi="Arial" w:cs="Arial"/>
                <w:b/>
                <w:bCs/>
                <w:color w:val="000000"/>
                <w:shd w:val="clear" w:color="auto" w:fill="FFFFFF"/>
              </w:rPr>
            </w:pPr>
            <w:r w:rsidRPr="00C344DF">
              <w:rPr>
                <w:rFonts w:ascii="Arial" w:hAnsi="Arial" w:cs="Arial"/>
                <w:b/>
                <w:bCs/>
                <w:color w:val="000000"/>
                <w:shd w:val="clear" w:color="auto" w:fill="FFFFFF"/>
              </w:rPr>
              <w:t>Pasūtītāja atbildes:</w:t>
            </w:r>
          </w:p>
        </w:tc>
      </w:tr>
      <w:tr w:rsidRPr="00C344DF" w:rsidR="00C344DF" w:rsidTr="00C344DF" w14:paraId="53E6C472" w14:textId="77777777">
        <w:tc>
          <w:tcPr>
            <w:tcW w:w="562" w:type="dxa"/>
            <w:tcBorders>
              <w:top w:val="single" w:color="auto" w:sz="4" w:space="0"/>
              <w:left w:val="single" w:color="auto" w:sz="4" w:space="0"/>
              <w:bottom w:val="single" w:color="auto" w:sz="4" w:space="0"/>
              <w:right w:val="single" w:color="auto" w:sz="4" w:space="0"/>
            </w:tcBorders>
          </w:tcPr>
          <w:p w:rsidRPr="00C344DF" w:rsidR="00C344DF" w:rsidP="00C344DF" w:rsidRDefault="00C344DF" w14:paraId="3BA134A9" w14:textId="77777777">
            <w:pPr>
              <w:numPr>
                <w:ilvl w:val="0"/>
                <w:numId w:val="1"/>
              </w:numPr>
              <w:jc w:val="both"/>
              <w:rPr>
                <w:rFonts w:ascii="Arial" w:hAnsi="Arial" w:cs="Arial"/>
                <w:color w:val="000000"/>
                <w:shd w:val="clear" w:color="auto" w:fill="FFFFFF"/>
              </w:rPr>
            </w:pPr>
          </w:p>
        </w:tc>
        <w:tc>
          <w:tcPr>
            <w:tcW w:w="3686" w:type="dxa"/>
            <w:tcBorders>
              <w:top w:val="single" w:color="auto" w:sz="4" w:space="0"/>
              <w:left w:val="single" w:color="auto" w:sz="4" w:space="0"/>
              <w:bottom w:val="single" w:color="auto" w:sz="4" w:space="0"/>
              <w:right w:val="single" w:color="auto" w:sz="4" w:space="0"/>
            </w:tcBorders>
            <w:hideMark/>
          </w:tcPr>
          <w:p w:rsidRPr="00C344DF" w:rsidR="00C344DF" w:rsidP="00C344DF" w:rsidRDefault="00C344DF" w14:paraId="326DFAC2" w14:textId="77777777">
            <w:pPr>
              <w:jc w:val="both"/>
              <w:rPr>
                <w:rFonts w:ascii="Arial" w:hAnsi="Arial" w:cs="Arial"/>
                <w:color w:val="000000"/>
                <w:shd w:val="clear" w:color="auto" w:fill="FFFFFF"/>
              </w:rPr>
            </w:pPr>
            <w:r w:rsidRPr="00C344DF">
              <w:rPr>
                <w:rFonts w:ascii="Arial" w:hAnsi="Arial" w:cs="Arial"/>
                <w:color w:val="000000"/>
                <w:shd w:val="clear" w:color="auto" w:fill="FFFFFF"/>
              </w:rPr>
              <w:t xml:space="preserve">Atsaucoties uz 4.nodaļas 4.2.7.2. apakšpunktu: </w:t>
            </w:r>
          </w:p>
          <w:p w:rsidRPr="00C344DF" w:rsidR="00C344DF" w:rsidP="00C344DF" w:rsidRDefault="00C344DF" w14:paraId="4039A344" w14:textId="77777777">
            <w:pPr>
              <w:jc w:val="both"/>
              <w:rPr>
                <w:rFonts w:ascii="Arial" w:hAnsi="Arial" w:cs="Arial"/>
                <w:color w:val="000000"/>
                <w:shd w:val="clear" w:color="auto" w:fill="FFFFFF"/>
              </w:rPr>
            </w:pPr>
            <w:r w:rsidRPr="00C344DF">
              <w:rPr>
                <w:rFonts w:ascii="Arial" w:hAnsi="Arial" w:cs="Arial"/>
                <w:color w:val="000000"/>
                <w:shd w:val="clear" w:color="auto" w:fill="FFFFFF"/>
              </w:rPr>
              <w:t>Lūgums apstiprināt, ka mātes sabiedrība, kurai 100% pieder Pretendenta sabiedrība, finanšu datus var sniegt, lai apstiprinātu nepieciešamos finanšu rādītājus? Piedāvājumā iesniedzot Eiropas vienoto iepirkuma procedūras dokumentu no mātes kompānijas pēc pieprasījuma 4.3. punktā.</w:t>
            </w:r>
          </w:p>
        </w:tc>
        <w:tc>
          <w:tcPr>
            <w:tcW w:w="5103" w:type="dxa"/>
            <w:tcBorders>
              <w:top w:val="single" w:color="auto" w:sz="4" w:space="0"/>
              <w:left w:val="single" w:color="auto" w:sz="4" w:space="0"/>
              <w:bottom w:val="single" w:color="auto" w:sz="4" w:space="0"/>
              <w:right w:val="single" w:color="auto" w:sz="4" w:space="0"/>
            </w:tcBorders>
          </w:tcPr>
          <w:p w:rsidRPr="00C344DF" w:rsidR="00C344DF" w:rsidP="00C344DF" w:rsidRDefault="00C344DF" w14:paraId="7E3949C8" w14:textId="77777777">
            <w:pPr>
              <w:jc w:val="both"/>
              <w:rPr>
                <w:rFonts w:ascii="Arial" w:hAnsi="Arial" w:cs="Arial"/>
                <w:color w:val="000000"/>
                <w:shd w:val="clear" w:color="auto" w:fill="FFFFFF"/>
              </w:rPr>
            </w:pPr>
            <w:r w:rsidRPr="00C344DF">
              <w:rPr>
                <w:rFonts w:ascii="Arial" w:hAnsi="Arial" w:cs="Arial"/>
                <w:color w:val="000000"/>
                <w:shd w:val="clear" w:color="auto" w:fill="FFFFFF"/>
              </w:rPr>
              <w:t>Nolikuma 4.2.7.2.punkts noteic, ka Pretendentam jābūt stabiliem finanšu un saimnieciskās darbības rādītājiem, kurus, piemērojot vispārpieņemtos finanšu analīzes paņēmienus, kā arī pamatojoties uz pēdējā auditētā (ja saskaņā ar normatīvajiem aktiem ir nepieciešams gada pārskata audits) un apstiprinātā gada pārskata rezultātiem, raksturo:</w:t>
            </w:r>
          </w:p>
          <w:p w:rsidRPr="00C344DF" w:rsidR="00C344DF" w:rsidP="00C344DF" w:rsidRDefault="00C344DF" w14:paraId="76D074F0" w14:textId="77777777">
            <w:pPr>
              <w:jc w:val="both"/>
              <w:rPr>
                <w:rFonts w:ascii="Arial" w:hAnsi="Arial" w:cs="Arial"/>
                <w:color w:val="000000"/>
                <w:shd w:val="clear" w:color="auto" w:fill="FFFFFF"/>
              </w:rPr>
            </w:pPr>
            <w:r w:rsidRPr="00C344DF">
              <w:rPr>
                <w:rFonts w:ascii="Arial" w:hAnsi="Arial" w:cs="Arial"/>
                <w:color w:val="000000"/>
                <w:shd w:val="clear" w:color="auto" w:fill="FFFFFF"/>
              </w:rPr>
              <w:t>4.2.7.2.1. likviditātes koeficients: apgrozāmie līdzekļi/ īstermiņa saistības ≥1;</w:t>
            </w:r>
          </w:p>
          <w:p w:rsidRPr="00C344DF" w:rsidR="00C344DF" w:rsidP="00C344DF" w:rsidRDefault="00C344DF" w14:paraId="362321FC" w14:textId="77777777">
            <w:pPr>
              <w:jc w:val="both"/>
              <w:rPr>
                <w:rFonts w:ascii="Arial" w:hAnsi="Arial" w:cs="Arial"/>
                <w:color w:val="000000"/>
                <w:shd w:val="clear" w:color="auto" w:fill="FFFFFF"/>
              </w:rPr>
            </w:pPr>
            <w:r w:rsidRPr="00C344DF">
              <w:rPr>
                <w:rFonts w:ascii="Arial" w:hAnsi="Arial" w:cs="Arial"/>
                <w:color w:val="000000"/>
                <w:shd w:val="clear" w:color="auto" w:fill="FFFFFF"/>
              </w:rPr>
              <w:t>4.2.7.2.2. pozitīvs pašu kapitāls.</w:t>
            </w:r>
          </w:p>
          <w:p w:rsidRPr="00C344DF" w:rsidR="00C344DF" w:rsidP="00C344DF" w:rsidRDefault="00C344DF" w14:paraId="7CDB91B1" w14:textId="77777777">
            <w:pPr>
              <w:jc w:val="both"/>
              <w:rPr>
                <w:rFonts w:ascii="Arial" w:hAnsi="Arial" w:cs="Arial"/>
                <w:color w:val="000000"/>
                <w:shd w:val="clear" w:color="auto" w:fill="FFFFFF"/>
              </w:rPr>
            </w:pPr>
            <w:r w:rsidRPr="00C344DF">
              <w:rPr>
                <w:rFonts w:ascii="Arial" w:hAnsi="Arial" w:cs="Arial"/>
                <w:color w:val="000000"/>
                <w:shd w:val="clear" w:color="auto" w:fill="FFFFFF"/>
              </w:rPr>
              <w:t>Ja Pretendents ir piegādātāju apvienība vai personālsabiedrība, tad katra piegādātāju apvienības dalībnieka vai personālsabiedrības biedra,  finanšu un saimnieciskās darbības rādītājiem jāatbilst Pretendentu atlases nolikuma 4.2.7.2. apakšpunktā paredzētajām prasībām.</w:t>
            </w:r>
          </w:p>
          <w:p w:rsidRPr="00C344DF" w:rsidR="00C344DF" w:rsidP="00C344DF" w:rsidRDefault="00C344DF" w14:paraId="0E7128A4" w14:textId="77777777">
            <w:pPr>
              <w:jc w:val="both"/>
              <w:rPr>
                <w:rFonts w:ascii="Arial" w:hAnsi="Arial" w:cs="Arial"/>
                <w:color w:val="000000"/>
                <w:shd w:val="clear" w:color="auto" w:fill="FFFFFF"/>
              </w:rPr>
            </w:pPr>
            <w:r w:rsidRPr="00C344DF">
              <w:rPr>
                <w:rFonts w:ascii="Arial" w:hAnsi="Arial" w:cs="Arial"/>
                <w:color w:val="000000"/>
                <w:shd w:val="clear" w:color="auto" w:fill="FFFFFF"/>
              </w:rPr>
              <w:t>Vienlaikus minētā prasība ir jāskata kopā ar 4.2.7.punktā ietverto piebildi, ka Pretendentu atlases nolikuma 4.2.7. punktā minētās prasības attiecināmas tikai uz tādiem piegādātāju apvienības dalībniekiem (ja Pretendents ir piegādātāju apvienība), personālsabiedrības biedriem (ja Pretendents ir personālsabiedrība), uz kuru  iespējām Pretendents balstās, lai izpildītu kvalifikācijas prasības attiecībā uz Pretendenta finansiālo un saimniecisko stāvokli, un kuri būs finansiāli atbildīgi par Iepirkuma līguma izpildi.</w:t>
            </w:r>
          </w:p>
          <w:p w:rsidRPr="00C344DF" w:rsidR="00C344DF" w:rsidP="00C344DF" w:rsidRDefault="00C344DF" w14:paraId="2630E070" w14:textId="77777777">
            <w:pPr>
              <w:jc w:val="both"/>
              <w:rPr>
                <w:rFonts w:ascii="Arial" w:hAnsi="Arial" w:cs="Arial"/>
                <w:color w:val="000000"/>
                <w:shd w:val="clear" w:color="auto" w:fill="FFFFFF"/>
              </w:rPr>
            </w:pPr>
          </w:p>
          <w:p w:rsidRPr="00C344DF" w:rsidR="00C344DF" w:rsidP="00C344DF" w:rsidRDefault="00C344DF" w14:paraId="3C1EFFC1" w14:textId="77777777">
            <w:pPr>
              <w:jc w:val="both"/>
              <w:rPr>
                <w:rFonts w:ascii="Arial" w:hAnsi="Arial" w:cs="Arial"/>
                <w:color w:val="000000"/>
                <w:shd w:val="clear" w:color="auto" w:fill="FFFFFF"/>
              </w:rPr>
            </w:pPr>
            <w:r w:rsidRPr="00C344DF">
              <w:rPr>
                <w:rFonts w:ascii="Arial" w:hAnsi="Arial" w:cs="Arial"/>
                <w:color w:val="000000"/>
                <w:shd w:val="clear" w:color="auto" w:fill="FFFFFF"/>
              </w:rPr>
              <w:lastRenderedPageBreak/>
              <w:t>Saskaņā ar Sabiedrisko pakalpojumu sniedzēju iepirkumu likuma 51.panta astoto daļu, piegādātājs var balstīties uz citu personu saimnieciskajām un finansiālajām iespējām, ja tas ir nepieciešams konkrētā iepirkuma līguma izpildei, neatkarīgi no savstarpējo attiecību tiesiskā rakstura. Šādā gadījumā piegādātājs pierāda sabiedrisko pakalpojumu sniedzējam, ka viņa rīcībā būs nepieciešamie resursi, iesniedzot, piemēram, šo personu apliecinājumu vai vienošanos par sadarbību konkrētā iepirkuma līguma izpildē. </w:t>
            </w:r>
          </w:p>
          <w:p w:rsidRPr="00C344DF" w:rsidR="00C344DF" w:rsidP="00C344DF" w:rsidRDefault="00C344DF" w14:paraId="0C466B81" w14:textId="77777777">
            <w:pPr>
              <w:jc w:val="both"/>
              <w:rPr>
                <w:rFonts w:ascii="Arial" w:hAnsi="Arial" w:cs="Arial"/>
                <w:color w:val="000000"/>
                <w:shd w:val="clear" w:color="auto" w:fill="FFFFFF"/>
              </w:rPr>
            </w:pPr>
          </w:p>
          <w:p w:rsidRPr="00C344DF" w:rsidR="00C344DF" w:rsidP="00C344DF" w:rsidRDefault="00C344DF" w14:paraId="0496E5EB" w14:textId="77777777">
            <w:pPr>
              <w:jc w:val="both"/>
              <w:rPr>
                <w:rFonts w:ascii="Arial" w:hAnsi="Arial" w:cs="Arial"/>
                <w:color w:val="000000"/>
                <w:shd w:val="clear" w:color="auto" w:fill="FFFFFF"/>
              </w:rPr>
            </w:pPr>
            <w:r w:rsidRPr="00C344DF">
              <w:rPr>
                <w:rFonts w:ascii="Arial" w:hAnsi="Arial" w:cs="Arial"/>
                <w:color w:val="000000"/>
                <w:shd w:val="clear" w:color="auto" w:fill="FFFFFF"/>
              </w:rPr>
              <w:t xml:space="preserve">Tieši pretendenta atbildība ir sagādāt tādus pierādījumus, kas objektīvi ļauj pasūtītājam pārliecināties par to, ka pretendenta rīcībā faktiski būs nepieciešamie resursi. Pretendentam ir izvēles brīvība, ar kādiem līdzekļiem šo apstākli pierādīt, tāpēc pretendentam pašam jāraugās, lai tā sagādātie pierādījumi būtu pietiekami.  </w:t>
            </w:r>
          </w:p>
          <w:p w:rsidRPr="00C344DF" w:rsidR="00C344DF" w:rsidP="00C344DF" w:rsidRDefault="00C344DF" w14:paraId="2BFF28BC" w14:textId="77777777">
            <w:pPr>
              <w:jc w:val="both"/>
              <w:rPr>
                <w:rFonts w:ascii="Arial" w:hAnsi="Arial" w:cs="Arial"/>
                <w:color w:val="000000"/>
                <w:shd w:val="clear" w:color="auto" w:fill="FFFFFF"/>
              </w:rPr>
            </w:pPr>
          </w:p>
          <w:p w:rsidRPr="00C344DF" w:rsidR="00C344DF" w:rsidP="00C344DF" w:rsidRDefault="00C344DF" w14:paraId="76CA8F42" w14:textId="77777777">
            <w:pPr>
              <w:jc w:val="both"/>
              <w:rPr>
                <w:rFonts w:ascii="Arial" w:hAnsi="Arial" w:cs="Arial"/>
                <w:color w:val="000000"/>
                <w:shd w:val="clear" w:color="auto" w:fill="FFFFFF"/>
              </w:rPr>
            </w:pPr>
            <w:r w:rsidRPr="00C344DF">
              <w:rPr>
                <w:rFonts w:ascii="Arial" w:hAnsi="Arial" w:cs="Arial"/>
                <w:color w:val="000000"/>
                <w:shd w:val="clear" w:color="auto" w:fill="FFFFFF"/>
              </w:rPr>
              <w:t>Papildus lūdzam skatīt Latvijas Republikas Senāta Administratīvo lietu departamenta 2024.gada 16.februāra spriedumu lietā Nr. A420192821, SKA-72/2024.</w:t>
            </w:r>
          </w:p>
        </w:tc>
      </w:tr>
      <w:tr w:rsidRPr="00C344DF" w:rsidR="00C344DF" w:rsidTr="00C344DF" w14:paraId="57577B35" w14:textId="77777777">
        <w:tc>
          <w:tcPr>
            <w:tcW w:w="562" w:type="dxa"/>
            <w:tcBorders>
              <w:top w:val="single" w:color="auto" w:sz="4" w:space="0"/>
              <w:left w:val="single" w:color="auto" w:sz="4" w:space="0"/>
              <w:bottom w:val="single" w:color="auto" w:sz="4" w:space="0"/>
              <w:right w:val="single" w:color="auto" w:sz="4" w:space="0"/>
            </w:tcBorders>
          </w:tcPr>
          <w:p w:rsidRPr="00C344DF" w:rsidR="00C344DF" w:rsidP="00C344DF" w:rsidRDefault="00C344DF" w14:paraId="570B31CA" w14:textId="77777777">
            <w:pPr>
              <w:numPr>
                <w:ilvl w:val="0"/>
                <w:numId w:val="1"/>
              </w:numPr>
              <w:jc w:val="both"/>
              <w:rPr>
                <w:rFonts w:ascii="Arial" w:hAnsi="Arial" w:cs="Arial"/>
                <w:color w:val="000000"/>
                <w:shd w:val="clear" w:color="auto" w:fill="FFFFFF"/>
              </w:rPr>
            </w:pPr>
          </w:p>
        </w:tc>
        <w:tc>
          <w:tcPr>
            <w:tcW w:w="3686" w:type="dxa"/>
            <w:tcBorders>
              <w:top w:val="single" w:color="auto" w:sz="4" w:space="0"/>
              <w:left w:val="single" w:color="auto" w:sz="4" w:space="0"/>
              <w:bottom w:val="single" w:color="auto" w:sz="4" w:space="0"/>
              <w:right w:val="single" w:color="auto" w:sz="4" w:space="0"/>
            </w:tcBorders>
            <w:hideMark/>
          </w:tcPr>
          <w:p w:rsidRPr="00C344DF" w:rsidR="00C344DF" w:rsidP="00C344DF" w:rsidRDefault="00C344DF" w14:paraId="6381ED32" w14:textId="77777777">
            <w:pPr>
              <w:jc w:val="both"/>
              <w:rPr>
                <w:rFonts w:ascii="Arial" w:hAnsi="Arial" w:cs="Arial"/>
                <w:color w:val="000000"/>
                <w:shd w:val="clear" w:color="auto" w:fill="FFFFFF"/>
              </w:rPr>
            </w:pPr>
            <w:r w:rsidRPr="00C344DF">
              <w:rPr>
                <w:rFonts w:ascii="Arial" w:hAnsi="Arial" w:cs="Arial"/>
                <w:color w:val="000000"/>
                <w:shd w:val="clear" w:color="auto" w:fill="FFFFFF"/>
              </w:rPr>
              <w:t>Vai Pasūtītājs objektā nodrošinās telpas būvuzraugam darbu veikšanai?</w:t>
            </w:r>
          </w:p>
        </w:tc>
        <w:tc>
          <w:tcPr>
            <w:tcW w:w="5103" w:type="dxa"/>
            <w:tcBorders>
              <w:top w:val="single" w:color="auto" w:sz="4" w:space="0"/>
              <w:left w:val="single" w:color="auto" w:sz="4" w:space="0"/>
              <w:bottom w:val="single" w:color="auto" w:sz="4" w:space="0"/>
              <w:right w:val="single" w:color="auto" w:sz="4" w:space="0"/>
            </w:tcBorders>
            <w:hideMark/>
          </w:tcPr>
          <w:p w:rsidRPr="00C344DF" w:rsidR="00C344DF" w:rsidP="00C344DF" w:rsidRDefault="00C344DF" w14:paraId="0A7576B4" w14:textId="77777777">
            <w:pPr>
              <w:jc w:val="both"/>
              <w:rPr>
                <w:rFonts w:ascii="Arial" w:hAnsi="Arial" w:cs="Arial"/>
                <w:color w:val="000000"/>
                <w:shd w:val="clear" w:color="auto" w:fill="FFFFFF"/>
              </w:rPr>
            </w:pPr>
            <w:r w:rsidRPr="00C344DF">
              <w:rPr>
                <w:rFonts w:ascii="Arial" w:hAnsi="Arial" w:cs="Arial"/>
                <w:color w:val="000000"/>
                <w:shd w:val="clear" w:color="auto" w:fill="FFFFFF"/>
              </w:rPr>
              <w:t>Pasūtītājs būvdarbu iepirkuma ietvaros ir paredzējis, ka būvdarbu veicējs nodrošina Konsultantam modulāros konteinerus 2.5x6m, līdz 10 gabaliem.</w:t>
            </w:r>
          </w:p>
        </w:tc>
      </w:tr>
      <w:tr w:rsidRPr="00C344DF" w:rsidR="00C344DF" w:rsidTr="00C344DF" w14:paraId="68550FC3" w14:textId="77777777">
        <w:tc>
          <w:tcPr>
            <w:tcW w:w="562" w:type="dxa"/>
            <w:tcBorders>
              <w:top w:val="single" w:color="auto" w:sz="4" w:space="0"/>
              <w:left w:val="single" w:color="auto" w:sz="4" w:space="0"/>
              <w:bottom w:val="single" w:color="auto" w:sz="4" w:space="0"/>
              <w:right w:val="single" w:color="auto" w:sz="4" w:space="0"/>
            </w:tcBorders>
          </w:tcPr>
          <w:p w:rsidRPr="00C344DF" w:rsidR="00C344DF" w:rsidP="00C344DF" w:rsidRDefault="00C344DF" w14:paraId="521E7359" w14:textId="77777777">
            <w:pPr>
              <w:numPr>
                <w:ilvl w:val="0"/>
                <w:numId w:val="1"/>
              </w:numPr>
              <w:jc w:val="both"/>
              <w:rPr>
                <w:rFonts w:ascii="Arial" w:hAnsi="Arial" w:cs="Arial"/>
                <w:color w:val="000000"/>
                <w:shd w:val="clear" w:color="auto" w:fill="FFFFFF"/>
              </w:rPr>
            </w:pPr>
          </w:p>
        </w:tc>
        <w:tc>
          <w:tcPr>
            <w:tcW w:w="3686" w:type="dxa"/>
            <w:tcBorders>
              <w:top w:val="single" w:color="auto" w:sz="4" w:space="0"/>
              <w:left w:val="single" w:color="auto" w:sz="4" w:space="0"/>
              <w:bottom w:val="single" w:color="auto" w:sz="4" w:space="0"/>
              <w:right w:val="single" w:color="auto" w:sz="4" w:space="0"/>
            </w:tcBorders>
            <w:hideMark/>
          </w:tcPr>
          <w:p w:rsidRPr="00C344DF" w:rsidR="00C344DF" w:rsidP="00C344DF" w:rsidRDefault="00C344DF" w14:paraId="753C0807" w14:textId="77777777">
            <w:pPr>
              <w:jc w:val="both"/>
              <w:rPr>
                <w:rFonts w:ascii="Arial" w:hAnsi="Arial" w:cs="Arial"/>
                <w:color w:val="000000"/>
                <w:shd w:val="clear" w:color="auto" w:fill="FFFFFF"/>
              </w:rPr>
            </w:pPr>
            <w:r w:rsidRPr="00C344DF">
              <w:rPr>
                <w:rFonts w:ascii="Arial" w:hAnsi="Arial" w:cs="Arial"/>
                <w:color w:val="000000"/>
                <w:shd w:val="clear" w:color="auto" w:fill="FFFFFF"/>
              </w:rPr>
              <w:t>Atsaucoties uz 4.nodaļas 4.2.8. un 4.2.9. apakšpunktiem:</w:t>
            </w:r>
          </w:p>
          <w:p w:rsidRPr="00C344DF" w:rsidR="00C344DF" w:rsidP="00C344DF" w:rsidRDefault="00C344DF" w14:paraId="1B0CE78F" w14:textId="77777777">
            <w:pPr>
              <w:jc w:val="both"/>
              <w:rPr>
                <w:rFonts w:ascii="Arial" w:hAnsi="Arial" w:cs="Arial"/>
                <w:color w:val="000000"/>
                <w:shd w:val="clear" w:color="auto" w:fill="FFFFFF"/>
              </w:rPr>
            </w:pPr>
            <w:r w:rsidRPr="00C344DF">
              <w:rPr>
                <w:rFonts w:ascii="Arial" w:hAnsi="Arial" w:cs="Arial"/>
                <w:color w:val="000000"/>
                <w:shd w:val="clear" w:color="auto" w:fill="FFFFFF"/>
              </w:rPr>
              <w:t>Vai abos apakšpunktos minētos Pretendenta pieredzi Pretendents var balstīt uz līdzvērtīgu pieredzi, lai arī dokumentācijā nav minēts, ka ir sniegti tieši FIDIC pakalpojumi?</w:t>
            </w:r>
          </w:p>
        </w:tc>
        <w:tc>
          <w:tcPr>
            <w:tcW w:w="5103" w:type="dxa"/>
            <w:tcBorders>
              <w:top w:val="single" w:color="auto" w:sz="4" w:space="0"/>
              <w:left w:val="single" w:color="auto" w:sz="4" w:space="0"/>
              <w:bottom w:val="single" w:color="auto" w:sz="4" w:space="0"/>
              <w:right w:val="single" w:color="auto" w:sz="4" w:space="0"/>
            </w:tcBorders>
          </w:tcPr>
          <w:p w:rsidRPr="00C344DF" w:rsidR="00C344DF" w:rsidP="00C344DF" w:rsidRDefault="00C344DF" w14:paraId="591C2BE5" w14:textId="77777777">
            <w:pPr>
              <w:jc w:val="both"/>
              <w:rPr>
                <w:rFonts w:ascii="Arial" w:hAnsi="Arial" w:cs="Arial"/>
                <w:color w:val="000000"/>
                <w:shd w:val="clear" w:color="auto" w:fill="FFFFFF"/>
              </w:rPr>
            </w:pPr>
            <w:r w:rsidRPr="00C344DF">
              <w:rPr>
                <w:rFonts w:ascii="Arial" w:hAnsi="Arial" w:cs="Arial"/>
                <w:color w:val="000000"/>
                <w:shd w:val="clear" w:color="auto" w:fill="FFFFFF"/>
              </w:rPr>
              <w:t>Nolikuma 4.2.8.2.punkts paredz, ka pieredze jāpierāda ar līgumu, kura ietvaros pretendents ir veicis FIDIC inženiera grupas vadītāja  pienākumus saskaņā ar FIDIC dzelteno  vai sarkano  grāmatu.</w:t>
            </w:r>
          </w:p>
          <w:p w:rsidRPr="00C344DF" w:rsidR="00C344DF" w:rsidP="00C344DF" w:rsidRDefault="00C344DF" w14:paraId="28CCCCF4" w14:textId="77777777">
            <w:pPr>
              <w:jc w:val="both"/>
              <w:rPr>
                <w:rFonts w:ascii="Arial" w:hAnsi="Arial" w:cs="Arial"/>
                <w:color w:val="000000"/>
                <w:shd w:val="clear" w:color="auto" w:fill="FFFFFF"/>
              </w:rPr>
            </w:pPr>
            <w:r w:rsidRPr="00C344DF">
              <w:rPr>
                <w:rFonts w:ascii="Arial" w:hAnsi="Arial" w:cs="Arial"/>
                <w:color w:val="000000"/>
                <w:shd w:val="clear" w:color="auto" w:fill="FFFFFF"/>
              </w:rPr>
              <w:t>Nolikuma 4.2.9.1. punkts paredz, ka speciālistam jābūt pieredzei kā FIDIC inženieru grupas vadītājam saskaņā ar FIDIC dzelteno  vai sarkano  grāmatu.</w:t>
            </w:r>
          </w:p>
          <w:p w:rsidRPr="00C344DF" w:rsidR="00C344DF" w:rsidP="00C344DF" w:rsidRDefault="00C344DF" w14:paraId="53DF8189" w14:textId="77777777">
            <w:pPr>
              <w:jc w:val="both"/>
              <w:rPr>
                <w:rFonts w:ascii="Arial" w:hAnsi="Arial" w:cs="Arial"/>
                <w:color w:val="000000"/>
                <w:shd w:val="clear" w:color="auto" w:fill="FFFFFF"/>
              </w:rPr>
            </w:pPr>
            <w:r w:rsidRPr="00C344DF">
              <w:rPr>
                <w:rFonts w:ascii="Arial" w:hAnsi="Arial" w:cs="Arial"/>
                <w:color w:val="000000"/>
                <w:shd w:val="clear" w:color="auto" w:fill="FFFFFF"/>
              </w:rPr>
              <w:t>Nolikuma 4.2.9.2.punkts paredz, ka speciālistam jābūt pieredzei FIDIC inženiera pienākumu veikšanā saskaņā ar FIDIC dzelteno  vai sarkano  grāmatu.</w:t>
            </w:r>
          </w:p>
          <w:p w:rsidRPr="00C344DF" w:rsidR="00C344DF" w:rsidP="00C344DF" w:rsidRDefault="00C344DF" w14:paraId="407936E4" w14:textId="77777777">
            <w:pPr>
              <w:jc w:val="both"/>
              <w:rPr>
                <w:rFonts w:ascii="Arial" w:hAnsi="Arial" w:cs="Arial"/>
                <w:color w:val="000000"/>
                <w:shd w:val="clear" w:color="auto" w:fill="FFFFFF"/>
              </w:rPr>
            </w:pPr>
          </w:p>
          <w:p w:rsidRPr="00C344DF" w:rsidR="00C344DF" w:rsidP="00C344DF" w:rsidRDefault="00C344DF" w14:paraId="053BA5AB" w14:textId="77777777">
            <w:pPr>
              <w:jc w:val="both"/>
              <w:rPr>
                <w:rFonts w:ascii="Arial" w:hAnsi="Arial" w:cs="Arial"/>
                <w:color w:val="000000"/>
                <w:shd w:val="clear" w:color="auto" w:fill="FFFFFF"/>
              </w:rPr>
            </w:pPr>
            <w:r w:rsidRPr="00C344DF">
              <w:rPr>
                <w:rFonts w:ascii="Arial" w:hAnsi="Arial" w:cs="Arial"/>
                <w:color w:val="000000"/>
                <w:shd w:val="clear" w:color="auto" w:fill="FFFFFF"/>
              </w:rPr>
              <w:t xml:space="preserve">Pasūtītājs norāda, Nolikumā ietvertās prasības ir skaidri izprotamas un prasītās pieredzes pierādīšana ir paša pretendenta pienākums. </w:t>
            </w:r>
          </w:p>
          <w:p w:rsidRPr="00C344DF" w:rsidR="00C344DF" w:rsidP="00C344DF" w:rsidRDefault="00C344DF" w14:paraId="5C4F469E" w14:textId="77777777">
            <w:pPr>
              <w:jc w:val="both"/>
              <w:rPr>
                <w:rFonts w:ascii="Arial" w:hAnsi="Arial" w:cs="Arial"/>
                <w:color w:val="000000"/>
                <w:shd w:val="clear" w:color="auto" w:fill="FFFFFF"/>
              </w:rPr>
            </w:pPr>
          </w:p>
        </w:tc>
      </w:tr>
      <w:bookmarkEnd w:id="0"/>
    </w:tbl>
    <w:p w:rsidRPr="00C344DF" w:rsidR="00C344DF" w:rsidP="00C344DF" w:rsidRDefault="00C344DF" w14:paraId="224A890E" w14:textId="77777777">
      <w:pPr>
        <w:jc w:val="both"/>
        <w:rPr>
          <w:rFonts w:ascii="Arial" w:hAnsi="Arial" w:cs="Arial"/>
          <w:color w:val="000000"/>
          <w:sz w:val="22"/>
          <w:szCs w:val="22"/>
          <w:shd w:val="clear" w:color="auto" w:fill="FFFFFF"/>
          <w:lang w:val="lv-LV"/>
        </w:rPr>
      </w:pPr>
    </w:p>
    <w:p w:rsidRPr="00C344DF" w:rsidR="00C344DF" w:rsidP="00C344DF" w:rsidRDefault="00C344DF" w14:paraId="20789011" w14:textId="77777777">
      <w:pPr>
        <w:jc w:val="both"/>
        <w:rPr>
          <w:rFonts w:ascii="Arial" w:hAnsi="Arial" w:cs="Arial"/>
          <w:color w:val="000000"/>
          <w:sz w:val="22"/>
          <w:szCs w:val="22"/>
          <w:shd w:val="clear" w:color="auto" w:fill="FFFFFF"/>
          <w:lang w:val="lv-LV"/>
        </w:rPr>
      </w:pPr>
    </w:p>
    <w:p w:rsidRPr="00C344DF" w:rsidR="00C344DF" w:rsidP="00C344DF" w:rsidRDefault="00C344DF" w14:paraId="4C3B9592" w14:textId="77777777">
      <w:pPr>
        <w:jc w:val="both"/>
        <w:rPr>
          <w:rFonts w:ascii="Arial" w:hAnsi="Arial" w:cs="Arial"/>
          <w:color w:val="000000"/>
          <w:sz w:val="22"/>
          <w:szCs w:val="22"/>
          <w:shd w:val="clear" w:color="auto" w:fill="FFFFFF"/>
          <w:lang w:val="lv-LV"/>
        </w:rPr>
      </w:pPr>
      <w:r w:rsidRPr="00C344DF">
        <w:rPr>
          <w:rFonts w:ascii="Arial" w:hAnsi="Arial" w:cs="Arial"/>
          <w:color w:val="000000"/>
          <w:sz w:val="22"/>
          <w:szCs w:val="22"/>
          <w:shd w:val="clear" w:color="auto" w:fill="FFFFFF"/>
          <w:lang w:val="lv-LV"/>
        </w:rPr>
        <w:t xml:space="preserve">Ar cieņu, </w:t>
      </w:r>
    </w:p>
    <w:p w:rsidRPr="00C344DF" w:rsidR="00C344DF" w:rsidP="00C344DF" w:rsidRDefault="00C344DF" w14:paraId="24E5E120" w14:textId="77777777">
      <w:pPr>
        <w:jc w:val="both"/>
        <w:rPr>
          <w:rFonts w:ascii="Arial" w:hAnsi="Arial" w:cs="Arial"/>
          <w:color w:val="000000"/>
          <w:sz w:val="22"/>
          <w:szCs w:val="22"/>
          <w:shd w:val="clear" w:color="auto" w:fill="FFFFFF"/>
          <w:lang w:val="lv-LV"/>
        </w:rPr>
      </w:pPr>
    </w:p>
    <w:p w:rsidRPr="00401F4F" w:rsidR="00DC2E84" w:rsidP="00C344DF" w:rsidRDefault="00C344DF" w14:paraId="0862571C" w14:textId="21FA4F5C">
      <w:pPr>
        <w:jc w:val="both"/>
        <w:rPr>
          <w:rFonts w:ascii="Times New Roman" w:hAnsi="Times New Roman" w:eastAsia="Calibri" w:cs="Times New Roman"/>
          <w:color w:val="000000"/>
          <w:lang w:val="lv-LV" w:eastAsia="lv-LV"/>
        </w:rPr>
      </w:pPr>
      <w:r w:rsidRPr="00C344DF">
        <w:rPr>
          <w:rFonts w:ascii="Arial" w:hAnsi="Arial" w:cs="Arial"/>
          <w:color w:val="000000"/>
          <w:sz w:val="22"/>
          <w:szCs w:val="22"/>
          <w:shd w:val="clear" w:color="auto" w:fill="FFFFFF"/>
          <w:lang w:val="lv-LV"/>
        </w:rPr>
        <w:t>Iepirkuma komisijas priekšsēdētājs</w:t>
      </w:r>
    </w:p>
    <w:p w:rsidRPr="00401F4F" w:rsidR="00401F4F" w:rsidP="00401F4F" w:rsidRDefault="00401F4F" w14:paraId="37D71772" w14:textId="77777777">
      <w:pPr>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C344DF"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C344DF"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Vladimirs Krasausks</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lastRenderedPageBreak/>
        <w:t>Diāna Dunda</w:t>
      </w:r>
      <w:r w:rsidRPr="00401F4F">
        <w:rPr>
          <w:rFonts w:ascii="Times New Roman" w:hAnsi="Times New Roman" w:eastAsia="Times New Roman" w:cs="Times New Roman"/>
          <w:i/>
          <w:iCs/>
          <w:sz w:val="20"/>
          <w:szCs w:val="20"/>
          <w:lang w:val="lv-LV"/>
        </w:rPr>
        <w:t xml:space="preserve">, </w:t>
      </w:r>
      <w:r w:rsidRPr="00C67AAD">
        <w:rPr>
          <w:rFonts w:ascii="Arial" w:hAnsi="Arial" w:eastAsia="Calibri" w:cs="Arial"/>
          <w:i/>
          <w:iCs/>
          <w:color w:val="808080"/>
          <w:sz w:val="20"/>
          <w:szCs w:val="20"/>
          <w:lang w:val="lv-LV" w:eastAsia="lv-LV"/>
        </w:rPr>
        <w:t>67207686</w:t>
      </w:r>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D.Dunda@riga-airport.com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12"/>
      <w:pgSz w:w="11900" w:h="16840"/>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8AA1C" w14:textId="77777777" w:rsidR="00932930" w:rsidRDefault="00932930" w:rsidP="00401F4F">
      <w:r>
        <w:separator/>
      </w:r>
    </w:p>
  </w:endnote>
  <w:endnote w:type="continuationSeparator" w:id="0">
    <w:p w14:paraId="7F37E2AA" w14:textId="77777777" w:rsidR="00932930" w:rsidRDefault="00932930"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FCD72" w14:textId="77777777" w:rsidR="00932930" w:rsidRDefault="00932930" w:rsidP="00401F4F">
      <w:r>
        <w:separator/>
      </w:r>
    </w:p>
  </w:footnote>
  <w:footnote w:type="continuationSeparator" w:id="0">
    <w:p w14:paraId="3615703B" w14:textId="77777777" w:rsidR="00932930" w:rsidRDefault="00932930"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EFD17" w14:textId="63501FF1" w:rsidR="00D84309" w:rsidRDefault="00D84309" w:rsidP="00DA51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95297F"/>
    <w:multiLevelType w:val="hybridMultilevel"/>
    <w:tmpl w:val="DE562740"/>
    <w:lvl w:ilvl="0" w:tplc="573032BC">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num w:numId="1" w16cid:durableId="1681009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401F4F"/>
    <w:rsid w:val="00452A36"/>
    <w:rsid w:val="004A772D"/>
    <w:rsid w:val="00561A5D"/>
    <w:rsid w:val="005E62C1"/>
    <w:rsid w:val="00664EC0"/>
    <w:rsid w:val="007300EE"/>
    <w:rsid w:val="007C761B"/>
    <w:rsid w:val="00932930"/>
    <w:rsid w:val="009434CF"/>
    <w:rsid w:val="009E1FE6"/>
    <w:rsid w:val="00AA39EE"/>
    <w:rsid w:val="00BA2118"/>
    <w:rsid w:val="00BA4DED"/>
    <w:rsid w:val="00C344DF"/>
    <w:rsid w:val="00C67AAD"/>
    <w:rsid w:val="00CB3444"/>
    <w:rsid w:val="00D84309"/>
    <w:rsid w:val="00DA51DC"/>
    <w:rsid w:val="00DC2E84"/>
    <w:rsid w:val="00E43A8B"/>
    <w:rsid w:val="00E97BBF"/>
    <w:rsid w:val="00EB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736978084">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 w:id="214534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914AEE"/>
    <w:rsid w:val="00AC0ED8"/>
    <w:rsid w:val="00BA211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9d5f1915-e3df-4d1c-a05b-61f237c64c49</BBS_RelatedItemID>
  </documentManagement>
</p:properties>
</file>

<file path=customXml/itemProps1.xml><?xml version="1.0" encoding="utf-8"?>
<ds:datastoreItem xmlns:ds="http://schemas.openxmlformats.org/officeDocument/2006/customXml" ds:itemID="{C9F1FC0C-42D2-49EB-99AE-C786082D0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customXml/itemProps3.xml><?xml version="1.0" encoding="utf-8"?>
<ds:datastoreItem xmlns:ds="http://schemas.openxmlformats.org/officeDocument/2006/customXml" ds:itemID="{D95491FC-7758-46BE-9DD3-CA29F5479FB8}">
  <ds:schemaRefs>
    <ds:schemaRef ds:uri="http://schemas.microsoft.com/sharepoint/v3/contenttype/forms"/>
  </ds:schemaRefs>
</ds:datastoreItem>
</file>

<file path=customXml/itemProps4.xml><?xml version="1.0" encoding="utf-8"?>
<ds:datastoreItem xmlns:ds="http://schemas.openxmlformats.org/officeDocument/2006/customXml" ds:itemID="{9F437EA0-365F-4833-ACBA-B3B85C5B2A1F}">
  <ds:schemaRefs>
    <ds:schemaRef ds:uri="http://schemas.microsoft.com/office/2006/documentManagement/types"/>
    <ds:schemaRef ds:uri="http://www.w3.org/XML/1998/namespace"/>
    <ds:schemaRef ds:uri="http://schemas.openxmlformats.org/package/2006/metadata/core-properties"/>
    <ds:schemaRef ds:uri="http://purl.org/dc/terms/"/>
    <ds:schemaRef ds:uri="http://schemas.microsoft.com/office/infopath/2007/PartnerControls"/>
    <ds:schemaRef ds:uri="b07788d4-8abc-46f1-82d8-8e3c5aaeb223"/>
    <ds:schemaRef ds:uri="http://schemas.microsoft.com/office/2006/metadata/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2958</Words>
  <Characters>1687</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
  <dc:description/>
  <cp:lastModifiedBy>Diāna Dunda</cp:lastModifiedBy>
  <cp:revision>7</cp:revision>
  <dcterms:created xsi:type="dcterms:W3CDTF">2024-01-29T11:02:00Z</dcterms:created>
  <dcterms:modified xsi:type="dcterms:W3CDTF">2024-10-30T12:10:00Z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