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1B7DC7" w:rsidR="001E062D" w:rsidP="00081B6F" w:rsidRDefault="00AA39EE" w14:paraId="0C9F0F23" w14:textId="743447D5">
      <w:pPr>
        <w:rPr>
          <w:rFonts w:ascii="Arial" w:hAnsi="Arial" w:cs="Arial"/>
        </w:rPr>
      </w:pPr>
      <w:bookmarkStart w:name="_GoBack" w:id="0"/>
      <w:r w:rsidRPr="001B7DC7">
        <w:rPr>
          <w:rFonts w:ascii="Arial" w:hAnsi="Arial" w:cs="Arial"/>
          <w:noProof/>
        </w:rPr>
        <w:drawing>
          <wp:inline distT="0" distB="0" distL="0" distR="0" wp14:anchorId="57A92A52" wp14:editId="7D1EA76E">
            <wp:extent cx="5974420" cy="108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X veidlapa A4 el.pdf"/>
                    <pic:cNvPicPr/>
                  </pic:nvPicPr>
                  <pic:blipFill rotWithShape="1">
                    <a:blip r:embed="rId6">
                      <a:extLst>
                        <a:ext uri="{28A0092B-C50C-407E-A947-70E740481C1C}">
                          <a14:useLocalDpi xmlns:a14="http://schemas.microsoft.com/office/drawing/2010/main" val="0"/>
                        </a:ext>
                      </a:extLst>
                    </a:blip>
                    <a:srcRect t="1333" b="-1360"/>
                    <a:stretch/>
                  </pic:blipFill>
                  <pic:spPr bwMode="auto">
                    <a:xfrm>
                      <a:off x="0" y="0"/>
                      <a:ext cx="5976000" cy="1080286"/>
                    </a:xfrm>
                    <a:prstGeom prst="rect">
                      <a:avLst/>
                    </a:prstGeom>
                    <a:ln>
                      <a:noFill/>
                    </a:ln>
                    <a:extLst>
                      <a:ext uri="{53640926-AAD7-44D8-BBD7-CCE9431645EC}">
                        <a14:shadowObscured xmlns:a14="http://schemas.microsoft.com/office/drawing/2010/main"/>
                      </a:ext>
                    </a:extLst>
                  </pic:spPr>
                </pic:pic>
              </a:graphicData>
            </a:graphic>
          </wp:inline>
        </w:drawing>
      </w:r>
    </w:p>
    <w:p w:rsidRPr="001B7DC7" w:rsidR="00401F4F" w:rsidP="00401F4F" w:rsidRDefault="00401F4F" w14:paraId="7209F841" w14:textId="77777777">
      <w:pPr>
        <w:spacing w:line="276" w:lineRule="auto"/>
        <w:jc w:val="center"/>
        <w:rPr>
          <w:rFonts w:ascii="Arial" w:hAnsi="Arial" w:eastAsia="Times New Roman" w:cs="Arial"/>
          <w:iCs/>
          <w:sz w:val="22"/>
          <w:szCs w:val="22"/>
          <w:lang w:val="lv-LV"/>
        </w:rPr>
      </w:pPr>
      <w:r w:rsidRPr="001B7DC7">
        <w:rPr>
          <w:rFonts w:ascii="Arial" w:hAnsi="Arial" w:eastAsia="Times New Roman" w:cs="Arial"/>
          <w:iCs/>
          <w:sz w:val="22"/>
          <w:szCs w:val="22"/>
          <w:lang w:val="lv-LV"/>
        </w:rPr>
        <w:t>Mārupes novadā</w:t>
      </w:r>
    </w:p>
    <w:p w:rsidRPr="001B7DC7" w:rsidR="00401F4F" w:rsidP="00401F4F" w:rsidRDefault="00401F4F" w14:paraId="0385B7C6" w14:textId="77777777">
      <w:pPr>
        <w:ind w:left="1440" w:firstLine="720"/>
        <w:jc w:val="right"/>
        <w:rPr>
          <w:rFonts w:ascii="Arial" w:hAnsi="Arial" w:eastAsia="Calibri" w:cs="Arial"/>
          <w:b/>
          <w:color w:val="000000"/>
          <w:lang w:val="lv-LV" w:eastAsia="lv-LV"/>
        </w:rPr>
      </w:pPr>
    </w:p>
    <w:p w:rsidRPr="001B7DC7" w:rsidR="00401F4F" w:rsidP="00401F4F" w:rsidRDefault="00401F4F" w14:paraId="3BE7D89C" w14:textId="77777777">
      <w:pPr>
        <w:ind w:left="1440" w:firstLine="720"/>
        <w:jc w:val="right"/>
        <w:rPr>
          <w:rFonts w:ascii="Arial" w:hAnsi="Arial" w:eastAsia="Calibri" w:cs="Arial"/>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1B7DC7" w:rsidR="00401F4F" w:rsidTr="008D124A" w14:paraId="301BE328" w14:textId="77777777">
        <w:tc>
          <w:tcPr>
            <w:tcW w:w="4104" w:type="dxa"/>
          </w:tcPr>
          <w:p w:rsidRPr="001B7DC7" w:rsidR="00401F4F" w:rsidP="00401F4F" w:rsidRDefault="008F7A9E" w14:paraId="486D9C8F" w14:textId="77777777">
            <w:pPr>
              <w:jc w:val="right"/>
              <w:rPr>
                <w:rFonts w:ascii="Arial" w:hAnsi="Arial" w:eastAsia="Calibri" w:cs="Arial"/>
                <w:b/>
                <w:color w:val="000000"/>
              </w:rPr>
            </w:pPr>
            <w:r w:rsidRPr="001B7DC7" w:rsidR="00401F4F">
              <w:rPr>
                <w:rFonts w:ascii="Arial" w:hAnsi="Arial" w:eastAsia="Calibri" w:cs="Arial"/>
                <w:b/>
                <w:bCs/>
                <w:color w:val="808080"/>
              </w:rPr>
              <w:t>Atbilde uz EIS</w:t>
            </w:r>
          </w:p>
        </w:tc>
      </w:tr>
      <w:tr w:rsidRPr="001B7DC7" w:rsidR="00401F4F" w:rsidTr="008D124A" w14:paraId="287F4188" w14:textId="77777777">
        <w:tc>
          <w:tcPr>
            <w:tcW w:w="4104" w:type="dxa"/>
          </w:tcPr>
          <w:p w:rsidRPr="001B7DC7" w:rsidR="00401F4F" w:rsidP="00401F4F" w:rsidRDefault="00401F4F" w14:paraId="38E63AC4" w14:textId="77777777">
            <w:pPr>
              <w:jc w:val="right"/>
              <w:rPr>
                <w:rFonts w:ascii="Arial" w:hAnsi="Arial" w:eastAsia="Times New Roman" w:cs="Arial"/>
                <w:color w:val="000000"/>
                <w:sz w:val="8"/>
                <w:szCs w:val="8"/>
              </w:rPr>
            </w:pPr>
          </w:p>
          <w:p w:rsidRPr="001B7DC7" w:rsidR="00401F4F" w:rsidP="00401F4F" w:rsidRDefault="008F7A9E" w14:paraId="736944BF" w14:textId="77777777">
            <w:pPr>
              <w:jc w:val="right"/>
              <w:rPr>
                <w:rFonts w:ascii="Arial" w:hAnsi="Arial" w:eastAsia="Calibri" w:cs="Arial"/>
                <w:b/>
                <w:color w:val="000000"/>
              </w:rPr>
            </w:pPr>
            <w:r w:rsidRPr="001B7DC7" w:rsidR="00401F4F">
              <w:rPr>
                <w:rFonts w:ascii="Arial" w:hAnsi="Arial" w:eastAsia="Calibri" w:cs="Arial"/>
                <w:i/>
                <w:iCs/>
                <w:color w:val="808080"/>
              </w:rPr>
              <w:t>atbildeuzeis@riga-airport.com</w:t>
            </w:r>
          </w:p>
        </w:tc>
      </w:tr>
    </w:tbl>
    <w:p w:rsidRPr="001B7DC7" w:rsidR="00401F4F" w:rsidP="00401F4F" w:rsidRDefault="00401F4F" w14:paraId="3501D8D8" w14:textId="77777777">
      <w:pPr>
        <w:ind w:left="1440" w:firstLine="720"/>
        <w:jc w:val="right"/>
        <w:rPr>
          <w:rFonts w:ascii="Arial" w:hAnsi="Arial" w:eastAsia="Calibri" w:cs="Arial"/>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6"/>
        <w:gridCol w:w="1879"/>
      </w:tblGrid>
      <w:tr w:rsidRPr="001B7DC7" w:rsidR="00401F4F" w:rsidTr="008D124A" w14:paraId="3E1557A2" w14:textId="77777777">
        <w:trPr>
          <w:trHeight w:val="300"/>
        </w:trPr>
        <w:tc>
          <w:tcPr>
            <w:tcW w:w="496" w:type="dxa"/>
            <w:noWrap/>
            <w:vAlign w:val="bottom"/>
          </w:tcPr>
          <w:p w:rsidRPr="001B7DC7" w:rsidR="00401F4F" w:rsidP="00401F4F" w:rsidRDefault="00401F4F" w14:paraId="22E8B987" w14:textId="77777777">
            <w:pPr>
              <w:rPr>
                <w:rFonts w:ascii="Arial" w:hAnsi="Arial" w:eastAsia="Calibri" w:cs="Arial"/>
                <w:color w:val="000000"/>
                <w:lang w:val="lv-LV" w:eastAsia="lv-LV"/>
              </w:rPr>
            </w:pPr>
            <w:r w:rsidRPr="001B7DC7">
              <w:rPr>
                <w:rFonts w:ascii="Arial" w:hAnsi="Arial" w:eastAsia="Calibri" w:cs="Arial"/>
                <w:color w:val="000000"/>
                <w:lang w:val="lv-LV" w:eastAsia="lv-LV"/>
              </w:rPr>
              <w:t> </w:t>
            </w:r>
          </w:p>
          <w:p w:rsidRPr="001B7DC7" w:rsidR="00401F4F" w:rsidP="00401F4F" w:rsidRDefault="00401F4F" w14:paraId="55222877" w14:textId="77777777">
            <w:pPr>
              <w:rPr>
                <w:rFonts w:ascii="Arial" w:hAnsi="Arial" w:eastAsia="Calibri" w:cs="Arial"/>
                <w:color w:val="000000"/>
                <w:lang w:val="lv-LV" w:eastAsia="lv-LV"/>
              </w:rPr>
            </w:pPr>
          </w:p>
        </w:tc>
        <w:tc>
          <w:tcPr>
            <w:tcW w:w="2022" w:type="dxa"/>
            <w:tcBorders>
              <w:bottom w:val="single" w:color="auto" w:sz="4" w:space="0"/>
            </w:tcBorders>
            <w:noWrap/>
            <w:vAlign w:val="bottom"/>
          </w:tcPr>
          <w:p w:rsidRPr="001B7DC7" w:rsidR="00401F4F" w:rsidP="00401F4F" w:rsidRDefault="00401F4F" w14:paraId="1A772E75" w14:textId="77777777">
            <w:pPr>
              <w:rPr>
                <w:rFonts w:ascii="Arial" w:hAnsi="Arial" w:eastAsia="Calibri" w:cs="Arial"/>
                <w:color w:val="000000"/>
                <w:lang w:val="lv-LV" w:eastAsia="lv-LV"/>
              </w:rPr>
            </w:pPr>
          </w:p>
        </w:tc>
        <w:tc>
          <w:tcPr>
            <w:tcW w:w="530" w:type="dxa"/>
            <w:noWrap/>
            <w:vAlign w:val="bottom"/>
          </w:tcPr>
          <w:p w:rsidRPr="001B7DC7" w:rsidR="00401F4F" w:rsidP="00401F4F" w:rsidRDefault="00401F4F" w14:paraId="693DEE15" w14:textId="77777777">
            <w:pPr>
              <w:rPr>
                <w:rFonts w:ascii="Arial" w:hAnsi="Arial" w:eastAsia="Calibri" w:cs="Arial"/>
                <w:color w:val="000000"/>
                <w:lang w:val="lv-LV" w:eastAsia="lv-LV"/>
              </w:rPr>
            </w:pPr>
            <w:r w:rsidRPr="001B7DC7">
              <w:rPr>
                <w:rFonts w:ascii="Arial" w:hAnsi="Arial" w:eastAsia="Calibri" w:cs="Arial"/>
                <w:color w:val="000000"/>
                <w:lang w:val="lv-LV" w:eastAsia="lv-LV"/>
              </w:rPr>
              <w:t>Nr.</w:t>
            </w:r>
          </w:p>
        </w:tc>
        <w:tc>
          <w:tcPr>
            <w:tcW w:w="1879" w:type="dxa"/>
            <w:tcBorders>
              <w:bottom w:val="single" w:color="auto" w:sz="4" w:space="0"/>
            </w:tcBorders>
            <w:noWrap/>
            <w:vAlign w:val="bottom"/>
          </w:tcPr>
          <w:p w:rsidRPr="001B7DC7" w:rsidR="00401F4F" w:rsidP="00401F4F" w:rsidRDefault="008F7A9E" w14:paraId="07E38296" w14:textId="77777777">
            <w:pPr>
              <w:rPr>
                <w:rFonts w:ascii="Arial" w:hAnsi="Arial" w:eastAsia="Calibri" w:cs="Arial"/>
                <w:color w:val="000000"/>
                <w:lang w:val="lv-LV" w:eastAsia="lv-LV"/>
              </w:rPr>
            </w:pPr>
            <w:r w:rsidRPr="001B7DC7" w:rsidR="00401F4F">
              <w:rPr>
                <w:rFonts w:ascii="Arial" w:hAnsi="Arial" w:eastAsia="Calibri" w:cs="Arial"/>
                <w:color w:val="808080"/>
                <w:lang w:val="lv-LV" w:eastAsia="lv-LV"/>
              </w:rPr>
              <w:t>N-2023-3202</w:t>
            </w:r>
          </w:p>
        </w:tc>
      </w:tr>
    </w:tbl>
    <w:p w:rsidRPr="001B7DC7" w:rsidR="00401F4F" w:rsidP="00401F4F" w:rsidRDefault="00401F4F" w14:paraId="53CFC2F5" w14:textId="77777777">
      <w:pPr>
        <w:tabs>
          <w:tab w:val="left" w:pos="0"/>
        </w:tabs>
        <w:ind w:right="-341"/>
        <w:jc w:val="both"/>
        <w:rPr>
          <w:rFonts w:ascii="Arial" w:hAnsi="Arial" w:eastAsia="Calibri" w:cs="Arial"/>
          <w:color w:val="000000"/>
          <w:lang w:val="lv-LV" w:eastAsia="lv-LV"/>
        </w:rPr>
      </w:pPr>
    </w:p>
    <w:p w:rsidRPr="001B7DC7" w:rsidR="00401F4F" w:rsidP="00401F4F" w:rsidRDefault="00401F4F" w14:paraId="64771A6D" w14:textId="77777777">
      <w:pPr>
        <w:tabs>
          <w:tab w:val="left" w:pos="0"/>
        </w:tabs>
        <w:ind w:right="-341"/>
        <w:jc w:val="both"/>
        <w:rPr>
          <w:rFonts w:ascii="Arial" w:hAnsi="Arial" w:eastAsia="Calibri" w:cs="Arial"/>
          <w:color w:val="000000"/>
          <w:lang w:val="lv-LV" w:eastAsia="lv-LV"/>
        </w:rPr>
      </w:pPr>
    </w:p>
    <w:p w:rsidRPr="001B7DC7" w:rsidR="00401F4F" w:rsidP="00401F4F" w:rsidRDefault="00401F4F" w14:paraId="483DB73E" w14:textId="77777777">
      <w:pPr>
        <w:tabs>
          <w:tab w:val="left" w:pos="0"/>
        </w:tabs>
        <w:ind w:right="-341"/>
        <w:jc w:val="both"/>
        <w:rPr>
          <w:rFonts w:ascii="Arial" w:hAnsi="Arial" w:eastAsia="Calibri" w:cs="Arial"/>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tr w:rsidRPr="001B7DC7" w:rsidR="00401F4F" w:rsidTr="008D124A" w14:paraId="7AC8D3D3" w14:textId="77777777">
        <w:tc>
          <w:tcPr>
            <w:tcW w:w="704" w:type="dxa"/>
          </w:tcPr>
          <w:p w:rsidRPr="001B7DC7" w:rsidR="00401F4F" w:rsidP="00401F4F" w:rsidRDefault="00401F4F" w14:paraId="02AB91BB" w14:textId="77777777">
            <w:pPr>
              <w:textAlignment w:val="center"/>
              <w:rPr>
                <w:rFonts w:ascii="Arial" w:hAnsi="Arial" w:eastAsia="Calibri" w:cs="Arial"/>
                <w:color w:val="000000"/>
              </w:rPr>
            </w:pPr>
            <w:r w:rsidRPr="001B7DC7">
              <w:rPr>
                <w:rFonts w:ascii="Arial" w:hAnsi="Arial" w:eastAsia="Calibri" w:cs="Arial"/>
                <w:color w:val="000000"/>
              </w:rPr>
              <w:t>Uz:</w:t>
            </w:r>
          </w:p>
        </w:tc>
        <w:tc>
          <w:tcPr>
            <w:tcW w:w="1843" w:type="dxa"/>
            <w:tcBorders>
              <w:bottom w:val="single" w:color="auto" w:sz="4" w:space="0"/>
            </w:tcBorders>
          </w:tcPr>
          <w:p w:rsidRPr="001B7DC7" w:rsidR="00401F4F" w:rsidP="00401F4F" w:rsidRDefault="008F7A9E" w14:paraId="0B025BFF" w14:textId="77777777">
            <w:pPr>
              <w:textAlignment w:val="center"/>
              <w:rPr>
                <w:rFonts w:ascii="Arial" w:hAnsi="Arial" w:eastAsia="Calibri" w:cs="Arial"/>
                <w:color w:val="000000"/>
              </w:rPr>
            </w:pPr>
            <w:r w:rsidRPr="001B7DC7" w:rsidR="00401F4F">
              <w:rPr>
                <w:rFonts w:ascii="Arial" w:hAnsi="Arial" w:eastAsia="Calibri" w:cs="Arial"/>
                <w:color w:val="808080"/>
              </w:rPr>
              <w:t/>
            </w:r>
          </w:p>
        </w:tc>
        <w:tc>
          <w:tcPr>
            <w:tcW w:w="491" w:type="dxa"/>
          </w:tcPr>
          <w:p w:rsidRPr="001B7DC7" w:rsidR="00401F4F" w:rsidP="00401F4F" w:rsidRDefault="00401F4F" w14:paraId="74900DCB" w14:textId="77777777">
            <w:pPr>
              <w:textAlignment w:val="center"/>
              <w:rPr>
                <w:rFonts w:ascii="Arial" w:hAnsi="Arial" w:eastAsia="Calibri" w:cs="Arial"/>
                <w:color w:val="000000"/>
              </w:rPr>
            </w:pPr>
            <w:r w:rsidRPr="001B7DC7">
              <w:rPr>
                <w:rFonts w:ascii="Arial" w:hAnsi="Arial" w:eastAsia="Calibri" w:cs="Arial"/>
                <w:color w:val="000000"/>
              </w:rPr>
              <w:t>Nr.</w:t>
            </w:r>
          </w:p>
        </w:tc>
        <w:tc>
          <w:tcPr>
            <w:tcW w:w="1919" w:type="dxa"/>
            <w:tcBorders>
              <w:bottom w:val="single" w:color="auto" w:sz="4" w:space="0"/>
            </w:tcBorders>
          </w:tcPr>
          <w:p w:rsidRPr="001B7DC7" w:rsidR="00401F4F" w:rsidP="00401F4F" w:rsidRDefault="008F7A9E" w14:paraId="556E1281" w14:textId="77777777">
            <w:pPr>
              <w:textAlignment w:val="center"/>
              <w:rPr>
                <w:rFonts w:ascii="Arial" w:hAnsi="Arial" w:eastAsia="Calibri" w:cs="Arial"/>
                <w:color w:val="000000"/>
              </w:rPr>
            </w:pPr>
            <w:r w:rsidRPr="001B7DC7" w:rsidR="00401F4F">
              <w:rPr>
                <w:rFonts w:ascii="Arial" w:hAnsi="Arial" w:eastAsia="Calibri" w:cs="Arial"/>
                <w:color w:val="808080"/>
              </w:rPr>
              <w:t/>
            </w:r>
          </w:p>
        </w:tc>
      </w:tr>
      <w:tr w:rsidRPr="001B7DC7" w:rsidR="00401F4F" w:rsidTr="008D124A" w14:paraId="7AC8D3D3" w14:textId="77777777">
        <w:tc>
          <w:tcPr>
            <w:tcW w:w="704" w:type="dxa"/>
          </w:tcPr>
          <w:p w:rsidRPr="001B7DC7" w:rsidR="00401F4F" w:rsidP="00401F4F" w:rsidRDefault="00401F4F" w14:paraId="02AB91BB" w14:textId="77777777">
            <w:pPr>
              <w:textAlignment w:val="center"/>
              <w:rPr>
                <w:rFonts w:ascii="Arial" w:hAnsi="Arial" w:eastAsia="Calibri" w:cs="Arial"/>
                <w:color w:val="000000"/>
              </w:rPr>
            </w:pPr>
            <w:r w:rsidRPr="001B7DC7">
              <w:rPr>
                <w:rFonts w:ascii="Arial" w:hAnsi="Arial" w:eastAsia="Calibri" w:cs="Arial"/>
                <w:color w:val="000000"/>
              </w:rPr>
              <w:t>Uz:</w:t>
            </w:r>
          </w:p>
        </w:tc>
        <w:tc>
          <w:tcPr>
            <w:tcW w:w="1843" w:type="dxa"/>
            <w:tcBorders>
              <w:bottom w:val="single" w:color="auto" w:sz="4" w:space="0"/>
            </w:tcBorders>
          </w:tcPr>
          <w:p w:rsidRPr="001B7DC7" w:rsidR="00401F4F" w:rsidP="00401F4F" w:rsidRDefault="008F7A9E" w14:paraId="0B025BFF" w14:textId="77777777">
            <w:pPr>
              <w:textAlignment w:val="center"/>
              <w:rPr>
                <w:rFonts w:ascii="Arial" w:hAnsi="Arial" w:eastAsia="Calibri" w:cs="Arial"/>
                <w:color w:val="000000"/>
              </w:rPr>
            </w:pPr>
            <w:r w:rsidRPr="001B7DC7" w:rsidR="00401F4F">
              <w:rPr>
                <w:rFonts w:ascii="Arial" w:hAnsi="Arial" w:eastAsia="Calibri" w:cs="Arial"/>
                <w:color w:val="808080"/>
              </w:rPr>
              <w:t/>
            </w:r>
          </w:p>
        </w:tc>
        <w:tc>
          <w:tcPr>
            <w:tcW w:w="491" w:type="dxa"/>
          </w:tcPr>
          <w:p w:rsidRPr="001B7DC7" w:rsidR="00401F4F" w:rsidP="00401F4F" w:rsidRDefault="00401F4F" w14:paraId="74900DCB" w14:textId="77777777">
            <w:pPr>
              <w:textAlignment w:val="center"/>
              <w:rPr>
                <w:rFonts w:ascii="Arial" w:hAnsi="Arial" w:eastAsia="Calibri" w:cs="Arial"/>
                <w:color w:val="000000"/>
              </w:rPr>
            </w:pPr>
            <w:r w:rsidRPr="001B7DC7">
              <w:rPr>
                <w:rFonts w:ascii="Arial" w:hAnsi="Arial" w:eastAsia="Calibri" w:cs="Arial"/>
                <w:color w:val="000000"/>
              </w:rPr>
              <w:t>Nr.</w:t>
            </w:r>
          </w:p>
        </w:tc>
        <w:tc>
          <w:tcPr>
            <w:tcW w:w="1919" w:type="dxa"/>
            <w:tcBorders>
              <w:bottom w:val="single" w:color="auto" w:sz="4" w:space="0"/>
            </w:tcBorders>
          </w:tcPr>
          <w:p w:rsidRPr="001B7DC7" w:rsidR="00401F4F" w:rsidP="00401F4F" w:rsidRDefault="008F7A9E" w14:paraId="556E1281" w14:textId="77777777">
            <w:pPr>
              <w:textAlignment w:val="center"/>
              <w:rPr>
                <w:rFonts w:ascii="Arial" w:hAnsi="Arial" w:eastAsia="Calibri" w:cs="Arial"/>
                <w:color w:val="000000"/>
              </w:rPr>
            </w:pPr>
            <w:r w:rsidRPr="001B7DC7" w:rsidR="00401F4F">
              <w:rPr>
                <w:rFonts w:ascii="Arial" w:hAnsi="Arial" w:eastAsia="Calibri" w:cs="Arial"/>
                <w:color w:val="808080"/>
              </w:rPr>
              <w:t/>
            </w:r>
          </w:p>
        </w:tc>
      </w:tr>
    </w:tbl>
    <w:p w:rsidRPr="001B7DC7" w:rsidR="00401F4F" w:rsidP="00401F4F" w:rsidRDefault="00401F4F" w14:paraId="05733440" w14:textId="77777777">
      <w:pPr>
        <w:jc w:val="both"/>
        <w:rPr>
          <w:rFonts w:ascii="Arial" w:hAnsi="Arial" w:eastAsia="Calibri" w:cs="Arial"/>
          <w:color w:val="000000"/>
          <w:sz w:val="12"/>
          <w:szCs w:val="12"/>
          <w:lang w:val="lv-LV" w:eastAsia="lv-LV"/>
        </w:rPr>
      </w:pPr>
    </w:p>
    <w:p w:rsidRPr="001B7DC7" w:rsidR="00401F4F" w:rsidP="00401F4F" w:rsidRDefault="00401F4F" w14:paraId="2FA832A0" w14:textId="77777777">
      <w:pPr>
        <w:jc w:val="both"/>
        <w:rPr>
          <w:rFonts w:ascii="Arial" w:hAnsi="Arial" w:eastAsia="Calibri" w:cs="Arial"/>
          <w:color w:val="000000"/>
          <w:lang w:val="lv-LV" w:eastAsia="lv-LV"/>
        </w:rPr>
      </w:pPr>
    </w:p>
    <w:p w:rsidRPr="001B7DC7" w:rsidR="00401F4F" w:rsidP="00401F4F" w:rsidRDefault="008F7A9E" w14:paraId="62AAE084" w14:textId="77777777">
      <w:pPr>
        <w:jc w:val="both"/>
        <w:rPr>
          <w:rFonts w:ascii="Arial" w:hAnsi="Arial" w:eastAsia="Calibri" w:cs="Arial"/>
          <w:i/>
          <w:iCs/>
          <w:color w:val="000000"/>
          <w:lang w:val="lv-LV" w:eastAsia="lv-LV"/>
        </w:rPr>
      </w:pPr>
      <w:r w:rsidRPr="4CEBA761" w:rsidR="4CEBA761">
        <w:rPr>
          <w:rFonts w:ascii="Arial,Calibri" w:hAnsi="Arial,Calibri" w:eastAsia="Arial,Calibri" w:cs="Arial,Calibri"/>
          <w:i w:val="1"/>
          <w:iCs w:val="1"/>
          <w:color w:val="808080" w:themeColor="text1" w:themeTint="7F" w:themeShade="FF"/>
          <w:lang w:val="lv-LV" w:eastAsia="lv-LV"/>
        </w:rPr>
        <w:t>Par atklāta konkursa “Rokas bagāžas sprāgstvielu atklāšanas sistēmas (EDS) ar C3 standartu iegāde un uzstādīšana” (identifikācijas Nr. RIX 2023/315) nolikuma prasībām</w:t>
      </w:r>
    </w:p>
    <w:p w:rsidR="4CEBA761" w:rsidRDefault="4CEBA761" w14:paraId="419A9C03" w14:textId="7065740C" w14:noSpellErr="1">
      <w:r w:rsidRPr="4CEBA761" w:rsidR="4CEBA761">
        <w:rPr>
          <w:rFonts w:ascii="Calibri" w:hAnsi="Calibri" w:eastAsia="Calibri" w:cs="Calibri"/>
          <w:b w:val="1"/>
          <w:bCs w:val="1"/>
          <w:i w:val="1"/>
          <w:iCs w:val="1"/>
          <w:color w:val="595959" w:themeColor="text1" w:themeTint="A6" w:themeShade="FF"/>
          <w:sz w:val="24"/>
          <w:szCs w:val="24"/>
          <w:lang w:val="en-GB"/>
        </w:rPr>
        <w:t>Regarding the Terms of Reference of the open tender procedure “Purchase and Installation of C3 Standard Hand Baggage Explosive Detection System (EDS)” (Identification No. RIX 2023/315)</w:t>
      </w:r>
    </w:p>
    <w:p w:rsidR="4CEBA761" w:rsidRDefault="4CEBA761" w14:paraId="093095BA" w14:textId="499A1055">
      <w:r w:rsidRPr="4CEBA761" w:rsidR="4CEBA761">
        <w:rPr>
          <w:rFonts w:ascii="Calibri" w:hAnsi="Calibri" w:eastAsia="Calibri" w:cs="Calibri"/>
          <w:b w:val="1"/>
          <w:bCs w:val="1"/>
          <w:i w:val="1"/>
          <w:iCs w:val="1"/>
          <w:sz w:val="24"/>
          <w:szCs w:val="24"/>
          <w:lang w:val="en-GB"/>
        </w:rPr>
        <w:t xml:space="preserve"> </w:t>
      </w:r>
    </w:p>
    <w:p w:rsidR="4CEBA761" w:rsidP="4CEBA761" w:rsidRDefault="4CEBA761" w14:paraId="702E9F4E" w14:textId="64DB07A8">
      <w:pPr>
        <w:ind w:firstLine="720"/>
        <w:jc w:val="both"/>
      </w:pPr>
      <w:r w:rsidRPr="4CEBA761" w:rsidR="4CEBA761">
        <w:rPr>
          <w:rFonts w:ascii="Calibri" w:hAnsi="Calibri" w:eastAsia="Calibri" w:cs="Calibri"/>
          <w:sz w:val="24"/>
          <w:szCs w:val="24"/>
          <w:lang w:val="en-GB"/>
        </w:rPr>
        <w:t xml:space="preserve"> </w:t>
      </w:r>
    </w:p>
    <w:p w:rsidR="4CEBA761" w:rsidP="4CEBA761" w:rsidRDefault="4CEBA761" w14:paraId="723D1E13" w14:textId="5F5ED2BA">
      <w:pPr>
        <w:ind w:firstLine="720"/>
        <w:jc w:val="both"/>
      </w:pPr>
      <w:r w:rsidRPr="4CEBA761" w:rsidR="4CEBA761">
        <w:rPr>
          <w:rFonts w:ascii="Calibri" w:hAnsi="Calibri" w:eastAsia="Calibri" w:cs="Calibri"/>
          <w:sz w:val="24"/>
          <w:szCs w:val="24"/>
          <w:lang w:val="en-GB"/>
        </w:rPr>
        <w:t xml:space="preserve">2023. gada 4. oktobrī  tika saņemti jautājumi no ieinteresētiem piegādātājiem par VAS “STARPTAUTISKĀ LIDOSTA “RĪGA”” (turpmāk – Pasūtītājs) rīkotā atklāta konkursa “Rokas bagāžas sprāgstvielu atklāšanas sistēmas (EDS) ar C3 standartu iegāde un uzstādīšana” (identifikācijas Nr. RIX 2023/315) (turpmāk – Konkurss) nolikuma prasībām. </w:t>
      </w:r>
      <w:r w:rsidRPr="4CEBA761" w:rsidR="4CEBA761">
        <w:rPr>
          <w:rFonts w:ascii="Calibri" w:hAnsi="Calibri" w:eastAsia="Calibri" w:cs="Calibri"/>
          <w:sz w:val="24"/>
          <w:szCs w:val="24"/>
          <w:lang w:val="en-GB"/>
        </w:rPr>
        <w:t>Pasūtītājs</w:t>
      </w:r>
      <w:r w:rsidRPr="4CEBA761" w:rsidR="4CEBA761">
        <w:rPr>
          <w:rFonts w:ascii="Calibri" w:hAnsi="Calibri" w:eastAsia="Calibri" w:cs="Calibri"/>
          <w:sz w:val="24"/>
          <w:szCs w:val="24"/>
          <w:lang w:val="en-GB"/>
        </w:rPr>
        <w:t xml:space="preserve"> ir izskatījis jautājumus un apstiprinājis šādas atbildes:</w:t>
      </w:r>
    </w:p>
    <w:p w:rsidR="4CEBA761" w:rsidP="4CEBA761" w:rsidRDefault="4CEBA761" w14:paraId="50DE097E" w14:textId="31AA1CE2" w14:noSpellErr="1">
      <w:pPr>
        <w:ind w:firstLine="720"/>
        <w:jc w:val="both"/>
      </w:pPr>
      <w:r w:rsidRPr="4CEBA761" w:rsidR="4CEBA761">
        <w:rPr>
          <w:rFonts w:ascii="Calibri" w:hAnsi="Calibri" w:eastAsia="Calibri" w:cs="Calibri"/>
          <w:color w:val="595959" w:themeColor="text1" w:themeTint="A6" w:themeShade="FF"/>
          <w:sz w:val="24"/>
          <w:szCs w:val="24"/>
          <w:lang w:val="en-GB"/>
        </w:rPr>
        <w:t>On 4 October 2023, we received questions regarding the open tender procedure “Purchase and Installation of C3 Standard Hand Baggage Explosive Detection System (EDS)” (Identification No. RIX 2023/315) (hereinafter – the Tender) organized by SJSC “RIGA INTERNATIONAL AIRPORT” (hereinafter – the Client). The Client has examined your questions and hereby provides the following answers:</w:t>
      </w:r>
    </w:p>
    <w:p w:rsidR="4CEBA761" w:rsidP="4CEBA761" w:rsidRDefault="4CEBA761" w14:paraId="0E6D7ED8" w14:textId="6D5C6E26">
      <w:pPr>
        <w:jc w:val="both"/>
      </w:pPr>
      <w:r w:rsidRPr="4CEBA761" w:rsidR="4CEBA761">
        <w:rPr>
          <w:rFonts w:ascii="Calibri" w:hAnsi="Calibri" w:eastAsia="Calibri" w:cs="Calibri"/>
          <w:sz w:val="24"/>
          <w:szCs w:val="24"/>
          <w:lang w:val="en-GB"/>
        </w:rPr>
        <w:t xml:space="preserve"> </w:t>
      </w:r>
    </w:p>
    <w:p w:rsidR="4CEBA761" w:rsidP="4CEBA761" w:rsidRDefault="4CEBA761" w14:paraId="2590C50F" w14:textId="703A50B0">
      <w:pPr>
        <w:jc w:val="both"/>
      </w:pPr>
      <w:r w:rsidRPr="4CEBA761" w:rsidR="4CEBA761">
        <w:rPr>
          <w:rFonts w:ascii="Calibri" w:hAnsi="Calibri" w:eastAsia="Calibri" w:cs="Calibri"/>
          <w:b w:val="1"/>
          <w:bCs w:val="1"/>
          <w:sz w:val="24"/>
          <w:szCs w:val="24"/>
        </w:rPr>
        <w:t>1.jautājums:</w:t>
      </w:r>
    </w:p>
    <w:p w:rsidR="4CEBA761" w:rsidP="4CEBA761" w:rsidRDefault="4CEBA761" w14:paraId="314E7010" w14:textId="72353803">
      <w:pPr>
        <w:jc w:val="both"/>
      </w:pPr>
      <w:r w:rsidRPr="4CEBA761" w:rsidR="4CEBA761">
        <w:rPr>
          <w:rFonts w:ascii="Calibri" w:hAnsi="Calibri" w:eastAsia="Calibri" w:cs="Calibri"/>
          <w:sz w:val="24"/>
          <w:szCs w:val="24"/>
        </w:rPr>
        <w:t>Iepirkuma Līguma projekta 2.3.2. punktā minēta iekārtu nodošanas - pieņemšanas akta abpusēja parakstīšana pēc iekārtu piegādes. Vai CAA atzinums ir jāsaņem arī pirms šī akta parakstīšanas? Ja jā, tad lūdzam izskaidrot CAA atzinuma saturu un saņemšanas nosacījumus.</w:t>
      </w:r>
    </w:p>
    <w:p w:rsidR="4CEBA761" w:rsidP="4CEBA761" w:rsidRDefault="4CEBA761" w14:paraId="5F214648" w14:textId="18ED8A0A" w14:noSpellErr="1">
      <w:pPr>
        <w:jc w:val="both"/>
      </w:pPr>
      <w:r w:rsidRPr="4CEBA761" w:rsidR="4CEBA761">
        <w:rPr>
          <w:rFonts w:ascii="Calibri" w:hAnsi="Calibri" w:eastAsia="Calibri" w:cs="Calibri"/>
          <w:b w:val="1"/>
          <w:bCs w:val="1"/>
          <w:color w:val="595959" w:themeColor="text1" w:themeTint="A6" w:themeShade="FF"/>
          <w:sz w:val="24"/>
          <w:szCs w:val="24"/>
          <w:u w:val="single"/>
          <w:lang w:val="en-US"/>
        </w:rPr>
        <w:t>Question 1:</w:t>
      </w:r>
    </w:p>
    <w:p w:rsidR="4CEBA761" w:rsidP="4CEBA761" w:rsidRDefault="4CEBA761" w14:paraId="268254D5" w14:textId="5041D5EC" w14:noSpellErr="1">
      <w:pPr>
        <w:jc w:val="both"/>
      </w:pPr>
      <w:r w:rsidRPr="4CEBA761" w:rsidR="4CEBA761">
        <w:rPr>
          <w:rFonts w:ascii="Calibri" w:hAnsi="Calibri" w:eastAsia="Calibri" w:cs="Calibri"/>
          <w:color w:val="595959" w:themeColor="text1" w:themeTint="A6" w:themeShade="FF"/>
          <w:sz w:val="24"/>
          <w:szCs w:val="24"/>
          <w:lang w:val="en-US"/>
        </w:rPr>
        <w:t>Clause 2.3.2 of the draft procurement contract refers to the mutual signing of the equipment delivery – acceptance certificate after the equipment delivery. Should the opinion of the CAA also be obtained before signing this certificate? If so, please explain the content of the CAA opinion and the conditions for receiving it.</w:t>
      </w:r>
    </w:p>
    <w:p w:rsidR="4CEBA761" w:rsidP="4CEBA761" w:rsidRDefault="4CEBA761" w14:paraId="4D50BAE0" w14:textId="3F7C9096">
      <w:pPr>
        <w:jc w:val="both"/>
      </w:pPr>
      <w:r w:rsidRPr="4CEBA761" w:rsidR="4CEBA761">
        <w:rPr>
          <w:rFonts w:ascii="Calibri" w:hAnsi="Calibri" w:eastAsia="Calibri" w:cs="Calibri"/>
          <w:sz w:val="24"/>
          <w:szCs w:val="24"/>
        </w:rPr>
        <w:t xml:space="preserve"> </w:t>
      </w:r>
    </w:p>
    <w:p w:rsidR="4CEBA761" w:rsidP="4CEBA761" w:rsidRDefault="4CEBA761" w14:paraId="529C9F2F" w14:textId="27D122CD">
      <w:pPr>
        <w:jc w:val="both"/>
      </w:pPr>
      <w:r w:rsidRPr="4CEBA761" w:rsidR="4CEBA761">
        <w:rPr>
          <w:rFonts w:ascii="Calibri" w:hAnsi="Calibri" w:eastAsia="Calibri" w:cs="Calibri"/>
          <w:sz w:val="24"/>
          <w:szCs w:val="24"/>
          <w:u w:val="single"/>
        </w:rPr>
        <w:t>Atbilde:</w:t>
      </w:r>
      <w:r w:rsidRPr="4CEBA761" w:rsidR="4CEBA761">
        <w:rPr>
          <w:rFonts w:ascii="Calibri" w:hAnsi="Calibri" w:eastAsia="Calibri" w:cs="Calibri"/>
          <w:sz w:val="24"/>
          <w:szCs w:val="24"/>
        </w:rPr>
        <w:t xml:space="preserve"> </w:t>
      </w:r>
    </w:p>
    <w:p w:rsidR="4CEBA761" w:rsidP="4CEBA761" w:rsidRDefault="4CEBA761" w14:paraId="60E54543" w14:textId="50F190A9">
      <w:pPr>
        <w:jc w:val="both"/>
      </w:pPr>
      <w:r w:rsidRPr="4CEBA761" w:rsidR="4CEBA761">
        <w:rPr>
          <w:rFonts w:ascii="Calibri" w:hAnsi="Calibri" w:eastAsia="Calibri" w:cs="Calibri"/>
          <w:sz w:val="24"/>
          <w:szCs w:val="24"/>
        </w:rPr>
        <w:t>CAA atzinums ir jāsaņem pirms šī akta parakstīšanas. Savā atzinumā CAA, kā kompetentā iestāde veiks iekārtu atbilstības pārbaudi, kuras laikā noteiks atbilstību ECAC algoritmiem un prasībām. Iekārtas veiktspēja tiks veikta pēc iekārtas integrēšanas drošības kontrolpunktos.</w:t>
      </w:r>
    </w:p>
    <w:p w:rsidR="4CEBA761" w:rsidP="4CEBA761" w:rsidRDefault="4CEBA761" w14:paraId="58B22B95" w14:textId="3E7CB9C2" w14:noSpellErr="1">
      <w:pPr>
        <w:jc w:val="both"/>
      </w:pPr>
      <w:r w:rsidRPr="4CEBA761" w:rsidR="4CEBA761">
        <w:rPr>
          <w:rFonts w:ascii="Calibri" w:hAnsi="Calibri" w:eastAsia="Calibri" w:cs="Calibri"/>
          <w:color w:val="595959" w:themeColor="text1" w:themeTint="A6" w:themeShade="FF"/>
          <w:sz w:val="24"/>
          <w:szCs w:val="24"/>
          <w:u w:val="single"/>
        </w:rPr>
        <w:t>Answer</w:t>
      </w:r>
      <w:r w:rsidRPr="4CEBA761" w:rsidR="4CEBA761">
        <w:rPr>
          <w:rFonts w:ascii="Calibri" w:hAnsi="Calibri" w:eastAsia="Calibri" w:cs="Calibri"/>
          <w:color w:val="595959" w:themeColor="text1" w:themeTint="A6" w:themeShade="FF"/>
          <w:sz w:val="24"/>
          <w:szCs w:val="24"/>
        </w:rPr>
        <w:t>:</w:t>
      </w:r>
    </w:p>
    <w:p w:rsidR="4CEBA761" w:rsidP="4CEBA761" w:rsidRDefault="4CEBA761" w14:paraId="1F08CE18" w14:textId="0EF1E568" w14:noSpellErr="1">
      <w:pPr>
        <w:jc w:val="both"/>
      </w:pPr>
      <w:r w:rsidRPr="4CEBA761" w:rsidR="4CEBA761">
        <w:rPr>
          <w:rFonts w:ascii="Calibri" w:hAnsi="Calibri" w:eastAsia="Calibri" w:cs="Calibri"/>
          <w:color w:val="595959" w:themeColor="text1" w:themeTint="A6" w:themeShade="FF"/>
          <w:sz w:val="24"/>
          <w:szCs w:val="24"/>
          <w:lang w:val="en-US"/>
        </w:rPr>
        <w:t>The opinion of the CAA should be obtained before signing this certificate. In its opinion, the CAA, as the competent authority, will conduct a compliance check of the equipment, during which compliance with the ECAC algorithms and requirements will be determined. The performance of the equipment will be done after the integration of the equipment in the safety checkpoints.</w:t>
      </w:r>
    </w:p>
    <w:p w:rsidR="4CEBA761" w:rsidP="4CEBA761" w:rsidRDefault="4CEBA761" w14:paraId="6E63E0F5" w14:textId="065A043D">
      <w:pPr>
        <w:jc w:val="both"/>
      </w:pPr>
      <w:r w:rsidRPr="4CEBA761" w:rsidR="4CEBA761">
        <w:rPr>
          <w:rFonts w:ascii="Calibri" w:hAnsi="Calibri" w:eastAsia="Calibri" w:cs="Calibri"/>
          <w:color w:val="404040" w:themeColor="text1" w:themeTint="BF" w:themeShade="FF"/>
          <w:sz w:val="24"/>
          <w:szCs w:val="24"/>
        </w:rPr>
        <w:t xml:space="preserve"> </w:t>
      </w:r>
    </w:p>
    <w:p w:rsidR="4CEBA761" w:rsidP="4CEBA761" w:rsidRDefault="4CEBA761" w14:paraId="1E22670C" w14:textId="2341925C">
      <w:pPr>
        <w:jc w:val="both"/>
      </w:pPr>
      <w:r w:rsidRPr="4CEBA761" w:rsidR="4CEBA761">
        <w:rPr>
          <w:rFonts w:ascii="Calibri" w:hAnsi="Calibri" w:eastAsia="Calibri" w:cs="Calibri"/>
          <w:b w:val="1"/>
          <w:bCs w:val="1"/>
          <w:sz w:val="24"/>
          <w:szCs w:val="24"/>
        </w:rPr>
        <w:t>2.jautājums:</w:t>
      </w:r>
    </w:p>
    <w:p w:rsidR="4CEBA761" w:rsidP="4CEBA761" w:rsidRDefault="4CEBA761" w14:paraId="23339ED5" w14:textId="43DAE228">
      <w:pPr>
        <w:jc w:val="both"/>
      </w:pPr>
      <w:r w:rsidRPr="4CEBA761" w:rsidR="4CEBA761">
        <w:rPr>
          <w:rFonts w:ascii="Calibri" w:hAnsi="Calibri" w:eastAsia="Calibri" w:cs="Calibri"/>
          <w:sz w:val="24"/>
          <w:szCs w:val="24"/>
        </w:rPr>
        <w:t>Vai Piegādātājs ir tiesīgs piegādāt Rokas bagāžas sprāgstvielu atklāšanas sistēmas, kas jau iepriekš izmantotas kā demo iekārtas?</w:t>
      </w:r>
    </w:p>
    <w:p w:rsidR="4CEBA761" w:rsidP="4CEBA761" w:rsidRDefault="4CEBA761" w14:paraId="6730E7FA" w14:textId="2C565DE1" w14:noSpellErr="1">
      <w:pPr>
        <w:jc w:val="both"/>
      </w:pPr>
      <w:r w:rsidRPr="4CEBA761" w:rsidR="4CEBA761">
        <w:rPr>
          <w:rFonts w:ascii="Calibri" w:hAnsi="Calibri" w:eastAsia="Calibri" w:cs="Calibri"/>
          <w:b w:val="1"/>
          <w:bCs w:val="1"/>
          <w:color w:val="595959" w:themeColor="text1" w:themeTint="A6" w:themeShade="FF"/>
          <w:sz w:val="24"/>
          <w:szCs w:val="24"/>
          <w:u w:val="single"/>
          <w:lang w:val="en-US"/>
        </w:rPr>
        <w:t>Question 2:</w:t>
      </w:r>
      <w:r w:rsidRPr="4CEBA761" w:rsidR="4CEBA761">
        <w:rPr>
          <w:rFonts w:ascii="Calibri" w:hAnsi="Calibri" w:eastAsia="Calibri" w:cs="Calibri"/>
          <w:color w:val="595959" w:themeColor="text1" w:themeTint="A6" w:themeShade="FF"/>
          <w:sz w:val="24"/>
          <w:szCs w:val="24"/>
          <w:lang w:val="en-US"/>
        </w:rPr>
        <w:t xml:space="preserve"> </w:t>
      </w:r>
    </w:p>
    <w:p w:rsidR="4CEBA761" w:rsidP="4CEBA761" w:rsidRDefault="4CEBA761" w14:paraId="0A9E262E" w14:textId="14D87AE1" w14:noSpellErr="1">
      <w:pPr>
        <w:jc w:val="both"/>
      </w:pPr>
      <w:r w:rsidRPr="4CEBA761" w:rsidR="4CEBA761">
        <w:rPr>
          <w:rFonts w:ascii="Calibri" w:hAnsi="Calibri" w:eastAsia="Calibri" w:cs="Calibri"/>
          <w:color w:val="595959" w:themeColor="text1" w:themeTint="A6" w:themeShade="FF"/>
          <w:sz w:val="24"/>
          <w:szCs w:val="24"/>
          <w:lang w:val="en-US"/>
        </w:rPr>
        <w:t>Is the Supplier entitled to supply hand baggage explosives detection systems that have previously been used as demo equipment?</w:t>
      </w:r>
    </w:p>
    <w:p w:rsidR="4CEBA761" w:rsidP="4CEBA761" w:rsidRDefault="4CEBA761" w14:paraId="09E06584" w14:textId="7A0C9290">
      <w:pPr>
        <w:jc w:val="both"/>
      </w:pPr>
      <w:r w:rsidRPr="4CEBA761" w:rsidR="4CEBA761">
        <w:rPr>
          <w:rFonts w:ascii="Calibri" w:hAnsi="Calibri" w:eastAsia="Calibri" w:cs="Calibri"/>
          <w:sz w:val="24"/>
          <w:szCs w:val="24"/>
        </w:rPr>
        <w:t xml:space="preserve"> </w:t>
      </w:r>
    </w:p>
    <w:p w:rsidR="4CEBA761" w:rsidP="4CEBA761" w:rsidRDefault="4CEBA761" w14:paraId="5EC192F7" w14:textId="776ED0DE">
      <w:pPr>
        <w:jc w:val="both"/>
      </w:pPr>
      <w:r w:rsidRPr="4CEBA761" w:rsidR="4CEBA761">
        <w:rPr>
          <w:rFonts w:ascii="Calibri" w:hAnsi="Calibri" w:eastAsia="Calibri" w:cs="Calibri"/>
          <w:sz w:val="24"/>
          <w:szCs w:val="24"/>
          <w:u w:val="single"/>
        </w:rPr>
        <w:t xml:space="preserve">Atbilde: </w:t>
      </w:r>
    </w:p>
    <w:p w:rsidR="4CEBA761" w:rsidP="4CEBA761" w:rsidRDefault="4CEBA761" w14:paraId="258C49A6" w14:textId="5C3B8D7B">
      <w:pPr>
        <w:jc w:val="both"/>
      </w:pPr>
      <w:r w:rsidRPr="4CEBA761" w:rsidR="4CEBA761">
        <w:rPr>
          <w:rFonts w:ascii="Calibri" w:hAnsi="Calibri" w:eastAsia="Calibri" w:cs="Calibri"/>
          <w:sz w:val="24"/>
          <w:szCs w:val="24"/>
        </w:rPr>
        <w:t>Šāda opcija ir atbalstāma no Pasūtītāja puses, ar nosacījumu, ka iekārtas garantijas nosacījumi ir nemainīgi.</w:t>
      </w:r>
    </w:p>
    <w:p w:rsidR="4CEBA761" w:rsidP="4CEBA761" w:rsidRDefault="4CEBA761" w14:paraId="6F3CC6C2" w14:textId="08030929" w14:noSpellErr="1">
      <w:pPr>
        <w:jc w:val="both"/>
      </w:pPr>
      <w:r w:rsidRPr="4CEBA761" w:rsidR="4CEBA761">
        <w:rPr>
          <w:rFonts w:ascii="Calibri" w:hAnsi="Calibri" w:eastAsia="Calibri" w:cs="Calibri"/>
          <w:color w:val="595959" w:themeColor="text1" w:themeTint="A6" w:themeShade="FF"/>
          <w:sz w:val="24"/>
          <w:szCs w:val="24"/>
          <w:u w:val="single"/>
          <w:lang w:val="en-US"/>
        </w:rPr>
        <w:t>Answer</w:t>
      </w:r>
      <w:r w:rsidRPr="4CEBA761" w:rsidR="4CEBA761">
        <w:rPr>
          <w:rFonts w:ascii="Calibri" w:hAnsi="Calibri" w:eastAsia="Calibri" w:cs="Calibri"/>
          <w:color w:val="595959" w:themeColor="text1" w:themeTint="A6" w:themeShade="FF"/>
          <w:sz w:val="24"/>
          <w:szCs w:val="24"/>
          <w:lang w:val="en-US"/>
        </w:rPr>
        <w:t>:</w:t>
      </w:r>
    </w:p>
    <w:p w:rsidR="4CEBA761" w:rsidP="4CEBA761" w:rsidRDefault="4CEBA761" w14:paraId="68D39E5A" w14:textId="48DFF426" w14:noSpellErr="1">
      <w:pPr>
        <w:jc w:val="both"/>
      </w:pPr>
      <w:r w:rsidRPr="4CEBA761" w:rsidR="4CEBA761">
        <w:rPr>
          <w:rFonts w:ascii="Calibri" w:hAnsi="Calibri" w:eastAsia="Calibri" w:cs="Calibri"/>
          <w:color w:val="595959" w:themeColor="text1" w:themeTint="A6" w:themeShade="FF"/>
          <w:sz w:val="24"/>
          <w:szCs w:val="24"/>
          <w:lang w:val="en-US"/>
        </w:rPr>
        <w:t>Such an option is supported by the Client, provided that the warranty conditions of the equipment remain unchanged.</w:t>
      </w:r>
    </w:p>
    <w:p w:rsidR="4CEBA761" w:rsidP="4CEBA761" w:rsidRDefault="4CEBA761" w14:paraId="4750F629" w14:textId="309356E5">
      <w:pPr>
        <w:jc w:val="both"/>
      </w:pPr>
      <w:r w:rsidRPr="4CEBA761" w:rsidR="4CEBA761">
        <w:rPr>
          <w:rFonts w:ascii="Calibri" w:hAnsi="Calibri" w:eastAsia="Calibri" w:cs="Calibri"/>
          <w:color w:val="595959" w:themeColor="text1" w:themeTint="A6" w:themeShade="FF"/>
          <w:sz w:val="24"/>
          <w:szCs w:val="24"/>
        </w:rPr>
        <w:t xml:space="preserve"> </w:t>
      </w:r>
    </w:p>
    <w:p w:rsidR="4CEBA761" w:rsidP="4CEBA761" w:rsidRDefault="4CEBA761" w14:paraId="3548A9A4" w14:textId="41B26406">
      <w:pPr>
        <w:jc w:val="both"/>
      </w:pPr>
      <w:r w:rsidRPr="4CEBA761" w:rsidR="4CEBA761">
        <w:rPr>
          <w:rFonts w:ascii="Calibri" w:hAnsi="Calibri" w:eastAsia="Calibri" w:cs="Calibri"/>
          <w:b w:val="1"/>
          <w:bCs w:val="1"/>
          <w:sz w:val="24"/>
          <w:szCs w:val="24"/>
        </w:rPr>
        <w:t>3.jautājums:</w:t>
      </w:r>
    </w:p>
    <w:p w:rsidR="4CEBA761" w:rsidP="4CEBA761" w:rsidRDefault="4CEBA761" w14:paraId="34382EB8" w14:textId="7B9EC6CB">
      <w:pPr>
        <w:jc w:val="both"/>
      </w:pPr>
      <w:r w:rsidRPr="4CEBA761" w:rsidR="4CEBA761">
        <w:rPr>
          <w:rFonts w:ascii="Calibri" w:hAnsi="Calibri" w:eastAsia="Calibri" w:cs="Calibri"/>
          <w:sz w:val="24"/>
          <w:szCs w:val="24"/>
        </w:rPr>
        <w:t>Nolikumā un līguma projektā ir pretrunīga informācija saistībā ar apmācībām. Tehniskā piedāvājuma 14.punktā minēts, ka “Apmācību kursi Pasūtītāja personālam jāpabeidz pirms iekārta ir nodota ekspluatācijā.”, kas būs pēc darbu pabeigšanas. Taču līguma projekta 1.2. punktā termiņš noteikts 2023.gada 15.decembris “- Iekārtu piegādi, Apmācību – līdz 2023.gada 15.decembrim”. Lūdzam precizēt, kad ir pilnībā jāpabeidz apmācības. Vēlamies vērst uzmanību, ka, lai gan vairumu apmācību punktu ir iespējams veikt pirms uzstādīšanas, tomēr pāris apmācību punktiem ir nepieciešama pilnībā uzstādīta iekārta.</w:t>
      </w:r>
    </w:p>
    <w:p w:rsidR="4CEBA761" w:rsidP="4CEBA761" w:rsidRDefault="4CEBA761" w14:paraId="72C185D3" w14:textId="7397D41E" w14:noSpellErr="1">
      <w:pPr>
        <w:jc w:val="both"/>
      </w:pPr>
      <w:r w:rsidRPr="4CEBA761" w:rsidR="4CEBA761">
        <w:rPr>
          <w:rFonts w:ascii="Calibri" w:hAnsi="Calibri" w:eastAsia="Calibri" w:cs="Calibri"/>
          <w:b w:val="1"/>
          <w:bCs w:val="1"/>
          <w:color w:val="595959" w:themeColor="text1" w:themeTint="A6" w:themeShade="FF"/>
          <w:sz w:val="24"/>
          <w:szCs w:val="24"/>
          <w:u w:val="single"/>
          <w:lang w:val="en-US"/>
        </w:rPr>
        <w:t>Question 3:</w:t>
      </w:r>
    </w:p>
    <w:p w:rsidR="4CEBA761" w:rsidP="4CEBA761" w:rsidRDefault="4CEBA761" w14:paraId="3AC649C0" w14:textId="5D9DFF40" w14:noSpellErr="1">
      <w:pPr>
        <w:jc w:val="both"/>
      </w:pPr>
      <w:r w:rsidRPr="4CEBA761" w:rsidR="4CEBA761">
        <w:rPr>
          <w:rFonts w:ascii="Calibri" w:hAnsi="Calibri" w:eastAsia="Calibri" w:cs="Calibri"/>
          <w:color w:val="595959" w:themeColor="text1" w:themeTint="A6" w:themeShade="FF"/>
          <w:sz w:val="24"/>
          <w:szCs w:val="24"/>
          <w:lang w:val="en-US"/>
        </w:rPr>
        <w:t>The Terms of Reference and the draft contract contain conflicting information regarding training. Item 14 of the technical proposal mentions that “Training courses for the Client's staff shall be completed before the equipment is put into operation”, which will be after the completion of the works. However, in Clause 1.2 of the draft contract, the deadline is set as 15 December 2023 “Equipment delivery, Training – by 15 December 2023”. Please clarify when the training must be fully completed. We would like to point out that although most training points can be done before installation, a couple of training points require a fully installed device.</w:t>
      </w:r>
    </w:p>
    <w:p w:rsidR="4CEBA761" w:rsidP="4CEBA761" w:rsidRDefault="4CEBA761" w14:paraId="3F9363CE" w14:textId="4C044995">
      <w:pPr>
        <w:jc w:val="both"/>
      </w:pPr>
      <w:r w:rsidRPr="4CEBA761" w:rsidR="4CEBA761">
        <w:rPr>
          <w:rFonts w:ascii="Calibri" w:hAnsi="Calibri" w:eastAsia="Calibri" w:cs="Calibri"/>
          <w:sz w:val="24"/>
          <w:szCs w:val="24"/>
          <w:u w:val="single"/>
        </w:rPr>
        <w:t xml:space="preserve">Atbilde: </w:t>
      </w:r>
    </w:p>
    <w:p w:rsidR="4CEBA761" w:rsidP="4CEBA761" w:rsidRDefault="4CEBA761" w14:paraId="20E49280" w14:textId="17D7AB80">
      <w:pPr>
        <w:jc w:val="both"/>
      </w:pPr>
      <w:r w:rsidRPr="4CEBA761" w:rsidR="4CEBA761">
        <w:rPr>
          <w:rFonts w:ascii="Calibri" w:hAnsi="Calibri" w:eastAsia="Calibri" w:cs="Calibri"/>
          <w:sz w:val="24"/>
          <w:szCs w:val="24"/>
        </w:rPr>
        <w:t>Personāla apmācība jāveic saskaņā ar līguma projekta 1.2. punktu.</w:t>
      </w:r>
    </w:p>
    <w:p w:rsidR="4CEBA761" w:rsidP="4CEBA761" w:rsidRDefault="4CEBA761" w14:paraId="630DA4C9" w14:textId="7AB9F074" w14:noSpellErr="1">
      <w:pPr>
        <w:jc w:val="both"/>
      </w:pPr>
      <w:r w:rsidRPr="4CEBA761" w:rsidR="4CEBA761">
        <w:rPr>
          <w:rFonts w:ascii="Calibri" w:hAnsi="Calibri" w:eastAsia="Calibri" w:cs="Calibri"/>
          <w:color w:val="595959" w:themeColor="text1" w:themeTint="A6" w:themeShade="FF"/>
          <w:sz w:val="24"/>
          <w:szCs w:val="24"/>
          <w:u w:val="single"/>
          <w:lang w:val="en-US"/>
        </w:rPr>
        <w:t>Answer:</w:t>
      </w:r>
      <w:r>
        <w:br/>
      </w:r>
      <w:r w:rsidRPr="4CEBA761" w:rsidR="4CEBA761">
        <w:rPr>
          <w:rFonts w:ascii="Calibri" w:hAnsi="Calibri" w:eastAsia="Calibri" w:cs="Calibri"/>
          <w:color w:val="595959" w:themeColor="text1" w:themeTint="A6" w:themeShade="FF"/>
          <w:sz w:val="24"/>
          <w:szCs w:val="24"/>
          <w:u w:val="single"/>
          <w:lang w:val="en-US"/>
        </w:rPr>
        <w:t xml:space="preserve"> </w:t>
      </w:r>
      <w:r w:rsidRPr="4CEBA761" w:rsidR="4CEBA761">
        <w:rPr>
          <w:rFonts w:ascii="Calibri" w:hAnsi="Calibri" w:eastAsia="Calibri" w:cs="Calibri"/>
          <w:color w:val="595959" w:themeColor="text1" w:themeTint="A6" w:themeShade="FF"/>
          <w:sz w:val="24"/>
          <w:szCs w:val="24"/>
          <w:lang w:val="en-US"/>
        </w:rPr>
        <w:t>The staff training shall be carried out in accordance with Clause 1.2 of the draft contract.</w:t>
      </w:r>
    </w:p>
    <w:p w:rsidR="4CEBA761" w:rsidP="4CEBA761" w:rsidRDefault="4CEBA761" w14:paraId="2921029A" w14:textId="0CC06386">
      <w:pPr>
        <w:jc w:val="both"/>
      </w:pPr>
      <w:r w:rsidRPr="4CEBA761" w:rsidR="4CEBA761">
        <w:rPr>
          <w:rFonts w:ascii="Calibri" w:hAnsi="Calibri" w:eastAsia="Calibri" w:cs="Calibri"/>
          <w:color w:val="404040" w:themeColor="text1" w:themeTint="BF" w:themeShade="FF"/>
          <w:sz w:val="24"/>
          <w:szCs w:val="24"/>
        </w:rPr>
        <w:t xml:space="preserve"> </w:t>
      </w:r>
    </w:p>
    <w:p w:rsidR="4CEBA761" w:rsidP="4CEBA761" w:rsidRDefault="4CEBA761" w14:paraId="320B5B2F" w14:textId="6A72FFB6">
      <w:pPr>
        <w:jc w:val="both"/>
      </w:pPr>
      <w:r w:rsidRPr="4CEBA761" w:rsidR="4CEBA761">
        <w:rPr>
          <w:rFonts w:ascii="Calibri" w:hAnsi="Calibri" w:eastAsia="Calibri" w:cs="Calibri"/>
          <w:b w:val="1"/>
          <w:bCs w:val="1"/>
          <w:sz w:val="24"/>
          <w:szCs w:val="24"/>
        </w:rPr>
        <w:t>4.jautājums:</w:t>
      </w:r>
    </w:p>
    <w:p w:rsidR="4CEBA761" w:rsidP="4CEBA761" w:rsidRDefault="4CEBA761" w14:paraId="09970412" w14:textId="02E40662">
      <w:pPr>
        <w:jc w:val="both"/>
      </w:pPr>
      <w:r w:rsidRPr="4CEBA761" w:rsidR="4CEBA761">
        <w:rPr>
          <w:rFonts w:ascii="Calibri" w:hAnsi="Calibri" w:eastAsia="Calibri" w:cs="Calibri"/>
          <w:sz w:val="24"/>
          <w:szCs w:val="24"/>
        </w:rPr>
        <w:t>Tehniskā piedāvājuma 4.3. punktā minēts, ka “Servera nepieejamības gadījumā jānodrošina iespēja Iekārtā saglabāt datus (skenētos attēlus) par pēdējām 24h.” Lūdzam precizēt vidējo attēlu daudzumu, kas tiek ieskenēti 24 stundu laikā.</w:t>
      </w:r>
    </w:p>
    <w:p w:rsidR="4CEBA761" w:rsidP="4CEBA761" w:rsidRDefault="4CEBA761" w14:paraId="0E7B2C66" w14:textId="2CA9D2E5" w14:noSpellErr="1">
      <w:pPr>
        <w:jc w:val="both"/>
      </w:pPr>
      <w:r w:rsidRPr="4CEBA761" w:rsidR="4CEBA761">
        <w:rPr>
          <w:rFonts w:ascii="Calibri" w:hAnsi="Calibri" w:eastAsia="Calibri" w:cs="Calibri"/>
          <w:b w:val="1"/>
          <w:bCs w:val="1"/>
          <w:color w:val="595959" w:themeColor="text1" w:themeTint="A6" w:themeShade="FF"/>
          <w:sz w:val="24"/>
          <w:szCs w:val="24"/>
          <w:u w:val="single"/>
          <w:lang w:val="en-US"/>
        </w:rPr>
        <w:t>Question 4:</w:t>
      </w:r>
    </w:p>
    <w:p w:rsidR="4CEBA761" w:rsidP="4CEBA761" w:rsidRDefault="4CEBA761" w14:paraId="4A1F1756" w14:textId="30065C68" w14:noSpellErr="1">
      <w:pPr>
        <w:jc w:val="both"/>
      </w:pPr>
      <w:r w:rsidRPr="4CEBA761" w:rsidR="4CEBA761">
        <w:rPr>
          <w:rFonts w:ascii="Calibri" w:hAnsi="Calibri" w:eastAsia="Calibri" w:cs="Calibri"/>
          <w:color w:val="595959" w:themeColor="text1" w:themeTint="A6" w:themeShade="FF"/>
          <w:sz w:val="24"/>
          <w:szCs w:val="24"/>
          <w:lang w:val="en-US"/>
        </w:rPr>
        <w:t>Item 4.3 of the technical proposal mentions that “In case of server unavailability, the option to save data (scanned images) for the last 24 hours shall be ensured for the device.” Please specify the average number of images scanned in 24 hours.</w:t>
      </w:r>
    </w:p>
    <w:p w:rsidR="4CEBA761" w:rsidP="4CEBA761" w:rsidRDefault="4CEBA761" w14:paraId="724DCC06" w14:textId="7CB7C6E2">
      <w:pPr>
        <w:jc w:val="both"/>
      </w:pPr>
      <w:r w:rsidRPr="4CEBA761" w:rsidR="4CEBA761">
        <w:rPr>
          <w:rFonts w:ascii="Calibri" w:hAnsi="Calibri" w:eastAsia="Calibri" w:cs="Calibri"/>
          <w:sz w:val="24"/>
          <w:szCs w:val="24"/>
        </w:rPr>
        <w:t xml:space="preserve"> </w:t>
      </w:r>
    </w:p>
    <w:p w:rsidR="4CEBA761" w:rsidP="4CEBA761" w:rsidRDefault="4CEBA761" w14:paraId="0E220202" w14:textId="54488467">
      <w:pPr>
        <w:jc w:val="both"/>
      </w:pPr>
      <w:r w:rsidRPr="4CEBA761" w:rsidR="4CEBA761">
        <w:rPr>
          <w:rFonts w:ascii="Calibri" w:hAnsi="Calibri" w:eastAsia="Calibri" w:cs="Calibri"/>
          <w:sz w:val="24"/>
          <w:szCs w:val="24"/>
          <w:u w:val="single"/>
        </w:rPr>
        <w:t xml:space="preserve">Atbilde: </w:t>
      </w:r>
    </w:p>
    <w:p w:rsidR="4CEBA761" w:rsidP="4CEBA761" w:rsidRDefault="4CEBA761" w14:paraId="423EA35A" w14:textId="3ACA39C4">
      <w:pPr>
        <w:jc w:val="both"/>
      </w:pPr>
      <w:r w:rsidRPr="4CEBA761" w:rsidR="4CEBA761">
        <w:rPr>
          <w:rFonts w:ascii="Calibri" w:hAnsi="Calibri" w:eastAsia="Calibri" w:cs="Calibri"/>
          <w:sz w:val="24"/>
          <w:szCs w:val="24"/>
        </w:rPr>
        <w:t>Diennaktī vidēji Pasūtītāja infrastruktūra apkalpo 6-8 tūkstošus pasažieru (atkarībā no gada laika, nedēļas dienas un citiem aspektiem) dienā. Rādītāju iesakām aprēķināt no Piegādātāja iekārtu maksimālās veiktspējas diennaktī. Ja tas ir maksimums 200 vienības stundā, tad 4800 vienības 24 stundās būs absolūti maksimālais rādītājs vienai iekārtai.</w:t>
      </w:r>
    </w:p>
    <w:p w:rsidR="4CEBA761" w:rsidP="4CEBA761" w:rsidRDefault="4CEBA761" w14:paraId="494D4EC1" w14:textId="09103140" w14:noSpellErr="1">
      <w:pPr>
        <w:jc w:val="both"/>
      </w:pPr>
      <w:r w:rsidRPr="4CEBA761" w:rsidR="4CEBA761">
        <w:rPr>
          <w:rFonts w:ascii="Calibri" w:hAnsi="Calibri" w:eastAsia="Calibri" w:cs="Calibri"/>
          <w:color w:val="595959" w:themeColor="text1" w:themeTint="A6" w:themeShade="FF"/>
          <w:sz w:val="24"/>
          <w:szCs w:val="24"/>
          <w:u w:val="single"/>
          <w:lang w:val="en-US"/>
        </w:rPr>
        <w:t>Answer</w:t>
      </w:r>
      <w:r w:rsidRPr="4CEBA761" w:rsidR="4CEBA761">
        <w:rPr>
          <w:rFonts w:ascii="Calibri" w:hAnsi="Calibri" w:eastAsia="Calibri" w:cs="Calibri"/>
          <w:color w:val="595959" w:themeColor="text1" w:themeTint="A6" w:themeShade="FF"/>
          <w:sz w:val="24"/>
          <w:szCs w:val="24"/>
          <w:lang w:val="en-US"/>
        </w:rPr>
        <w:t>:</w:t>
      </w:r>
    </w:p>
    <w:p w:rsidR="4CEBA761" w:rsidP="4CEBA761" w:rsidRDefault="4CEBA761" w14:paraId="3015903A" w14:textId="4A39015B" w14:noSpellErr="1">
      <w:pPr>
        <w:jc w:val="both"/>
      </w:pPr>
      <w:r w:rsidRPr="4CEBA761" w:rsidR="4CEBA761">
        <w:rPr>
          <w:rFonts w:ascii="Calibri" w:hAnsi="Calibri" w:eastAsia="Calibri" w:cs="Calibri"/>
          <w:color w:val="595959" w:themeColor="text1" w:themeTint="A6" w:themeShade="FF"/>
          <w:sz w:val="24"/>
          <w:szCs w:val="24"/>
          <w:lang w:val="en-US"/>
        </w:rPr>
        <w:t>On average, the Client's infrastructure serves 6-8 thousand passengers per day (depending on the time of year, day of the week and other aspects). We recommend calculating the indicator from the maximum daily performance of the Supplier's equipment. If this is a maximum of 200 units per hour, then 4800 units in 24 hours will be the absolute maximum for a single unit.</w:t>
      </w:r>
    </w:p>
    <w:p w:rsidR="4CEBA761" w:rsidP="4CEBA761" w:rsidRDefault="4CEBA761" w14:paraId="254A173B" w14:textId="2B08F2DC">
      <w:pPr>
        <w:jc w:val="both"/>
      </w:pPr>
      <w:r w:rsidRPr="4CEBA761" w:rsidR="4CEBA761">
        <w:rPr>
          <w:rFonts w:ascii="Calibri" w:hAnsi="Calibri" w:eastAsia="Calibri" w:cs="Calibri"/>
          <w:color w:val="595959" w:themeColor="text1" w:themeTint="A6" w:themeShade="FF"/>
          <w:sz w:val="24"/>
          <w:szCs w:val="24"/>
        </w:rPr>
        <w:t xml:space="preserve"> </w:t>
      </w:r>
    </w:p>
    <w:p w:rsidR="4CEBA761" w:rsidP="4CEBA761" w:rsidRDefault="4CEBA761" w14:paraId="05BA1EDD" w14:textId="5B2DF8F4">
      <w:pPr>
        <w:jc w:val="both"/>
      </w:pPr>
      <w:r w:rsidRPr="4CEBA761" w:rsidR="4CEBA761">
        <w:rPr>
          <w:rFonts w:ascii="Calibri" w:hAnsi="Calibri" w:eastAsia="Calibri" w:cs="Calibri"/>
          <w:b w:val="1"/>
          <w:bCs w:val="1"/>
          <w:sz w:val="24"/>
          <w:szCs w:val="24"/>
        </w:rPr>
        <w:t>5.jautājums:</w:t>
      </w:r>
    </w:p>
    <w:p w:rsidR="4CEBA761" w:rsidP="4CEBA761" w:rsidRDefault="4CEBA761" w14:paraId="7E3F1B98" w14:textId="271F6090">
      <w:pPr>
        <w:jc w:val="both"/>
      </w:pPr>
      <w:r w:rsidRPr="4CEBA761" w:rsidR="4CEBA761">
        <w:rPr>
          <w:rFonts w:ascii="Calibri" w:hAnsi="Calibri" w:eastAsia="Calibri" w:cs="Calibri"/>
          <w:sz w:val="24"/>
          <w:szCs w:val="24"/>
        </w:rPr>
        <w:t>Tehniskā piedāvājuma 4.4. punkta 4.apakšpunktā noteikts, ka “piegādātājs nodrošina automātisko aizliegto priekšmetu atklāšanas sistēmas (APIDS) programmatūru un tās uzstādīšanu bez maksas uz visām EDS iekārtām ne vēlāk kā 3 mēnešu laikā no brīža, kad konkrētās iekārtas modeļa veiktspēja ar APIDS programmatūru ir sertificēta ECAC.” Ņemot vērā pieaugošās izmaksas un neparedzamību saistībā ar APIDS programmatūras sertifikāciju, lūdzam precizēt, ka Piegādātājam šis punkts ir jānodrošina bez maksas iekārtu pirmo darbības gadu – līdz 2024.gada 31.decembrim – ar nosacījumu, ka ECAC nav veicis papildus izmaiņas  APIDS regulējumā.</w:t>
      </w:r>
    </w:p>
    <w:p w:rsidR="4CEBA761" w:rsidP="4CEBA761" w:rsidRDefault="4CEBA761" w14:paraId="7EC537C3" w14:textId="72882F90" w14:noSpellErr="1">
      <w:pPr>
        <w:jc w:val="both"/>
      </w:pPr>
      <w:r w:rsidRPr="4CEBA761" w:rsidR="4CEBA761">
        <w:rPr>
          <w:rFonts w:ascii="Calibri" w:hAnsi="Calibri" w:eastAsia="Calibri" w:cs="Calibri"/>
          <w:b w:val="1"/>
          <w:bCs w:val="1"/>
          <w:color w:val="595959" w:themeColor="text1" w:themeTint="A6" w:themeShade="FF"/>
          <w:sz w:val="24"/>
          <w:szCs w:val="24"/>
          <w:u w:val="single"/>
          <w:lang w:val="en-US"/>
        </w:rPr>
        <w:t>Question 5:</w:t>
      </w:r>
    </w:p>
    <w:p w:rsidR="4CEBA761" w:rsidP="4CEBA761" w:rsidRDefault="4CEBA761" w14:paraId="13DD72F1" w14:textId="75A159EE" w14:noSpellErr="1">
      <w:pPr>
        <w:jc w:val="both"/>
      </w:pPr>
      <w:r w:rsidRPr="4CEBA761" w:rsidR="4CEBA761">
        <w:rPr>
          <w:rFonts w:ascii="Calibri" w:hAnsi="Calibri" w:eastAsia="Calibri" w:cs="Calibri"/>
          <w:color w:val="595959" w:themeColor="text1" w:themeTint="A6" w:themeShade="FF"/>
          <w:sz w:val="24"/>
          <w:szCs w:val="24"/>
          <w:lang w:val="en-US"/>
        </w:rPr>
        <w:t>Item 4.4 of Sub-clause 4 of the technical proposal provides that “The supplier shall provide free automatic prohibited item detection system (APIDS) software and its installation free of charge on all EDS machines no more than 3 months from the moment when the performance of the specific Equipment model with APIDS software is certified by ECAC.” Considering the increasing costs and unpredictability related to APIDS software certification, please clarify whether the Supplier must provide this point free of charge for the first year of operation of the equipment – until 31 December 2024 – provided that ECAC has not made additional changes to the APIDS regulation.</w:t>
      </w:r>
    </w:p>
    <w:p w:rsidR="4CEBA761" w:rsidP="4CEBA761" w:rsidRDefault="4CEBA761" w14:paraId="049DC835" w14:textId="4A116719">
      <w:pPr>
        <w:jc w:val="both"/>
      </w:pPr>
      <w:r w:rsidRPr="4CEBA761" w:rsidR="4CEBA761">
        <w:rPr>
          <w:rFonts w:ascii="Calibri" w:hAnsi="Calibri" w:eastAsia="Calibri" w:cs="Calibri"/>
          <w:sz w:val="24"/>
          <w:szCs w:val="24"/>
          <w:u w:val="single"/>
        </w:rPr>
        <w:t xml:space="preserve">Atbilde: </w:t>
      </w:r>
    </w:p>
    <w:p w:rsidR="4CEBA761" w:rsidP="4CEBA761" w:rsidRDefault="4CEBA761" w14:paraId="4ABF4844" w14:textId="00211A2A">
      <w:pPr>
        <w:jc w:val="both"/>
      </w:pPr>
      <w:r w:rsidRPr="4CEBA761" w:rsidR="4CEBA761">
        <w:rPr>
          <w:rFonts w:ascii="Calibri" w:hAnsi="Calibri" w:eastAsia="Calibri" w:cs="Calibri"/>
          <w:sz w:val="24"/>
          <w:szCs w:val="24"/>
        </w:rPr>
        <w:t>Precizējam, ka Piegādātājam šis punkts jānodrošina bez maksas ne vēlāk kā 3 mēnešus pēc APIDS programmatūras sertificēšanas ECAC, līdz līguma izpildes beigu termiņam.</w:t>
      </w:r>
    </w:p>
    <w:p w:rsidR="4CEBA761" w:rsidP="4CEBA761" w:rsidRDefault="4CEBA761" w14:paraId="0FC827D2" w14:textId="07DBAFB7" w14:noSpellErr="1">
      <w:pPr>
        <w:jc w:val="both"/>
      </w:pPr>
      <w:r w:rsidRPr="4CEBA761" w:rsidR="4CEBA761">
        <w:rPr>
          <w:rFonts w:ascii="Calibri" w:hAnsi="Calibri" w:eastAsia="Calibri" w:cs="Calibri"/>
          <w:color w:val="595959" w:themeColor="text1" w:themeTint="A6" w:themeShade="FF"/>
          <w:sz w:val="24"/>
          <w:szCs w:val="24"/>
          <w:u w:val="single"/>
          <w:lang w:val="en-US"/>
        </w:rPr>
        <w:t>Answer</w:t>
      </w:r>
      <w:r w:rsidRPr="4CEBA761" w:rsidR="4CEBA761">
        <w:rPr>
          <w:rFonts w:ascii="Calibri" w:hAnsi="Calibri" w:eastAsia="Calibri" w:cs="Calibri"/>
          <w:color w:val="595959" w:themeColor="text1" w:themeTint="A6" w:themeShade="FF"/>
          <w:sz w:val="24"/>
          <w:szCs w:val="24"/>
          <w:lang w:val="en-US"/>
        </w:rPr>
        <w:t>:</w:t>
      </w:r>
    </w:p>
    <w:p w:rsidR="4CEBA761" w:rsidP="4CEBA761" w:rsidRDefault="4CEBA761" w14:paraId="423C729F" w14:textId="13918BAF" w14:noSpellErr="1">
      <w:pPr>
        <w:jc w:val="both"/>
      </w:pPr>
      <w:r w:rsidRPr="4CEBA761" w:rsidR="4CEBA761">
        <w:rPr>
          <w:rFonts w:ascii="Calibri" w:hAnsi="Calibri" w:eastAsia="Calibri" w:cs="Calibri"/>
          <w:color w:val="595959" w:themeColor="text1" w:themeTint="A6" w:themeShade="FF"/>
          <w:sz w:val="24"/>
          <w:szCs w:val="24"/>
          <w:lang w:val="en-US"/>
        </w:rPr>
        <w:t>The Supplier must provide this point free of charge no later than 3 months after the certification of the APIDS software by ECAC, until the end of the contract.</w:t>
      </w:r>
    </w:p>
    <w:p w:rsidR="4CEBA761" w:rsidP="4CEBA761" w:rsidRDefault="4CEBA761" w14:paraId="21E29A15" w14:textId="01EAAC15">
      <w:pPr>
        <w:ind w:left="-426" w:firstLine="426"/>
        <w:jc w:val="both"/>
      </w:pPr>
      <w:r w:rsidRPr="4CEBA761" w:rsidR="4CEBA761">
        <w:rPr>
          <w:rFonts w:ascii="Calibri" w:hAnsi="Calibri" w:eastAsia="Calibri" w:cs="Calibri"/>
          <w:color w:val="595959" w:themeColor="text1" w:themeTint="A6" w:themeShade="FF"/>
          <w:sz w:val="24"/>
          <w:szCs w:val="24"/>
          <w:lang w:val="en-US"/>
        </w:rPr>
        <w:t xml:space="preserve"> </w:t>
      </w:r>
    </w:p>
    <w:p w:rsidR="4CEBA761" w:rsidP="4CEBA761" w:rsidRDefault="4CEBA761" w14:paraId="51802430" w14:textId="299E2F62">
      <w:pPr>
        <w:jc w:val="both"/>
      </w:pPr>
      <w:r w:rsidRPr="4CEBA761" w:rsidR="4CEBA761">
        <w:rPr>
          <w:rFonts w:ascii="Calibri" w:hAnsi="Calibri" w:eastAsia="Calibri" w:cs="Calibri"/>
          <w:b w:val="1"/>
          <w:bCs w:val="1"/>
          <w:sz w:val="24"/>
          <w:szCs w:val="24"/>
        </w:rPr>
        <w:t>6.jautājums:</w:t>
      </w:r>
    </w:p>
    <w:p w:rsidR="4CEBA761" w:rsidP="4CEBA761" w:rsidRDefault="4CEBA761" w14:paraId="56482AA3" w14:textId="4C7360EA">
      <w:pPr>
        <w:jc w:val="both"/>
      </w:pPr>
      <w:r w:rsidRPr="4CEBA761" w:rsidR="4CEBA761">
        <w:rPr>
          <w:rFonts w:ascii="Calibri" w:hAnsi="Calibri" w:eastAsia="Calibri" w:cs="Calibri"/>
          <w:sz w:val="24"/>
          <w:szCs w:val="24"/>
        </w:rPr>
        <w:t>Ņemot vērā to, ka esošajā tirgus situācijā EDS iekārtu piegādes termiņi ir aptuveni 6 mēneši, lūdzam izskatīt iespēju veikt izmaiņas nolikuma 2.5. apakšpunktā, nosakot līguma izpildes laiku: 6 mēnešus no Līguma parakstīšanas.</w:t>
      </w:r>
    </w:p>
    <w:p w:rsidR="4CEBA761" w:rsidP="4CEBA761" w:rsidRDefault="4CEBA761" w14:paraId="3E01F6BC" w14:textId="09F9896A">
      <w:pPr>
        <w:jc w:val="both"/>
      </w:pPr>
      <w:r w:rsidRPr="4CEBA761" w:rsidR="4CEBA761">
        <w:rPr>
          <w:rFonts w:ascii="Calibri" w:hAnsi="Calibri" w:eastAsia="Calibri" w:cs="Calibri"/>
          <w:sz w:val="24"/>
          <w:szCs w:val="24"/>
        </w:rPr>
        <w:t>Norādām, ka esošais termiņš – 2023. gada 15. decembris – ir nepietiekams, papildus ņemot vērā piedāvājuma izvērtēšanas periodu.</w:t>
      </w:r>
    </w:p>
    <w:p w:rsidR="4CEBA761" w:rsidP="4CEBA761" w:rsidRDefault="4CEBA761" w14:paraId="2AB33E93" w14:textId="4D8A4587">
      <w:pPr>
        <w:jc w:val="both"/>
      </w:pPr>
      <w:r w:rsidRPr="4CEBA761" w:rsidR="4CEBA761">
        <w:rPr>
          <w:rFonts w:ascii="Calibri" w:hAnsi="Calibri" w:eastAsia="Calibri" w:cs="Calibri"/>
          <w:sz w:val="24"/>
          <w:szCs w:val="24"/>
        </w:rPr>
        <w:t>Lūdzam veikt arī piedāvājuma iesniegšanas termiņa pagarinājuma, piemēram, līdz š.g. 25. oktobrim.</w:t>
      </w:r>
    </w:p>
    <w:p w:rsidR="4CEBA761" w:rsidP="4CEBA761" w:rsidRDefault="4CEBA761" w14:paraId="0C0DA5C6" w14:textId="3C3510F5" w14:noSpellErr="1">
      <w:pPr>
        <w:jc w:val="both"/>
      </w:pPr>
      <w:r w:rsidRPr="4CEBA761" w:rsidR="4CEBA761">
        <w:rPr>
          <w:rFonts w:ascii="Calibri" w:hAnsi="Calibri" w:eastAsia="Calibri" w:cs="Calibri"/>
          <w:b w:val="1"/>
          <w:bCs w:val="1"/>
          <w:color w:val="595959" w:themeColor="text1" w:themeTint="A6" w:themeShade="FF"/>
          <w:sz w:val="24"/>
          <w:szCs w:val="24"/>
          <w:u w:val="single"/>
        </w:rPr>
        <w:t>Question 6:</w:t>
      </w:r>
    </w:p>
    <w:p w:rsidR="4CEBA761" w:rsidP="4CEBA761" w:rsidRDefault="4CEBA761" w14:paraId="2F5F432B" w14:textId="5D203F2F" w14:noSpellErr="1">
      <w:pPr>
        <w:jc w:val="both"/>
      </w:pPr>
      <w:r w:rsidRPr="4CEBA761" w:rsidR="4CEBA761">
        <w:rPr>
          <w:rFonts w:ascii="Calibri" w:hAnsi="Calibri" w:eastAsia="Calibri" w:cs="Calibri"/>
          <w:color w:val="595959" w:themeColor="text1" w:themeTint="A6" w:themeShade="FF"/>
          <w:sz w:val="24"/>
          <w:szCs w:val="24"/>
          <w:lang w:val="en-US"/>
        </w:rPr>
        <w:t>Taking into account the fact that in the current market situation, the delivery terms of EDS equipment are approximately 6 months, we ask you to consider the possibility of making changes in Clause 2.5 of the Terms of Reference, providing for the following contract execution time: 6 months from the signing of the Contract.</w:t>
      </w:r>
    </w:p>
    <w:p w:rsidR="4CEBA761" w:rsidP="4CEBA761" w:rsidRDefault="4CEBA761" w14:paraId="395FD953" w14:textId="64CC9112" w14:noSpellErr="1">
      <w:pPr>
        <w:jc w:val="both"/>
      </w:pPr>
      <w:r w:rsidRPr="4CEBA761" w:rsidR="4CEBA761">
        <w:rPr>
          <w:rFonts w:ascii="Calibri" w:hAnsi="Calibri" w:eastAsia="Calibri" w:cs="Calibri"/>
          <w:color w:val="595959" w:themeColor="text1" w:themeTint="A6" w:themeShade="FF"/>
          <w:sz w:val="24"/>
          <w:szCs w:val="24"/>
          <w:lang w:val="en-US"/>
        </w:rPr>
        <w:t>We would like to point out that the current deadline – 15 December 2023 – is insufficient, additionally taking into account the proposal evaluation period.</w:t>
      </w:r>
    </w:p>
    <w:p w:rsidR="4CEBA761" w:rsidP="4CEBA761" w:rsidRDefault="4CEBA761" w14:paraId="3A872CE7" w14:textId="411E0B48" w14:noSpellErr="1">
      <w:pPr>
        <w:jc w:val="both"/>
      </w:pPr>
      <w:r w:rsidRPr="4CEBA761" w:rsidR="4CEBA761">
        <w:rPr>
          <w:rFonts w:ascii="Calibri" w:hAnsi="Calibri" w:eastAsia="Calibri" w:cs="Calibri"/>
          <w:color w:val="595959" w:themeColor="text1" w:themeTint="A6" w:themeShade="FF"/>
          <w:sz w:val="24"/>
          <w:szCs w:val="24"/>
          <w:lang w:val="en-US"/>
        </w:rPr>
        <w:t>We also ask for an extension of the proposal submission deadline, for example, until 25 October of this year.</w:t>
      </w:r>
    </w:p>
    <w:p w:rsidR="4CEBA761" w:rsidP="4CEBA761" w:rsidRDefault="4CEBA761" w14:paraId="1D4DE1C1" w14:textId="522D1C8E">
      <w:pPr>
        <w:jc w:val="both"/>
      </w:pPr>
      <w:r w:rsidRPr="4CEBA761" w:rsidR="4CEBA761">
        <w:rPr>
          <w:rFonts w:ascii="Calibri" w:hAnsi="Calibri" w:eastAsia="Calibri" w:cs="Calibri"/>
          <w:sz w:val="24"/>
          <w:szCs w:val="24"/>
        </w:rPr>
        <w:t xml:space="preserve"> </w:t>
      </w:r>
    </w:p>
    <w:p w:rsidR="4CEBA761" w:rsidP="4CEBA761" w:rsidRDefault="4CEBA761" w14:paraId="43E5A87C" w14:textId="72D6ECA2">
      <w:pPr>
        <w:jc w:val="both"/>
      </w:pPr>
      <w:r w:rsidRPr="4CEBA761" w:rsidR="4CEBA761">
        <w:rPr>
          <w:rFonts w:ascii="Calibri" w:hAnsi="Calibri" w:eastAsia="Calibri" w:cs="Calibri"/>
          <w:sz w:val="24"/>
          <w:szCs w:val="24"/>
          <w:u w:val="single"/>
        </w:rPr>
        <w:t>Atbilde:</w:t>
      </w:r>
    </w:p>
    <w:p w:rsidR="4CEBA761" w:rsidP="4CEBA761" w:rsidRDefault="4CEBA761" w14:paraId="73CEC10B" w14:textId="0A693E1E">
      <w:pPr>
        <w:jc w:val="both"/>
      </w:pPr>
      <w:r w:rsidRPr="4CEBA761" w:rsidR="4CEBA761">
        <w:rPr>
          <w:rFonts w:ascii="Calibri" w:hAnsi="Calibri" w:eastAsia="Calibri" w:cs="Calibri"/>
          <w:sz w:val="24"/>
          <w:szCs w:val="24"/>
        </w:rPr>
        <w:t>Iepirkums tiek finansēts no Eiropas Kohēzijas fonda darbības programmas "Izaugsme un nodarbinātība" prioritārā virziena "Ilgtspējīga transporta sistēma" 6.1.2. specifiskā atbalsta mērķa "Veicināt drošību un vides prasību ievērošanu starptautiskajā lidostā "Rīga"" (projekta Nr. 6.1.2.0/16/I/001) un Pasūtītāja finanšu līdzekļiem. Pasūtītājam svarīgi ir organizēt iepirkuma procedūru un plānot līguma izpildi projekta īstenošanas laikā – līdz šī gada decembrim.</w:t>
      </w:r>
    </w:p>
    <w:p w:rsidR="4CEBA761" w:rsidP="4CEBA761" w:rsidRDefault="4CEBA761" w14:paraId="6A51C41D" w14:textId="5DF124D3">
      <w:pPr>
        <w:jc w:val="both"/>
      </w:pPr>
      <w:r w:rsidRPr="4CEBA761" w:rsidR="4CEBA761">
        <w:rPr>
          <w:rFonts w:ascii="Calibri" w:hAnsi="Calibri" w:eastAsia="Calibri" w:cs="Calibri"/>
          <w:sz w:val="24"/>
          <w:szCs w:val="24"/>
        </w:rPr>
        <w:t>Piedāvājuma iesniegšanas termiņš, kā arī līguma izpildes termiņš netiks pagarināti.</w:t>
      </w:r>
    </w:p>
    <w:p w:rsidR="4CEBA761" w:rsidP="4CEBA761" w:rsidRDefault="4CEBA761" w14:paraId="3A804B92" w14:textId="4A4EB3B0" w14:noSpellErr="1">
      <w:pPr>
        <w:jc w:val="both"/>
      </w:pPr>
      <w:r w:rsidRPr="4CEBA761" w:rsidR="4CEBA761">
        <w:rPr>
          <w:rFonts w:ascii="Calibri" w:hAnsi="Calibri" w:eastAsia="Calibri" w:cs="Calibri"/>
          <w:color w:val="595959" w:themeColor="text1" w:themeTint="A6" w:themeShade="FF"/>
          <w:sz w:val="24"/>
          <w:szCs w:val="24"/>
          <w:u w:val="single"/>
          <w:lang w:val="en-US"/>
        </w:rPr>
        <w:t>Answer</w:t>
      </w:r>
      <w:r w:rsidRPr="4CEBA761" w:rsidR="4CEBA761">
        <w:rPr>
          <w:rFonts w:ascii="Calibri" w:hAnsi="Calibri" w:eastAsia="Calibri" w:cs="Calibri"/>
          <w:color w:val="595959" w:themeColor="text1" w:themeTint="A6" w:themeShade="FF"/>
          <w:sz w:val="24"/>
          <w:szCs w:val="24"/>
          <w:lang w:val="en-US"/>
        </w:rPr>
        <w:t>:</w:t>
      </w:r>
    </w:p>
    <w:p w:rsidR="4CEBA761" w:rsidP="4CEBA761" w:rsidRDefault="4CEBA761" w14:paraId="1B4D42EC" w14:textId="5F4936F1">
      <w:pPr>
        <w:jc w:val="both"/>
      </w:pPr>
      <w:r w:rsidRPr="4CEBA761" w:rsidR="4CEBA761">
        <w:rPr>
          <w:rFonts w:ascii="Calibri" w:hAnsi="Calibri" w:eastAsia="Calibri" w:cs="Calibri"/>
          <w:color w:val="595959" w:themeColor="text1" w:themeTint="A6" w:themeShade="FF"/>
          <w:sz w:val="24"/>
          <w:szCs w:val="24"/>
          <w:lang w:val="en-US"/>
        </w:rPr>
        <w:t>The procurement is financed from the funds of the European Cohesion Fund programme “Growth and Employment” Priority Axis “Sustainable Transportation System” Specific Objective 6.1.2 “To Promote Security and Compliance with Environmental Requirements at Riga International Airport” (project No. 6.1.2.0/16/I/001), and funds of the Client. It is important for the Client to organize the procurement procedure and plan the execution of the contract during the implementation of the project – until December of this year.</w:t>
      </w:r>
    </w:p>
    <w:p w:rsidR="4CEBA761" w:rsidP="4CEBA761" w:rsidRDefault="4CEBA761" w14:paraId="0EED2360" w14:textId="732D44D5" w14:noSpellErr="1">
      <w:pPr>
        <w:jc w:val="both"/>
      </w:pPr>
      <w:r w:rsidRPr="4CEBA761" w:rsidR="4CEBA761">
        <w:rPr>
          <w:rFonts w:ascii="Calibri" w:hAnsi="Calibri" w:eastAsia="Calibri" w:cs="Calibri"/>
          <w:color w:val="595959" w:themeColor="text1" w:themeTint="A6" w:themeShade="FF"/>
          <w:sz w:val="24"/>
          <w:szCs w:val="24"/>
          <w:lang w:val="en-US"/>
        </w:rPr>
        <w:t>The proposal submission deadline, as well as the contract performance deadline, will not be extended.</w:t>
      </w:r>
    </w:p>
    <w:p w:rsidR="4CEBA761" w:rsidP="4CEBA761" w:rsidRDefault="4CEBA761" w14:paraId="54B0C20A" w14:textId="724D37EE">
      <w:pPr>
        <w:ind w:left="-426" w:firstLine="426"/>
        <w:jc w:val="both"/>
      </w:pPr>
      <w:r w:rsidRPr="4CEBA761" w:rsidR="4CEBA761">
        <w:rPr>
          <w:rFonts w:ascii="Calibri" w:hAnsi="Calibri" w:eastAsia="Calibri" w:cs="Calibri"/>
          <w:sz w:val="24"/>
          <w:szCs w:val="24"/>
          <w:lang w:val="en-GB"/>
        </w:rPr>
        <w:t xml:space="preserve"> </w:t>
      </w:r>
    </w:p>
    <w:p w:rsidR="4CEBA761" w:rsidP="4CEBA761" w:rsidRDefault="4CEBA761" w14:paraId="70B0ACF4" w14:textId="63E297B0">
      <w:pPr>
        <w:ind w:left="-426" w:firstLine="426"/>
        <w:jc w:val="both"/>
      </w:pPr>
      <w:r w:rsidRPr="4CEBA761" w:rsidR="4CEBA761">
        <w:rPr>
          <w:rFonts w:ascii="Calibri" w:hAnsi="Calibri" w:eastAsia="Calibri" w:cs="Calibri"/>
          <w:sz w:val="24"/>
          <w:szCs w:val="24"/>
          <w:lang w:val="en-GB"/>
        </w:rPr>
        <w:t xml:space="preserve"> </w:t>
      </w:r>
    </w:p>
    <w:p w:rsidR="4CEBA761" w:rsidP="4CEBA761" w:rsidRDefault="4CEBA761" w14:paraId="0F9A9306" w14:textId="32B31CA1">
      <w:pPr>
        <w:ind w:left="-426" w:firstLine="426"/>
        <w:jc w:val="both"/>
      </w:pPr>
      <w:r w:rsidRPr="4CEBA761" w:rsidR="4CEBA761">
        <w:rPr>
          <w:rFonts w:ascii="Calibri" w:hAnsi="Calibri" w:eastAsia="Calibri" w:cs="Calibri"/>
          <w:sz w:val="24"/>
          <w:szCs w:val="24"/>
          <w:lang w:val="en-GB"/>
        </w:rPr>
        <w:t>Iepirkuma komisijas priekšsēdētājs</w:t>
      </w:r>
    </w:p>
    <w:p w:rsidR="4CEBA761" w:rsidP="4CEBA761" w:rsidRDefault="4CEBA761" w14:paraId="24206655" w14:textId="0F1C6848" w14:noSpellErr="1">
      <w:pPr>
        <w:ind w:left="-426" w:firstLine="426"/>
        <w:jc w:val="both"/>
      </w:pPr>
      <w:r w:rsidRPr="4CEBA761" w:rsidR="4CEBA761">
        <w:rPr>
          <w:rFonts w:ascii="Calibri" w:hAnsi="Calibri" w:eastAsia="Calibri" w:cs="Calibri"/>
          <w:color w:val="595959" w:themeColor="text1" w:themeTint="A6" w:themeShade="FF"/>
          <w:sz w:val="24"/>
          <w:szCs w:val="24"/>
          <w:lang w:val="en-US"/>
        </w:rPr>
        <w:t>Chairman of the Procurement Committee</w:t>
      </w:r>
    </w:p>
    <w:p w:rsidR="4CEBA761" w:rsidP="4CEBA761" w:rsidRDefault="4CEBA761" w14:paraId="14D55CD8" w14:textId="5418D60F">
      <w:pPr>
        <w:pStyle w:val="Normal"/>
        <w:jc w:val="both"/>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581"/>
        <w:gridCol w:w="4581"/>
      </w:tblGrid>
      <w:tr w:rsidRPr="001B7DC7" w:rsidR="00401F4F" w:rsidTr="008D124A" w14:paraId="6518BD56" w14:textId="77777777">
        <w:tc>
          <w:tcPr>
            <w:tcW w:w="4814" w:type="dxa"/>
          </w:tcPr>
          <w:p w:rsidRPr="001B7DC7" w:rsidR="00401F4F" w:rsidP="00401F4F" w:rsidRDefault="008F7A9E" w14:paraId="51AB46BB" w14:textId="77777777">
            <w:pPr>
              <w:jc w:val="both"/>
              <w:rPr>
                <w:rFonts w:ascii="Arial" w:hAnsi="Arial" w:eastAsia="Calibri" w:cs="Arial"/>
                <w:color w:val="000000"/>
              </w:rPr>
            </w:pPr>
            <w:r w:rsidRPr="001B7DC7" w:rsidR="00401F4F">
              <w:rPr>
                <w:rFonts w:ascii="Arial" w:hAnsi="Arial" w:eastAsia="Calibri" w:cs="Arial"/>
                <w:color w:val="808080"/>
              </w:rPr>
              <w:t>Direktors</w:t>
            </w:r>
          </w:p>
          <w:p w:rsidRPr="001B7DC7" w:rsidR="00401F4F" w:rsidP="00401F4F" w:rsidRDefault="00401F4F" w14:paraId="32C5575D" w14:textId="77777777">
            <w:pPr>
              <w:jc w:val="both"/>
              <w:rPr>
                <w:rFonts w:ascii="Arial" w:hAnsi="Arial" w:eastAsia="Calibri" w:cs="Arial"/>
                <w:color w:val="000000"/>
              </w:rPr>
            </w:pPr>
          </w:p>
        </w:tc>
        <w:tc>
          <w:tcPr>
            <w:tcW w:w="4815" w:type="dxa"/>
          </w:tcPr>
          <w:p w:rsidRPr="001B7DC7" w:rsidR="00401F4F" w:rsidP="00401F4F" w:rsidRDefault="008F7A9E" w14:paraId="57B5660C" w14:textId="77777777">
            <w:pPr>
              <w:jc w:val="right"/>
              <w:rPr>
                <w:rFonts w:ascii="Arial" w:hAnsi="Arial" w:eastAsia="Calibri" w:cs="Arial"/>
                <w:color w:val="000000"/>
              </w:rPr>
            </w:pPr>
            <w:r w:rsidRPr="001B7DC7" w:rsidR="00401F4F">
              <w:rPr>
                <w:rFonts w:ascii="Arial" w:hAnsi="Arial" w:eastAsia="Calibri" w:cs="Arial"/>
                <w:color w:val="808080"/>
              </w:rPr>
              <w:t>Sandis Stabiņš</w:t>
            </w:r>
          </w:p>
        </w:tc>
      </w:tr>
    </w:tbl>
    <w:p w:rsidRPr="001B7DC7" w:rsidR="00401F4F" w:rsidP="00401F4F" w:rsidRDefault="00401F4F" w14:paraId="01248A6D" w14:textId="77777777">
      <w:pPr>
        <w:spacing w:line="276" w:lineRule="auto"/>
        <w:jc w:val="both"/>
        <w:rPr>
          <w:rFonts w:ascii="Arial" w:hAnsi="Arial" w:eastAsia="Times New Roman" w:cs="Arial"/>
          <w:iCs/>
          <w:lang w:val="lv-LV"/>
        </w:rPr>
      </w:pPr>
    </w:p>
    <w:p w:rsidRPr="001B7DC7" w:rsidR="00401F4F" w:rsidP="00401F4F" w:rsidRDefault="00401F4F" w14:paraId="71DF2693" w14:textId="77777777">
      <w:pPr>
        <w:spacing w:line="276" w:lineRule="auto"/>
        <w:jc w:val="both"/>
        <w:rPr>
          <w:rFonts w:ascii="Arial" w:hAnsi="Arial" w:eastAsia="Times New Roman" w:cs="Arial"/>
          <w:i/>
          <w:iCs/>
          <w:sz w:val="12"/>
          <w:szCs w:val="12"/>
          <w:lang w:val="lv-LV"/>
        </w:rPr>
      </w:pPr>
    </w:p>
    <w:p w:rsidRPr="001B7DC7" w:rsidR="00401F4F" w:rsidP="00401F4F" w:rsidRDefault="00401F4F" w14:paraId="18D7D156" w14:textId="77777777">
      <w:pPr>
        <w:spacing w:line="276" w:lineRule="auto"/>
        <w:jc w:val="both"/>
        <w:rPr>
          <w:rFonts w:ascii="Arial" w:hAnsi="Arial" w:eastAsia="Times New Roman" w:cs="Arial"/>
          <w:i/>
          <w:iCs/>
          <w:sz w:val="12"/>
          <w:szCs w:val="12"/>
          <w:lang w:val="lv-LV"/>
        </w:rPr>
      </w:pPr>
    </w:p>
    <w:p w:rsidRPr="001B7DC7" w:rsidR="00401F4F" w:rsidP="00401F4F" w:rsidRDefault="008F7A9E" w14:paraId="2A869FE5" w14:textId="11012FC2" w14:noSpellErr="1">
      <w:pPr>
        <w:textAlignment w:val="center"/>
        <w:rPr>
          <w:rFonts w:ascii="Arial" w:hAnsi="Arial" w:eastAsia="Times New Roman" w:cs="Arial"/>
          <w:i/>
          <w:iCs/>
          <w:color w:val="000000"/>
          <w:sz w:val="20"/>
          <w:szCs w:val="20"/>
          <w:lang w:val="lv-LV" w:eastAsia="lv-LV"/>
        </w:rPr>
      </w:pPr>
      <w:r w:rsidRPr="4CEBA761" w:rsidR="4CEBA761">
        <w:rPr>
          <w:rFonts w:ascii="Arial,Calibri" w:hAnsi="Arial,Calibri" w:eastAsia="Arial,Calibri" w:cs="Arial,Calibri"/>
          <w:i w:val="1"/>
          <w:iCs w:val="1"/>
          <w:color w:val="808080" w:themeColor="text1" w:themeTint="7F" w:themeShade="FF"/>
          <w:sz w:val="20"/>
          <w:szCs w:val="20"/>
          <w:lang w:val="lv-LV" w:eastAsia="lv-LV"/>
        </w:rPr>
        <w:t>Julija Āboltiņa</w:t>
      </w:r>
      <w:r w:rsidRPr="4CEBA761" w:rsidR="4CEBA761">
        <w:rPr>
          <w:rFonts w:ascii="Arial,Times New Roman" w:hAnsi="Arial,Times New Roman" w:eastAsia="Arial,Times New Roman" w:cs="Arial,Times New Roman"/>
          <w:i w:val="1"/>
          <w:iCs w:val="1"/>
          <w:sz w:val="20"/>
          <w:szCs w:val="20"/>
          <w:lang w:val="lv-LV"/>
        </w:rPr>
        <w:t xml:space="preserve">, </w:t>
      </w:r>
    </w:p>
    <w:p w:rsidRPr="001B7DC7" w:rsidR="00401F4F" w:rsidP="00401F4F" w:rsidRDefault="008F7A9E" w14:paraId="09B0CAE5" w14:textId="77777777">
      <w:pPr>
        <w:spacing w:line="276" w:lineRule="auto"/>
        <w:jc w:val="both"/>
        <w:rPr>
          <w:rFonts w:ascii="Arial" w:hAnsi="Arial" w:eastAsia="Times New Roman" w:cs="Arial"/>
          <w:i/>
          <w:iCs/>
          <w:color w:val="000000"/>
          <w:sz w:val="20"/>
          <w:szCs w:val="20"/>
          <w:lang w:val="lv-LV" w:eastAsia="lv-LV"/>
        </w:rPr>
      </w:pPr>
      <w:r w:rsidRPr="001B7DC7" w:rsidR="00401F4F">
        <w:rPr>
          <w:rFonts w:ascii="Arial" w:hAnsi="Arial" w:eastAsia="Calibri" w:cs="Arial"/>
          <w:i/>
          <w:iCs/>
          <w:color w:val="808080"/>
          <w:sz w:val="20"/>
          <w:szCs w:val="20"/>
          <w:lang w:val="lv-LV" w:eastAsia="lv-LV"/>
        </w:rPr>
        <w:t>j.aboltina@riga-airport.com</w:t>
      </w:r>
    </w:p>
    <w:p w:rsidRPr="001B7DC7" w:rsidR="00401F4F" w:rsidP="00401F4F" w:rsidRDefault="00401F4F" w14:paraId="5E64573B" w14:textId="77777777">
      <w:pPr>
        <w:spacing w:line="276" w:lineRule="auto"/>
        <w:jc w:val="both"/>
        <w:rPr>
          <w:rFonts w:ascii="Arial" w:hAnsi="Arial" w:eastAsia="Times New Roman" w:cs="Arial"/>
          <w:color w:val="000000"/>
          <w:sz w:val="16"/>
          <w:szCs w:val="16"/>
          <w:lang w:val="lv-LV" w:eastAsia="lv-LV"/>
        </w:rPr>
      </w:pPr>
    </w:p>
    <w:p w:rsidRPr="001B7DC7" w:rsidR="00401F4F" w:rsidP="00401F4F" w:rsidRDefault="00401F4F" w14:paraId="4A735A6F" w14:textId="77777777">
      <w:pPr>
        <w:spacing w:line="276" w:lineRule="auto"/>
        <w:rPr>
          <w:rFonts w:ascii="Arial" w:hAnsi="Arial" w:eastAsia="Times New Roman" w:cs="Arial"/>
          <w:iCs/>
          <w:sz w:val="22"/>
          <w:szCs w:val="22"/>
          <w:lang w:val="lv-LV"/>
        </w:rPr>
      </w:pPr>
      <w:r w:rsidRPr="001B7DC7">
        <w:rPr>
          <w:rFonts w:ascii="Arial" w:hAnsi="Arial" w:eastAsia="Times New Roman" w:cs="Arial"/>
          <w:sz w:val="20"/>
          <w:szCs w:val="20"/>
          <w:lang w:val="lv-LV"/>
        </w:rPr>
        <w:t>DOKUMENTS IR PARAKSTĪTS AR DROŠU ELEKTRONISKO PARAKSTU UN SATUR LAIKA ZĪMOGU</w:t>
      </w:r>
    </w:p>
    <w:bookmarkEnd w:id="0"/>
    <w:p w:rsidRPr="001B7DC7" w:rsidR="00401F4F" w:rsidP="00081B6F" w:rsidRDefault="00401F4F" w14:paraId="14B4AAD2" w14:textId="77777777">
      <w:pPr>
        <w:rPr>
          <w:rFonts w:ascii="Arial" w:hAnsi="Arial" w:cs="Arial"/>
        </w:rPr>
      </w:pPr>
    </w:p>
    <w:sectPr w:rsidRPr="001B7DC7" w:rsidR="00401F4F" w:rsidSect="00401F4F">
      <w:headerReference w:type="even" r:id="rId8"/>
      <w:headerReference w:type="default" r:id="rId9"/>
      <w:footerReference w:type="even" r:id="rId10"/>
      <w:footerReference w:type="default" r:id="rId11"/>
      <w:headerReference w:type="first" r:id="rId12"/>
      <w:footerReference w:type="first" r:id="rId13"/>
      <w:pgSz w:w="11900" w:h="16840" w:orient="portrait"/>
      <w:pgMar w:top="1146" w:right="1440" w:bottom="1440" w:left="1298" w:header="426" w:footer="3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7A9E" w:rsidP="00401F4F" w:rsidRDefault="008F7A9E" w14:paraId="6C833A7C" w14:textId="77777777">
      <w:r>
        <w:separator/>
      </w:r>
    </w:p>
  </w:endnote>
  <w:endnote w:type="continuationSeparator" w:id="0">
    <w:p w:rsidR="008F7A9E" w:rsidP="00401F4F" w:rsidRDefault="008F7A9E" w14:paraId="7CA2A0C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309" w:rsidRDefault="00D84309" w14:paraId="28E954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D84309" w:rsidR="001B5409" w:rsidP="00D84309" w:rsidRDefault="001B5409" w14:paraId="3D07B3A5" w14:textId="7996EF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309" w:rsidRDefault="00D84309" w14:paraId="60F3873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7A9E" w:rsidP="00401F4F" w:rsidRDefault="008F7A9E" w14:paraId="53B3DE17" w14:textId="77777777">
      <w:r>
        <w:separator/>
      </w:r>
    </w:p>
  </w:footnote>
  <w:footnote w:type="continuationSeparator" w:id="0">
    <w:p w:rsidR="008F7A9E" w:rsidP="00401F4F" w:rsidRDefault="008F7A9E" w14:paraId="7FBAC19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309" w:rsidRDefault="00D84309" w14:paraId="701271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309" w:rsidRDefault="00D84309" w14:paraId="3FBEFD1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4309" w:rsidRDefault="00D84309" w14:paraId="2F608D6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formsDesig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81B6F"/>
    <w:rsid w:val="001B5409"/>
    <w:rsid w:val="001B7DC7"/>
    <w:rsid w:val="001E062D"/>
    <w:rsid w:val="00401F4F"/>
    <w:rsid w:val="00664EC0"/>
    <w:rsid w:val="007300EE"/>
    <w:rsid w:val="008F7A9E"/>
    <w:rsid w:val="009E1FE6"/>
    <w:rsid w:val="00AA39EE"/>
    <w:rsid w:val="00CB3444"/>
    <w:rsid w:val="00D84309"/>
    <w:rsid w:val="4CEBA761"/>
    <w:rsid w:val="58586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styleId="HeaderChar" w:customStyle="1">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styleId="FooterChar" w:customStyle="1">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customXml" Target="../customXml/item2.xml" Id="rId18" /><Relationship Type="http://schemas.openxmlformats.org/officeDocument/2006/relationships/webSettings" Target="webSettings.xml" Id="rId3" /><Relationship Type="http://schemas.openxmlformats.org/officeDocument/2006/relationships/header" Target="header3.xml" Id="rId12" /><Relationship Type="http://schemas.openxmlformats.org/officeDocument/2006/relationships/customXml" Target="../customXml/item1.xml" Id="rId17" /><Relationship Type="http://schemas.openxmlformats.org/officeDocument/2006/relationships/settings" Target="settings.xml" Id="rId2" /><Relationship Type="http://schemas.openxmlformats.org/officeDocument/2006/relationships/theme" Target="theme/theme1.xml" Id="rId16" /><Relationship Type="http://schemas.openxmlformats.org/officeDocument/2006/relationships/styles" Target="styles.xml" Id="rId1" /><Relationship Type="http://schemas.openxmlformats.org/officeDocument/2006/relationships/image" Target="media/image1.emf" Id="rId6" /><Relationship Type="http://schemas.openxmlformats.org/officeDocument/2006/relationships/footer" Target="footer2.xml" Id="rId11" /><Relationship Type="http://schemas.openxmlformats.org/officeDocument/2006/relationships/endnotes" Target="endnote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customXml" Target="../customXml/item3.xml" Id="rId19" /><Relationship Type="http://schemas.openxmlformats.org/officeDocument/2006/relationships/footnotes" Target="footnotes.xml" Id="rId4" /><Relationship Type="http://schemas.openxmlformats.org/officeDocument/2006/relationships/header" Target="header2.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5745B9FF5E64729870321BB30F01D0F"/>
        <w:category>
          <w:name w:val="General"/>
          <w:gallery w:val="placeholder"/>
        </w:category>
        <w:types>
          <w:type w:val="bbPlcHdr"/>
        </w:types>
        <w:behaviors>
          <w:behavior w:val="content"/>
        </w:behaviors>
        <w:guid w:val="{0229F7BA-690D-45D4-B039-66FD62BB8D18}"/>
      </w:docPartPr>
      <w:docPartBody>
        <w:p w:rsidR="00914AEE" w:rsidRDefault="00BD4D83" w:rsidP="00BD4D83">
          <w:pPr>
            <w:pStyle w:val="35745B9FF5E64729870321BB30F01D0F"/>
          </w:pPr>
          <w:r w:rsidRPr="00F136E7">
            <w:rPr>
              <w:rStyle w:val="PlaceholderText"/>
              <w:rFonts w:ascii="Times New Roman" w:hAnsi="Times New Roman" w:cs="Times New Roman"/>
              <w:b/>
              <w:bCs/>
              <w:sz w:val="24"/>
              <w:szCs w:val="24"/>
            </w:rPr>
            <w:t>Click or tap here to enter text.</w:t>
          </w:r>
        </w:p>
      </w:docPartBody>
    </w:docPart>
    <w:docPart>
      <w:docPartPr>
        <w:name w:val="9114BFC831AD4E558A61C7A92FA61AFE"/>
        <w:category>
          <w:name w:val="General"/>
          <w:gallery w:val="placeholder"/>
        </w:category>
        <w:types>
          <w:type w:val="bbPlcHdr"/>
        </w:types>
        <w:behaviors>
          <w:behavior w:val="content"/>
        </w:behaviors>
        <w:guid w:val="{EFF093D2-8DB9-4138-B5E0-EC06658EB51E}"/>
      </w:docPartPr>
      <w:docPartBody>
        <w:p w:rsidR="00914AEE" w:rsidRDefault="00BD4D83" w:rsidP="00BD4D83">
          <w:pPr>
            <w:pStyle w:val="9114BFC831AD4E558A61C7A92FA61AFE"/>
          </w:pPr>
          <w:r w:rsidRPr="00F136E7">
            <w:rPr>
              <w:rStyle w:val="PlaceholderText"/>
              <w:rFonts w:ascii="Times New Roman" w:hAnsi="Times New Roman" w:cs="Times New Roman"/>
              <w:i/>
              <w:iCs/>
              <w:sz w:val="24"/>
              <w:szCs w:val="24"/>
            </w:rPr>
            <w:t>Click or tap here to enter text.</w:t>
          </w:r>
        </w:p>
      </w:docPartBody>
    </w:docPart>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BD4D83" w:rsidP="00BD4D83">
          <w:pPr>
            <w:pStyle w:val="5FB05C391CC64FCDB4CE467B89F6E760"/>
          </w:pPr>
          <w:r w:rsidRPr="00127EA7">
            <w:rPr>
              <w:rStyle w:val="PlaceholderText"/>
              <w:rFonts w:ascii="Times New Roman" w:hAnsi="Times New Roman" w:cs="Times New Roman"/>
              <w:sz w:val="24"/>
              <w:szCs w:val="24"/>
            </w:rPr>
            <w:t>Click or tap here to enter text.</w:t>
          </w:r>
        </w:p>
      </w:docPartBody>
    </w:docPart>
    <w:docPart>
      <w:docPartPr>
        <w:name w:val="E5B338476D8D46C1B3FB5FA258158319"/>
        <w:category>
          <w:name w:val="General"/>
          <w:gallery w:val="placeholder"/>
        </w:category>
        <w:types>
          <w:type w:val="bbPlcHdr"/>
        </w:types>
        <w:behaviors>
          <w:behavior w:val="content"/>
        </w:behaviors>
        <w:guid w:val="{2D6024C6-3A40-4F0A-9308-3DFCD591876B}"/>
      </w:docPartPr>
      <w:docPartBody>
        <w:p w:rsidR="00914AEE" w:rsidRDefault="00BD4D83" w:rsidP="00BD4D83">
          <w:pPr>
            <w:pStyle w:val="E5B338476D8D46C1B3FB5FA258158319"/>
          </w:pPr>
          <w:r w:rsidRPr="00916801">
            <w:rPr>
              <w:rStyle w:val="PlaceholderText"/>
            </w:rPr>
            <w:t>Enter any content that you want to repeat, including other content controls. You can also insert this control around table rows in order to repeat parts of a table.</w:t>
          </w:r>
        </w:p>
      </w:docPartBody>
    </w:docPart>
    <w:docPart>
      <w:docPartPr>
        <w:name w:val="0B1F11278281442DBAEED93C21AFB87C"/>
        <w:category>
          <w:name w:val="General"/>
          <w:gallery w:val="placeholder"/>
        </w:category>
        <w:types>
          <w:type w:val="bbPlcHdr"/>
        </w:types>
        <w:behaviors>
          <w:behavior w:val="content"/>
        </w:behaviors>
        <w:guid w:val="{7D1873DD-C5E6-4A4B-8CEE-839358A07AB7}"/>
      </w:docPartPr>
      <w:docPartBody>
        <w:p w:rsidR="00914AEE" w:rsidRDefault="00BD4D83" w:rsidP="00BD4D83">
          <w:pPr>
            <w:pStyle w:val="0B1F11278281442DBAEED93C21AFB87C"/>
          </w:pPr>
          <w:r w:rsidRPr="00127EA7">
            <w:rPr>
              <w:rStyle w:val="PlaceholderText"/>
              <w:rFonts w:ascii="Times New Roman" w:hAnsi="Times New Roman" w:cs="Times New Roman"/>
              <w:sz w:val="24"/>
              <w:szCs w:val="24"/>
            </w:rPr>
            <w:t>Click or tap to enter a date.</w:t>
          </w:r>
        </w:p>
      </w:docPartBody>
    </w:docPart>
    <w:docPart>
      <w:docPartPr>
        <w:name w:val="9C3B7CEA581B47A794794A6D323E3E46"/>
        <w:category>
          <w:name w:val="General"/>
          <w:gallery w:val="placeholder"/>
        </w:category>
        <w:types>
          <w:type w:val="bbPlcHdr"/>
        </w:types>
        <w:behaviors>
          <w:behavior w:val="content"/>
        </w:behaviors>
        <w:guid w:val="{205CE565-BA0A-490D-AEFC-95C000D47169}"/>
      </w:docPartPr>
      <w:docPartBody>
        <w:p w:rsidR="00914AEE" w:rsidRDefault="00BD4D83" w:rsidP="00BD4D83">
          <w:pPr>
            <w:pStyle w:val="9C3B7CEA581B47A794794A6D323E3E46"/>
          </w:pPr>
          <w:r w:rsidRPr="00127EA7">
            <w:rPr>
              <w:rStyle w:val="PlaceholderText"/>
              <w:rFonts w:ascii="Times New Roman" w:hAnsi="Times New Roman" w:cs="Times New Roman"/>
              <w:sz w:val="24"/>
              <w:szCs w:val="24"/>
            </w:rPr>
            <w:t>Click or tap here to enter text.</w:t>
          </w:r>
        </w:p>
      </w:docPartBody>
    </w:docPart>
    <w:docPart>
      <w:docPartPr>
        <w:name w:val="BBB3E38C33794830903A1C416C003CA4"/>
        <w:category>
          <w:name w:val="General"/>
          <w:gallery w:val="placeholder"/>
        </w:category>
        <w:types>
          <w:type w:val="bbPlcHdr"/>
        </w:types>
        <w:behaviors>
          <w:behavior w:val="content"/>
        </w:behaviors>
        <w:guid w:val="{618F7C06-B85E-403A-9076-74DA38BEA009}"/>
      </w:docPartPr>
      <w:docPartBody>
        <w:p w:rsidR="00914AEE" w:rsidRDefault="00BD4D83" w:rsidP="00BD4D83">
          <w:pPr>
            <w:pStyle w:val="BBB3E38C33794830903A1C416C003CA4"/>
          </w:pPr>
          <w:r w:rsidRPr="00916972">
            <w:rPr>
              <w:rStyle w:val="PlaceholderText"/>
              <w:rFonts w:ascii="Times New Roman" w:hAnsi="Times New Roman" w:cs="Times New Roman"/>
              <w:i/>
              <w:iCs/>
              <w:sz w:val="24"/>
              <w:szCs w:val="24"/>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BD4D83" w:rsidP="00BD4D83">
          <w:pPr>
            <w:pStyle w:val="2EA546BF3A26471C91BFD2959D8C69D9"/>
          </w:pPr>
          <w:r w:rsidRPr="00127EA7">
            <w:rPr>
              <w:rStyle w:val="PlaceholderText"/>
              <w:rFonts w:ascii="Times New Roman" w:hAnsi="Times New Roman" w:cs="Times New Roman"/>
              <w:sz w:val="24"/>
              <w:szCs w:val="24"/>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BD4D83" w:rsidP="00BD4D83">
          <w:pPr>
            <w:pStyle w:val="A397CFDB56DE41F1B7DE1114E0606641"/>
          </w:pPr>
          <w:r w:rsidRPr="00127EA7">
            <w:rPr>
              <w:rStyle w:val="PlaceholderText"/>
              <w:rFonts w:ascii="Times New Roman" w:hAnsi="Times New Roman" w:cs="Times New Roman"/>
              <w:sz w:val="24"/>
              <w:szCs w:val="24"/>
            </w:rPr>
            <w:t>Click or tap here to enter text.</w:t>
          </w:r>
        </w:p>
      </w:docPartBody>
    </w:docPart>
    <w:docPart>
      <w:docPartPr>
        <w:name w:val="70B72107B2404472B1BF67D4DD9FF429"/>
        <w:category>
          <w:name w:val="General"/>
          <w:gallery w:val="placeholder"/>
        </w:category>
        <w:types>
          <w:type w:val="bbPlcHdr"/>
        </w:types>
        <w:behaviors>
          <w:behavior w:val="content"/>
        </w:behaviors>
        <w:guid w:val="{6A78BDD3-7324-4251-8DE2-D31B7E7150E7}"/>
      </w:docPartPr>
      <w:docPartBody>
        <w:p w:rsidR="00914AEE" w:rsidRDefault="00BD4D83" w:rsidP="00BD4D83">
          <w:pPr>
            <w:pStyle w:val="70B72107B2404472B1BF67D4DD9FF429"/>
          </w:pPr>
          <w:r w:rsidRPr="00156597">
            <w:rPr>
              <w:rStyle w:val="PlaceholderText"/>
              <w:rFonts w:ascii="Times New Roman" w:hAnsi="Times New Roman" w:cs="Times New Roman"/>
              <w:i/>
              <w:iCs/>
              <w:sz w:val="20"/>
              <w:szCs w:val="20"/>
            </w:rPr>
            <w:t>Click or tap here to enter text.</w:t>
          </w:r>
        </w:p>
      </w:docPartBody>
    </w:docPart>
    <w:docPart>
      <w:docPartPr>
        <w:name w:val="06BBE338F92E4D1B8A0EE3DAD6EF39CA"/>
        <w:category>
          <w:name w:val="General"/>
          <w:gallery w:val="placeholder"/>
        </w:category>
        <w:types>
          <w:type w:val="bbPlcHdr"/>
        </w:types>
        <w:behaviors>
          <w:behavior w:val="content"/>
        </w:behaviors>
        <w:guid w:val="{91562469-6E85-4647-8D6A-9C59758A2653}"/>
      </w:docPartPr>
      <w:docPartBody>
        <w:p w:rsidR="00914AEE" w:rsidRDefault="00BD4D83" w:rsidP="00BD4D83">
          <w:pPr>
            <w:pStyle w:val="06BBE338F92E4D1B8A0EE3DAD6EF39CA"/>
          </w:pPr>
          <w:r w:rsidRPr="00156597">
            <w:rPr>
              <w:rStyle w:val="PlaceholderText"/>
              <w:rFonts w:ascii="Times New Roman" w:hAnsi="Times New Roman" w:cs="Times New Roman"/>
              <w:i/>
              <w:iCs/>
              <w:sz w:val="20"/>
              <w:szCs w:val="20"/>
            </w:rPr>
            <w:t>Click or tap here to enter text.</w:t>
          </w:r>
        </w:p>
      </w:docPartBody>
    </w:docPart>
    <w:docPart>
      <w:docPartPr>
        <w:name w:val="A5C169D5D4744454883E20E4E8457FF3"/>
        <w:category>
          <w:name w:val="General"/>
          <w:gallery w:val="placeholder"/>
        </w:category>
        <w:types>
          <w:type w:val="bbPlcHdr"/>
        </w:types>
        <w:behaviors>
          <w:behavior w:val="content"/>
        </w:behaviors>
        <w:guid w:val="{7966D72B-CD0C-4C0C-8366-9ABE4117D8BB}"/>
      </w:docPartPr>
      <w:docPartBody>
        <w:p w:rsidR="00914AEE" w:rsidRDefault="00BD4D83" w:rsidP="00BD4D83">
          <w:pPr>
            <w:pStyle w:val="A5C169D5D4744454883E20E4E8457FF3"/>
          </w:pPr>
          <w:r w:rsidRPr="00156597">
            <w:rPr>
              <w:rStyle w:val="PlaceholderText"/>
              <w:rFonts w:ascii="Times New Roman" w:hAnsi="Times New Roman" w:cs="Times New Roman"/>
              <w:i/>
              <w:iCs/>
              <w:sz w:val="20"/>
              <w:szCs w:val="20"/>
            </w:rPr>
            <w:t>Click or tap here to enter text.</w:t>
          </w:r>
        </w:p>
      </w:docPartBody>
    </w:docPart>
    <w:docPart>
      <w:docPartPr>
        <w:name w:val="7DA224094CF941BBB3331BBC084A3E5F"/>
        <w:category>
          <w:name w:val="General"/>
          <w:gallery w:val="placeholder"/>
        </w:category>
        <w:types>
          <w:type w:val="bbPlcHdr"/>
        </w:types>
        <w:behaviors>
          <w:behavior w:val="content"/>
        </w:behaviors>
        <w:guid w:val="{35900300-E0FC-44B4-99D3-5607453FC36F}"/>
      </w:docPartPr>
      <w:docPartBody>
        <w:p w:rsidR="00914AEE" w:rsidRDefault="00BD4D83" w:rsidP="00BD4D83">
          <w:pPr>
            <w:pStyle w:val="7DA224094CF941BBB3331BBC084A3E5F"/>
          </w:pPr>
          <w:r w:rsidRPr="00A160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BD4D83"/>
    <w:rsid w:val="00FF39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4D83"/>
    <w:rPr>
      <w:color w:val="808080"/>
    </w:rPr>
  </w:style>
  <w:style w:type="paragraph" w:customStyle="1" w:styleId="35745B9FF5E64729870321BB30F01D0F">
    <w:name w:val="35745B9FF5E64729870321BB30F01D0F"/>
    <w:rsid w:val="00BD4D83"/>
  </w:style>
  <w:style w:type="paragraph" w:customStyle="1" w:styleId="9114BFC831AD4E558A61C7A92FA61AFE">
    <w:name w:val="9114BFC831AD4E558A61C7A92FA61AFE"/>
    <w:rsid w:val="00BD4D83"/>
  </w:style>
  <w:style w:type="paragraph" w:customStyle="1" w:styleId="5FB05C391CC64FCDB4CE467B89F6E760">
    <w:name w:val="5FB05C391CC64FCDB4CE467B89F6E760"/>
    <w:rsid w:val="00BD4D83"/>
  </w:style>
  <w:style w:type="paragraph" w:customStyle="1" w:styleId="E5B338476D8D46C1B3FB5FA258158319">
    <w:name w:val="E5B338476D8D46C1B3FB5FA258158319"/>
    <w:rsid w:val="00BD4D83"/>
  </w:style>
  <w:style w:type="paragraph" w:customStyle="1" w:styleId="0B1F11278281442DBAEED93C21AFB87C">
    <w:name w:val="0B1F11278281442DBAEED93C21AFB87C"/>
    <w:rsid w:val="00BD4D83"/>
  </w:style>
  <w:style w:type="paragraph" w:customStyle="1" w:styleId="9C3B7CEA581B47A794794A6D323E3E46">
    <w:name w:val="9C3B7CEA581B47A794794A6D323E3E46"/>
    <w:rsid w:val="00BD4D83"/>
  </w:style>
  <w:style w:type="paragraph" w:customStyle="1" w:styleId="BBB3E38C33794830903A1C416C003CA4">
    <w:name w:val="BBB3E38C33794830903A1C416C003CA4"/>
    <w:rsid w:val="00BD4D83"/>
  </w:style>
  <w:style w:type="paragraph" w:customStyle="1" w:styleId="FF874B826CAB4A8AB6A42A17E5ACA7D3">
    <w:name w:val="FF874B826CAB4A8AB6A42A17E5ACA7D3"/>
    <w:rsid w:val="00BD4D83"/>
  </w:style>
  <w:style w:type="paragraph" w:customStyle="1" w:styleId="2EA546BF3A26471C91BFD2959D8C69D9">
    <w:name w:val="2EA546BF3A26471C91BFD2959D8C69D9"/>
    <w:rsid w:val="00BD4D83"/>
  </w:style>
  <w:style w:type="paragraph" w:customStyle="1" w:styleId="A397CFDB56DE41F1B7DE1114E0606641">
    <w:name w:val="A397CFDB56DE41F1B7DE1114E0606641"/>
    <w:rsid w:val="00BD4D83"/>
  </w:style>
  <w:style w:type="paragraph" w:customStyle="1" w:styleId="70B72107B2404472B1BF67D4DD9FF429">
    <w:name w:val="70B72107B2404472B1BF67D4DD9FF429"/>
    <w:rsid w:val="00BD4D83"/>
  </w:style>
  <w:style w:type="paragraph" w:customStyle="1" w:styleId="06BBE338F92E4D1B8A0EE3DAD6EF39CA">
    <w:name w:val="06BBE338F92E4D1B8A0EE3DAD6EF39CA"/>
    <w:rsid w:val="00BD4D83"/>
  </w:style>
  <w:style w:type="paragraph" w:customStyle="1" w:styleId="A5C169D5D4744454883E20E4E8457FF3">
    <w:name w:val="A5C169D5D4744454883E20E4E8457FF3"/>
    <w:rsid w:val="00BD4D83"/>
  </w:style>
  <w:style w:type="paragraph" w:customStyle="1" w:styleId="7DA224094CF941BBB3331BBC084A3E5F">
    <w:name w:val="7DA224094CF941BBB3331BBC084A3E5F"/>
    <w:rsid w:val="00BD4D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7100a65f-cb28-4bb8-9ca8-b35d2fdadec6</BBS_RelatedItem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9CA84-6174-42A9-8EB0-ACCD2D99EB98}"/>
</file>

<file path=customXml/itemProps2.xml><?xml version="1.0" encoding="utf-8"?>
<ds:datastoreItem xmlns:ds="http://schemas.openxmlformats.org/officeDocument/2006/customXml" ds:itemID="{B31CE2EB-0B0A-4EDA-84EC-2CC606E23073}"/>
</file>

<file path=customXml/itemProps3.xml><?xml version="1.0" encoding="utf-8"?>
<ds:datastoreItem xmlns:ds="http://schemas.openxmlformats.org/officeDocument/2006/customXml" ds:itemID="{5EFDD5D8-C40F-4C08-AB7B-5D2CD2E868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RIX nosūtāmo dokumentu veidne- publisks</dc:title>
  <dc:subject/>
  <dc:creator>Microsoft Office User</dc:creator>
  <keywords/>
  <dc:description/>
  <lastModifiedBy>Julija Āboltiņa</lastModifiedBy>
  <revision>5</revision>
  <dcterms:created xsi:type="dcterms:W3CDTF">2020-01-22T10:33:00.0000000Z</dcterms:created>
  <dcterms:modified xsi:type="dcterms:W3CDTF">2023-10-05T12:01:56.0425076Z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