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B25C7A" w14:textId="77777777" w:rsidR="00D905EB" w:rsidRPr="00606FF9" w:rsidRDefault="00D905EB" w:rsidP="00D905EB">
      <w:pPr>
        <w:spacing w:after="120" w:line="240" w:lineRule="auto"/>
        <w:ind w:right="-143"/>
        <w:jc w:val="center"/>
        <w:rPr>
          <w:rFonts w:eastAsia="Times New Roman"/>
          <w:bCs/>
        </w:rPr>
      </w:pPr>
      <w:r w:rsidRPr="00606FF9">
        <w:rPr>
          <w:rFonts w:eastAsia="Times New Roman"/>
          <w:bCs/>
        </w:rPr>
        <w:t>ATKLĀTA KONKURSA</w:t>
      </w:r>
    </w:p>
    <w:p w14:paraId="0BAC3588" w14:textId="77777777" w:rsidR="004B6C0D" w:rsidRPr="004B6C0D" w:rsidRDefault="004B6C0D" w:rsidP="004B6C0D">
      <w:pPr>
        <w:spacing w:after="120" w:line="240" w:lineRule="auto"/>
        <w:ind w:right="-143"/>
        <w:jc w:val="center"/>
        <w:rPr>
          <w:rFonts w:cstheme="minorBidi"/>
          <w:b/>
          <w:bCs/>
          <w:kern w:val="2"/>
          <w:lang w:eastAsia="lv-LV"/>
          <w14:ligatures w14:val="standardContextual"/>
        </w:rPr>
      </w:pPr>
      <w:r w:rsidRPr="004B6C0D">
        <w:rPr>
          <w:rFonts w:cstheme="minorBidi"/>
          <w:b/>
          <w:bCs/>
          <w:kern w:val="2"/>
          <w:lang w:eastAsia="lv-LV"/>
          <w14:ligatures w14:val="standardContextual"/>
        </w:rPr>
        <w:t>“Kritiskās infrastruktūras telpu pielāgošana darbības nepārtrauktības nodrošināšanai, būvniecības ieceres dokumentācijas izstrāde, būvdarbi un autoruzraudzība”</w:t>
      </w:r>
    </w:p>
    <w:p w14:paraId="16164A41" w14:textId="77777777" w:rsidR="004B6C0D" w:rsidRDefault="004B6C0D" w:rsidP="004B6C0D">
      <w:pPr>
        <w:spacing w:after="120" w:line="240" w:lineRule="auto"/>
        <w:ind w:right="-143"/>
        <w:jc w:val="center"/>
        <w:rPr>
          <w:rFonts w:cstheme="minorBidi"/>
          <w:b/>
          <w:bCs/>
          <w:kern w:val="2"/>
          <w:lang w:eastAsia="lv-LV"/>
          <w14:ligatures w14:val="standardContextual"/>
        </w:rPr>
      </w:pPr>
      <w:r w:rsidRPr="004B6C0D">
        <w:rPr>
          <w:rFonts w:cstheme="minorBidi"/>
          <w:b/>
          <w:bCs/>
          <w:kern w:val="2"/>
          <w:lang w:eastAsia="lv-LV"/>
          <w14:ligatures w14:val="standardContextual"/>
        </w:rPr>
        <w:t>ID Nr. VNĪ 2025/7/2-7/AK-66</w:t>
      </w:r>
    </w:p>
    <w:p w14:paraId="207E89A9" w14:textId="50CAFA08" w:rsidR="00D905EB" w:rsidRPr="00606FF9" w:rsidRDefault="00D905EB" w:rsidP="004B6C0D">
      <w:pPr>
        <w:spacing w:after="120" w:line="240" w:lineRule="auto"/>
        <w:ind w:right="-143"/>
        <w:jc w:val="center"/>
        <w:rPr>
          <w:rFonts w:eastAsia="Times New Roman"/>
          <w:bCs/>
        </w:rPr>
      </w:pPr>
      <w:r w:rsidRPr="00606FF9">
        <w:rPr>
          <w:rFonts w:eastAsia="Times New Roman"/>
          <w:bCs/>
        </w:rPr>
        <w:t>Iepirkuma komisijas atbilde</w:t>
      </w:r>
      <w:r>
        <w:rPr>
          <w:rFonts w:eastAsia="Times New Roman"/>
          <w:bCs/>
        </w:rPr>
        <w:t>s</w:t>
      </w:r>
      <w:r w:rsidRPr="00606FF9">
        <w:rPr>
          <w:rFonts w:eastAsia="Times New Roman"/>
          <w:bCs/>
        </w:rPr>
        <w:t xml:space="preserve"> uz ieinteresēt</w:t>
      </w:r>
      <w:r>
        <w:rPr>
          <w:rFonts w:eastAsia="Times New Roman"/>
          <w:bCs/>
        </w:rPr>
        <w:t>ā</w:t>
      </w:r>
      <w:r w:rsidRPr="00606FF9">
        <w:rPr>
          <w:rFonts w:eastAsia="Times New Roman"/>
          <w:bCs/>
        </w:rPr>
        <w:t xml:space="preserve"> piegādātāj</w:t>
      </w:r>
      <w:r>
        <w:rPr>
          <w:rFonts w:eastAsia="Times New Roman"/>
          <w:bCs/>
        </w:rPr>
        <w:t>a</w:t>
      </w:r>
      <w:r w:rsidRPr="00606FF9">
        <w:rPr>
          <w:rFonts w:eastAsia="Times New Roman"/>
          <w:bCs/>
        </w:rPr>
        <w:t xml:space="preserve"> uzdo</w:t>
      </w:r>
      <w:r>
        <w:rPr>
          <w:rFonts w:eastAsia="Times New Roman"/>
          <w:bCs/>
        </w:rPr>
        <w:t>t</w:t>
      </w:r>
      <w:r w:rsidR="006E7B66">
        <w:rPr>
          <w:rFonts w:eastAsia="Times New Roman"/>
          <w:bCs/>
        </w:rPr>
        <w:t>o</w:t>
      </w:r>
      <w:r w:rsidRPr="00606FF9">
        <w:rPr>
          <w:rFonts w:eastAsia="Times New Roman"/>
          <w:bCs/>
        </w:rPr>
        <w:t xml:space="preserve"> jautājum</w:t>
      </w:r>
      <w:r w:rsidR="006E7B66">
        <w:rPr>
          <w:rFonts w:eastAsia="Times New Roman"/>
          <w:bCs/>
        </w:rPr>
        <w:t>u</w:t>
      </w:r>
    </w:p>
    <w:p w14:paraId="3173EEDD" w14:textId="0FDC3CDB" w:rsidR="00D905EB" w:rsidRPr="00606FF9" w:rsidRDefault="00D905EB" w:rsidP="00D905EB">
      <w:pPr>
        <w:spacing w:after="120" w:line="240" w:lineRule="auto"/>
        <w:ind w:right="-143"/>
        <w:jc w:val="center"/>
        <w:rPr>
          <w:rFonts w:eastAsia="Times New Roman"/>
          <w:bCs/>
        </w:rPr>
      </w:pPr>
      <w:r w:rsidRPr="00606FF9">
        <w:rPr>
          <w:rFonts w:eastAsia="Times New Roman"/>
          <w:bCs/>
        </w:rPr>
        <w:t xml:space="preserve">(apstiprināta </w:t>
      </w:r>
      <w:r>
        <w:rPr>
          <w:rFonts w:eastAsia="Times New Roman"/>
          <w:bCs/>
        </w:rPr>
        <w:t>i</w:t>
      </w:r>
      <w:r w:rsidRPr="00606FF9">
        <w:rPr>
          <w:rFonts w:eastAsia="Times New Roman"/>
          <w:bCs/>
        </w:rPr>
        <w:t>epirkuma komisijas 202</w:t>
      </w:r>
      <w:r w:rsidR="004B6C0D">
        <w:rPr>
          <w:rFonts w:eastAsia="Times New Roman"/>
          <w:bCs/>
        </w:rPr>
        <w:t>6</w:t>
      </w:r>
      <w:r w:rsidRPr="008B09D8">
        <w:rPr>
          <w:rFonts w:eastAsia="Times New Roman"/>
          <w:bCs/>
        </w:rPr>
        <w:t xml:space="preserve">.gada </w:t>
      </w:r>
      <w:r w:rsidR="006E7B66">
        <w:rPr>
          <w:rFonts w:eastAsia="Times New Roman"/>
          <w:bCs/>
        </w:rPr>
        <w:t>3.marta</w:t>
      </w:r>
      <w:r>
        <w:rPr>
          <w:rFonts w:eastAsia="Times New Roman"/>
          <w:bCs/>
        </w:rPr>
        <w:t xml:space="preserve"> </w:t>
      </w:r>
      <w:r w:rsidRPr="00606FF9">
        <w:rPr>
          <w:rFonts w:eastAsia="Times New Roman"/>
          <w:bCs/>
        </w:rPr>
        <w:t>sēdē)</w:t>
      </w:r>
    </w:p>
    <w:p w14:paraId="76D33510" w14:textId="77777777" w:rsidR="008A24B1" w:rsidRDefault="008A24B1"/>
    <w:p w14:paraId="1F3E9067" w14:textId="77777777" w:rsidR="006E7B66" w:rsidRPr="00792E0E" w:rsidRDefault="006E7B66" w:rsidP="006E7B66">
      <w:pPr>
        <w:spacing w:after="0" w:line="264" w:lineRule="auto"/>
        <w:jc w:val="both"/>
        <w:rPr>
          <w:rFonts w:eastAsia="Times New Roman"/>
          <w:b/>
          <w:u w:val="single"/>
          <w:lang w:eastAsia="lv-LV"/>
        </w:rPr>
      </w:pPr>
      <w:r w:rsidRPr="00792E0E">
        <w:rPr>
          <w:rFonts w:eastAsia="Times New Roman"/>
          <w:b/>
          <w:u w:val="single"/>
          <w:lang w:eastAsia="lv-LV"/>
        </w:rPr>
        <w:t>Jautājums:</w:t>
      </w:r>
    </w:p>
    <w:p w14:paraId="3E369549" w14:textId="77777777" w:rsidR="006E7B66" w:rsidRPr="00DF0B6A" w:rsidRDefault="006E7B66" w:rsidP="006E7B66">
      <w:pPr>
        <w:spacing w:after="0" w:line="264" w:lineRule="auto"/>
        <w:jc w:val="both"/>
        <w:rPr>
          <w:rFonts w:eastAsia="Times New Roman"/>
          <w:lang w:eastAsia="lv-LV"/>
        </w:rPr>
      </w:pPr>
      <w:r w:rsidRPr="00DF0B6A">
        <w:rPr>
          <w:rFonts w:eastAsia="Times New Roman"/>
          <w:lang w:eastAsia="lv-LV"/>
        </w:rPr>
        <w:t>Līguma vienošanās pielikumā ir norādīts:</w:t>
      </w:r>
    </w:p>
    <w:p w14:paraId="4F09F181" w14:textId="77777777" w:rsidR="006E7B66" w:rsidRPr="00DF0B6A" w:rsidRDefault="006E7B66" w:rsidP="006E7B66">
      <w:pPr>
        <w:pStyle w:val="ListParagraph"/>
        <w:numPr>
          <w:ilvl w:val="0"/>
          <w:numId w:val="1"/>
        </w:numPr>
        <w:spacing w:after="0" w:line="264" w:lineRule="auto"/>
        <w:ind w:left="417"/>
        <w:jc w:val="both"/>
        <w:rPr>
          <w:rFonts w:ascii="Times New Roman" w:eastAsia="Times New Roman" w:hAnsi="Times New Roman"/>
          <w:sz w:val="24"/>
          <w:szCs w:val="24"/>
          <w:lang w:eastAsia="lv-LV"/>
        </w:rPr>
      </w:pPr>
      <w:r w:rsidRPr="00DF0B6A">
        <w:rPr>
          <w:rFonts w:ascii="Times New Roman" w:eastAsia="Times New Roman" w:hAnsi="Times New Roman"/>
          <w:sz w:val="24"/>
          <w:szCs w:val="24"/>
          <w:lang w:eastAsia="lv-LV"/>
        </w:rPr>
        <w:t xml:space="preserve"> </w:t>
      </w:r>
      <w:r w:rsidRPr="00DF0B6A">
        <w:rPr>
          <w:rFonts w:ascii="Times New Roman" w:eastAsia="Times New Roman" w:hAnsi="Times New Roman"/>
          <w:i/>
          <w:iCs/>
          <w:sz w:val="24"/>
          <w:szCs w:val="24"/>
          <w:lang w:eastAsia="lv-LV"/>
        </w:rPr>
        <w:t>Līguma izpildes nodrošinājums</w:t>
      </w:r>
      <w:r>
        <w:rPr>
          <w:rFonts w:ascii="Times New Roman" w:eastAsia="Times New Roman" w:hAnsi="Times New Roman"/>
          <w:i/>
          <w:iCs/>
          <w:sz w:val="24"/>
          <w:szCs w:val="24"/>
          <w:lang w:eastAsia="lv-LV"/>
        </w:rPr>
        <w:t xml:space="preserve"> </w:t>
      </w:r>
      <w:r w:rsidRPr="00DF0B6A">
        <w:rPr>
          <w:rFonts w:ascii="Times New Roman" w:eastAsia="Times New Roman" w:hAnsi="Times New Roman"/>
          <w:i/>
          <w:iCs/>
          <w:sz w:val="24"/>
          <w:szCs w:val="24"/>
          <w:lang w:eastAsia="lv-LV"/>
        </w:rPr>
        <w:t>Darbu izpildes laikā</w:t>
      </w:r>
      <w:r w:rsidRPr="00DF0B6A">
        <w:rPr>
          <w:rFonts w:ascii="Times New Roman" w:eastAsia="Times New Roman" w:hAnsi="Times New Roman"/>
          <w:sz w:val="24"/>
          <w:szCs w:val="24"/>
          <w:lang w:eastAsia="lv-LV"/>
        </w:rPr>
        <w:t xml:space="preserve"> </w:t>
      </w:r>
      <w:r w:rsidRPr="00DF0B6A">
        <w:rPr>
          <w:rFonts w:ascii="Times New Roman" w:eastAsia="Times New Roman" w:hAnsi="Times New Roman"/>
          <w:b/>
          <w:bCs/>
          <w:sz w:val="24"/>
          <w:szCs w:val="24"/>
          <w:lang w:eastAsia="lv-LV"/>
        </w:rPr>
        <w:t>10% apmērā</w:t>
      </w:r>
      <w:r w:rsidRPr="00DF0B6A">
        <w:rPr>
          <w:rFonts w:ascii="Times New Roman" w:eastAsia="Times New Roman" w:hAnsi="Times New Roman"/>
          <w:sz w:val="24"/>
          <w:szCs w:val="24"/>
          <w:lang w:eastAsia="lv-LV"/>
        </w:rPr>
        <w:t xml:space="preserve"> no Līguma cenas par Vispārīgajiem Darbiem un Atsevišķiem darbiem</w:t>
      </w:r>
      <w:r>
        <w:rPr>
          <w:rFonts w:ascii="Times New Roman" w:eastAsia="Times New Roman" w:hAnsi="Times New Roman"/>
          <w:sz w:val="24"/>
          <w:szCs w:val="24"/>
          <w:lang w:eastAsia="lv-LV"/>
        </w:rPr>
        <w:t>;</w:t>
      </w:r>
    </w:p>
    <w:p w14:paraId="4B82AF7D" w14:textId="77777777" w:rsidR="006E7B66" w:rsidRPr="00DF0B6A" w:rsidRDefault="006E7B66" w:rsidP="006E7B66">
      <w:pPr>
        <w:pStyle w:val="ListParagraph"/>
        <w:numPr>
          <w:ilvl w:val="0"/>
          <w:numId w:val="1"/>
        </w:numPr>
        <w:spacing w:after="0" w:line="264" w:lineRule="auto"/>
        <w:ind w:left="417"/>
        <w:jc w:val="both"/>
        <w:rPr>
          <w:rFonts w:ascii="Times New Roman" w:eastAsia="Times New Roman" w:hAnsi="Times New Roman"/>
          <w:sz w:val="24"/>
          <w:szCs w:val="24"/>
          <w:lang w:eastAsia="lv-LV"/>
        </w:rPr>
      </w:pPr>
      <w:r w:rsidRPr="00DF0B6A">
        <w:rPr>
          <w:rFonts w:ascii="Times New Roman" w:eastAsia="Times New Roman" w:hAnsi="Times New Roman"/>
          <w:sz w:val="24"/>
          <w:szCs w:val="24"/>
          <w:lang w:eastAsia="lv-LV"/>
        </w:rPr>
        <w:t xml:space="preserve"> </w:t>
      </w:r>
      <w:r w:rsidRPr="00DF0B6A">
        <w:rPr>
          <w:rFonts w:ascii="Times New Roman" w:hAnsi="Times New Roman"/>
          <w:i/>
          <w:iCs/>
          <w:sz w:val="24"/>
          <w:szCs w:val="24"/>
        </w:rPr>
        <w:t>Darbu izpildes laiks</w:t>
      </w:r>
      <w:r w:rsidRPr="00DF0B6A">
        <w:rPr>
          <w:rFonts w:ascii="Times New Roman" w:hAnsi="Times New Roman"/>
          <w:sz w:val="24"/>
          <w:szCs w:val="24"/>
        </w:rPr>
        <w:t xml:space="preserve"> – </w:t>
      </w:r>
      <w:r w:rsidRPr="00DF0B6A">
        <w:rPr>
          <w:rFonts w:ascii="Times New Roman" w:hAnsi="Times New Roman"/>
          <w:i/>
          <w:iCs/>
          <w:sz w:val="24"/>
          <w:szCs w:val="24"/>
          <w:u w:val="single"/>
        </w:rPr>
        <w:t>10 mēneši</w:t>
      </w:r>
      <w:r w:rsidRPr="00794EAB">
        <w:rPr>
          <w:rFonts w:ascii="Times New Roman" w:hAnsi="Times New Roman"/>
          <w:sz w:val="24"/>
          <w:szCs w:val="24"/>
        </w:rPr>
        <w:t xml:space="preserve">; </w:t>
      </w:r>
    </w:p>
    <w:p w14:paraId="6F932F24" w14:textId="77777777" w:rsidR="006E7B66" w:rsidRPr="00DF0B6A" w:rsidRDefault="006E7B66" w:rsidP="006E7B66">
      <w:pPr>
        <w:pStyle w:val="ListParagraph"/>
        <w:numPr>
          <w:ilvl w:val="0"/>
          <w:numId w:val="1"/>
        </w:numPr>
        <w:spacing w:after="0" w:line="264" w:lineRule="auto"/>
        <w:ind w:left="417"/>
        <w:jc w:val="both"/>
        <w:rPr>
          <w:rFonts w:ascii="Times New Roman" w:eastAsia="Times New Roman" w:hAnsi="Times New Roman"/>
          <w:sz w:val="24"/>
          <w:szCs w:val="24"/>
          <w:lang w:eastAsia="lv-LV"/>
        </w:rPr>
      </w:pPr>
      <w:r w:rsidRPr="00DF0B6A">
        <w:rPr>
          <w:rFonts w:ascii="Times New Roman" w:eastAsia="Times New Roman" w:hAnsi="Times New Roman"/>
          <w:i/>
          <w:iCs/>
          <w:sz w:val="24"/>
          <w:szCs w:val="24"/>
          <w:lang w:eastAsia="lv-LV"/>
        </w:rPr>
        <w:t>Defektu paziņošanas periods</w:t>
      </w:r>
      <w:r w:rsidRPr="00DF0B6A">
        <w:rPr>
          <w:rFonts w:ascii="Times New Roman" w:eastAsia="Times New Roman" w:hAnsi="Times New Roman"/>
          <w:sz w:val="24"/>
          <w:szCs w:val="24"/>
          <w:lang w:eastAsia="lv-LV"/>
        </w:rPr>
        <w:t xml:space="preserve"> (garantijas laiks) ir </w:t>
      </w:r>
      <w:r w:rsidRPr="00DF0B6A">
        <w:rPr>
          <w:rFonts w:ascii="Times New Roman" w:eastAsia="Times New Roman" w:hAnsi="Times New Roman"/>
          <w:i/>
          <w:iCs/>
          <w:sz w:val="24"/>
          <w:szCs w:val="24"/>
          <w:u w:val="single"/>
          <w:lang w:eastAsia="lv-LV"/>
        </w:rPr>
        <w:t>60 mēneši</w:t>
      </w:r>
      <w:r w:rsidRPr="00DF0B6A">
        <w:rPr>
          <w:rFonts w:ascii="Times New Roman" w:eastAsia="Times New Roman" w:hAnsi="Times New Roman"/>
          <w:sz w:val="24"/>
          <w:szCs w:val="24"/>
          <w:lang w:eastAsia="lv-LV"/>
        </w:rPr>
        <w:t xml:space="preserve"> rēķinot no datuma, kas noteikts saskaņā ar 8.2. apakšpunktu parakstītajā Būvobjekta nodošanas un pieņemšanas aktā vai izsniegtajā Darbu Pieņemšanas-nodošanas paziņojumā</w:t>
      </w:r>
      <w:r>
        <w:rPr>
          <w:rFonts w:ascii="Times New Roman" w:eastAsia="Times New Roman" w:hAnsi="Times New Roman"/>
          <w:sz w:val="24"/>
          <w:szCs w:val="24"/>
          <w:lang w:eastAsia="lv-LV"/>
        </w:rPr>
        <w:t>;</w:t>
      </w:r>
    </w:p>
    <w:p w14:paraId="7C846505" w14:textId="77777777" w:rsidR="006E7B66" w:rsidRPr="00DF0B6A" w:rsidRDefault="006E7B66" w:rsidP="006E7B66">
      <w:pPr>
        <w:pStyle w:val="ListParagraph"/>
        <w:numPr>
          <w:ilvl w:val="0"/>
          <w:numId w:val="1"/>
        </w:numPr>
        <w:spacing w:after="0" w:line="264" w:lineRule="auto"/>
        <w:ind w:left="417"/>
        <w:jc w:val="both"/>
        <w:rPr>
          <w:rFonts w:ascii="Times New Roman" w:eastAsia="Times New Roman" w:hAnsi="Times New Roman"/>
          <w:sz w:val="24"/>
          <w:szCs w:val="24"/>
          <w:lang w:eastAsia="lv-LV"/>
        </w:rPr>
      </w:pPr>
      <w:r w:rsidRPr="00DF0B6A">
        <w:rPr>
          <w:rFonts w:ascii="Times New Roman" w:hAnsi="Times New Roman"/>
          <w:sz w:val="24"/>
          <w:szCs w:val="24"/>
        </w:rPr>
        <w:t xml:space="preserve">Defektu paziņošanas perioda saistību nodrošinājuma apmērs un veids </w:t>
      </w:r>
      <w:r w:rsidRPr="00DF0B6A">
        <w:rPr>
          <w:rFonts w:ascii="Times New Roman" w:hAnsi="Times New Roman"/>
          <w:b/>
          <w:bCs/>
          <w:sz w:val="24"/>
          <w:szCs w:val="24"/>
        </w:rPr>
        <w:t>5% apmērā</w:t>
      </w:r>
      <w:r w:rsidRPr="00DF0B6A">
        <w:rPr>
          <w:rFonts w:ascii="Times New Roman" w:hAnsi="Times New Roman"/>
          <w:sz w:val="24"/>
          <w:szCs w:val="24"/>
        </w:rPr>
        <w:t xml:space="preserve"> no Līguma cenas</w:t>
      </w:r>
      <w:r>
        <w:rPr>
          <w:rFonts w:ascii="Times New Roman" w:hAnsi="Times New Roman"/>
          <w:sz w:val="24"/>
          <w:szCs w:val="24"/>
        </w:rPr>
        <w:t>.</w:t>
      </w:r>
    </w:p>
    <w:p w14:paraId="7E247536" w14:textId="77777777" w:rsidR="006E7B66" w:rsidRPr="00DF0B6A" w:rsidRDefault="006E7B66" w:rsidP="006E7B66">
      <w:pPr>
        <w:spacing w:after="0" w:line="264" w:lineRule="auto"/>
        <w:ind w:firstLine="567"/>
        <w:jc w:val="both"/>
        <w:rPr>
          <w:rFonts w:eastAsia="Times New Roman"/>
          <w:lang w:eastAsia="lv-LV"/>
        </w:rPr>
      </w:pPr>
      <w:r w:rsidRPr="00DF0B6A">
        <w:rPr>
          <w:rFonts w:eastAsia="Times New Roman"/>
          <w:lang w:eastAsia="lv-LV"/>
        </w:rPr>
        <w:t xml:space="preserve">Līguma Speciālo noteikumu 4.4 punktā ir norādīts, ka Līguma izpildes nodrošinājums ir spēkā līdz </w:t>
      </w:r>
      <w:r w:rsidRPr="00DF0B6A">
        <w:rPr>
          <w:rFonts w:eastAsia="Times New Roman"/>
          <w:i/>
          <w:iCs/>
          <w:lang w:eastAsia="lv-LV"/>
        </w:rPr>
        <w:t>Defektu paziņošanas perioda paredzamajam beigu datumam</w:t>
      </w:r>
      <w:r w:rsidRPr="00DF0B6A">
        <w:rPr>
          <w:rFonts w:eastAsia="Times New Roman"/>
          <w:lang w:eastAsia="lv-LV"/>
        </w:rPr>
        <w:t xml:space="preserve"> un vēl </w:t>
      </w:r>
      <w:r w:rsidRPr="00FE68A0">
        <w:rPr>
          <w:rFonts w:eastAsia="Times New Roman"/>
          <w:i/>
          <w:iCs/>
          <w:lang w:eastAsia="lv-LV"/>
        </w:rPr>
        <w:t>70</w:t>
      </w:r>
      <w:r w:rsidRPr="00DF0B6A">
        <w:rPr>
          <w:rFonts w:eastAsia="Times New Roman"/>
          <w:lang w:eastAsia="lv-LV"/>
        </w:rPr>
        <w:t xml:space="preserve"> </w:t>
      </w:r>
      <w:r w:rsidRPr="00DF0B6A">
        <w:rPr>
          <w:rFonts w:eastAsia="Times New Roman"/>
          <w:i/>
          <w:iCs/>
          <w:lang w:eastAsia="lv-LV"/>
        </w:rPr>
        <w:t>dienas pēc Defektu  paziņošanas perioda paredzamā beigu datuma</w:t>
      </w:r>
      <w:r w:rsidRPr="00DF0B6A">
        <w:rPr>
          <w:rFonts w:eastAsia="Times New Roman"/>
          <w:lang w:eastAsia="lv-LV"/>
        </w:rPr>
        <w:t xml:space="preserve">, kas ir pretrunā ar Vienošanās pielikumā noradīto </w:t>
      </w:r>
      <w:r>
        <w:rPr>
          <w:rFonts w:eastAsia="Times New Roman"/>
          <w:lang w:eastAsia="lv-LV"/>
        </w:rPr>
        <w:t>–</w:t>
      </w:r>
      <w:r w:rsidRPr="00DF0B6A">
        <w:rPr>
          <w:rFonts w:eastAsia="Times New Roman"/>
          <w:lang w:eastAsia="lv-LV"/>
        </w:rPr>
        <w:t xml:space="preserve"> līguma izpildes nodrošinājuma mērķi un attiecināšanu uz Darbu izpildes laiku.</w:t>
      </w:r>
    </w:p>
    <w:p w14:paraId="57B19752" w14:textId="77777777" w:rsidR="006E7B66" w:rsidRPr="00DF0B6A" w:rsidRDefault="006E7B66" w:rsidP="006E7B66">
      <w:pPr>
        <w:spacing w:after="0" w:line="264" w:lineRule="auto"/>
        <w:ind w:firstLine="567"/>
        <w:jc w:val="both"/>
      </w:pPr>
      <w:r w:rsidRPr="00DF0B6A">
        <w:rPr>
          <w:rFonts w:eastAsia="Times New Roman"/>
          <w:lang w:eastAsia="lv-LV"/>
        </w:rPr>
        <w:t xml:space="preserve">Ņemot vērā augstākminēto, līgumā ir iekļauts nesamērīgs </w:t>
      </w:r>
      <w:r w:rsidRPr="00DF0B6A">
        <w:t xml:space="preserve">Defektu paziņošanas perioda nodrošinājuma apmērs: garantijas laika nodrošinājums – iesniedzot bankas vai garantijas polisi 10% apmērā (5% līguma izpildes nodrošinājums un 5% defektu paziņošanas perioda nodrošinājums), bet naudas ieturējuma gadījumā pat 15% apmērā no līguma cenas (10% līguma izpildes nodrošinājums un 5% defektu paziņošanas perioda nodrošinājums). </w:t>
      </w:r>
    </w:p>
    <w:p w14:paraId="5307049F" w14:textId="77777777" w:rsidR="006E7B66" w:rsidRPr="00DF0B6A" w:rsidRDefault="006E7B66" w:rsidP="006E7B66">
      <w:pPr>
        <w:spacing w:after="0" w:line="264" w:lineRule="auto"/>
        <w:ind w:firstLine="567"/>
        <w:jc w:val="both"/>
        <w:rPr>
          <w:rFonts w:eastAsia="Times New Roman"/>
          <w:i/>
          <w:iCs/>
          <w:lang w:eastAsia="lv-LV"/>
        </w:rPr>
      </w:pPr>
      <w:r w:rsidRPr="00DF0B6A">
        <w:t xml:space="preserve">Līguma projekta noteikumi ir savstarpēji pretrunīgi, kā arī neatbilst 2022.gada 5.jūlija Ministru kabineta Noteikumu Nr.419 </w:t>
      </w:r>
      <w:r w:rsidRPr="00DF0B6A">
        <w:rPr>
          <w:i/>
          <w:iCs/>
        </w:rPr>
        <w:t>Noteikumi par publisko būvdarbu līgumos obligāti ietveramajiem noteikumiem un to saturu</w:t>
      </w:r>
      <w:r>
        <w:rPr>
          <w:i/>
          <w:iCs/>
        </w:rPr>
        <w:t xml:space="preserve"> </w:t>
      </w:r>
      <w:r w:rsidRPr="00DF0B6A">
        <w:t>28.punkta noteikumiem par</w:t>
      </w:r>
      <w:r>
        <w:t xml:space="preserve"> </w:t>
      </w:r>
      <w:r w:rsidRPr="00DF0B6A">
        <w:t>garantijas</w:t>
      </w:r>
      <w:r>
        <w:t xml:space="preserve"> </w:t>
      </w:r>
      <w:r w:rsidRPr="00DF0B6A">
        <w:t>saistību nodrošinājumu kas ir nosakāms līdz 5% no līgumcenas par normatīvajos aktos būvniecības jomā noteikto minimālo garantijas termiņu. Garantijas saistību nodrošinājumu samazina minimālā garantijas termiņa trešā gada pirmajā mēnesī uz atlikušo tā daļu, nosakot to līdz 2% no līgumcenas, ja garantijas termiņa pirmajos divos gados nav konstatēti būvdarbu defekti vai būvdarbu veicējs un pasūtītājs ir vienojušies par pieteikto būvdarbu defektu novēršanas termiņu</w:t>
      </w:r>
      <w:r w:rsidRPr="00DF0B6A">
        <w:rPr>
          <w:i/>
          <w:iCs/>
        </w:rPr>
        <w:t xml:space="preserve">. </w:t>
      </w:r>
    </w:p>
    <w:p w14:paraId="4F492DD0" w14:textId="77777777" w:rsidR="006E7B66" w:rsidRPr="00DF0B6A" w:rsidRDefault="006E7B66" w:rsidP="006E7B66">
      <w:pPr>
        <w:spacing w:after="0" w:line="264" w:lineRule="auto"/>
        <w:ind w:firstLine="567"/>
        <w:jc w:val="both"/>
        <w:rPr>
          <w:rFonts w:eastAsia="Times New Roman"/>
          <w:lang w:eastAsia="lv-LV"/>
        </w:rPr>
      </w:pPr>
      <w:r w:rsidRPr="00DF0B6A">
        <w:rPr>
          <w:rFonts w:eastAsia="Times New Roman"/>
          <w:lang w:eastAsia="lv-LV"/>
        </w:rPr>
        <w:t>Lūdzam veikt grozījumus līguma projektā, nosakot samērīgu un normatīvajiem aktiem atbilstošu saistību izpildes un garantijas laika nodrošinājuma apmēru un termiņus.</w:t>
      </w:r>
    </w:p>
    <w:p w14:paraId="456F6D89" w14:textId="784F0CCA" w:rsidR="006E7B66" w:rsidRDefault="006E7B66" w:rsidP="006E7B66"/>
    <w:p w14:paraId="2DB215E5" w14:textId="77777777" w:rsidR="006E7B66" w:rsidRDefault="006E7B66" w:rsidP="006E7B66"/>
    <w:p w14:paraId="5ECA0CF7" w14:textId="77777777" w:rsidR="006E7B66" w:rsidRDefault="006E7B66" w:rsidP="006E7B66">
      <w:pPr>
        <w:rPr>
          <w:b/>
          <w:u w:val="single"/>
        </w:rPr>
      </w:pPr>
      <w:r w:rsidRPr="00792E0E">
        <w:rPr>
          <w:b/>
          <w:u w:val="single"/>
        </w:rPr>
        <w:lastRenderedPageBreak/>
        <w:t>Atbilde:</w:t>
      </w:r>
    </w:p>
    <w:p w14:paraId="086044AA" w14:textId="77777777" w:rsidR="006E7B66" w:rsidRDefault="006E7B66" w:rsidP="006E7B66">
      <w:pPr>
        <w:jc w:val="both"/>
      </w:pPr>
      <w:r>
        <w:t xml:space="preserve">Līguma projekta noteikumi nesatur savstarpēji pretrunīgus nosacījumus, kā arī tie ir izstrādāti ievērojot </w:t>
      </w:r>
      <w:r w:rsidRPr="00DF0B6A">
        <w:t xml:space="preserve">2022.gada 5.jūlija Ministru kabineta Noteikumu Nr.419 </w:t>
      </w:r>
      <w:r w:rsidRPr="00DF0B6A">
        <w:rPr>
          <w:i/>
          <w:iCs/>
        </w:rPr>
        <w:t>Noteikumi par publisko būvdarbu līgumos obligāti ietveramajiem noteikumiem un to saturu</w:t>
      </w:r>
      <w:r>
        <w:rPr>
          <w:i/>
          <w:iCs/>
        </w:rPr>
        <w:t xml:space="preserve"> </w:t>
      </w:r>
      <w:r w:rsidRPr="00DF0B6A">
        <w:t>28.</w:t>
      </w:r>
      <w:r>
        <w:t>punktu.</w:t>
      </w:r>
    </w:p>
    <w:p w14:paraId="7036D491" w14:textId="77777777" w:rsidR="006E7B66" w:rsidRPr="00792E0E" w:rsidRDefault="006E7B66" w:rsidP="006E7B66">
      <w:pPr>
        <w:jc w:val="both"/>
      </w:pPr>
      <w:r>
        <w:t xml:space="preserve">Līguma izpildes nodrošinājums, kas noteikts </w:t>
      </w:r>
      <w:r w:rsidRPr="00DF0B6A">
        <w:rPr>
          <w:rFonts w:eastAsia="Times New Roman"/>
          <w:lang w:eastAsia="lv-LV"/>
        </w:rPr>
        <w:t>Līguma Speciālo noteikumu 4.4 punktā</w:t>
      </w:r>
      <w:r>
        <w:rPr>
          <w:rFonts w:eastAsia="Times New Roman"/>
          <w:lang w:eastAsia="lv-LV"/>
        </w:rPr>
        <w:t>,</w:t>
      </w:r>
      <w:r>
        <w:t xml:space="preserve">  ir gan nodrošinājums Darbu izpildes laikā 10% apmērā </w:t>
      </w:r>
      <w:r w:rsidRPr="00DF0B6A">
        <w:rPr>
          <w:rFonts w:eastAsia="Times New Roman"/>
          <w:lang w:eastAsia="lv-LV"/>
        </w:rPr>
        <w:t>no Līguma cenas par Vispārīgajiem Darbiem un Atsevišķiem darbiem</w:t>
      </w:r>
      <w:r>
        <w:t xml:space="preserve">, gan arī nodrošinājums defektu paziņošanas periodā, kas </w:t>
      </w:r>
      <w:r w:rsidRPr="00DF0B6A">
        <w:rPr>
          <w:rFonts w:eastAsia="Times New Roman"/>
          <w:lang w:eastAsia="lv-LV"/>
        </w:rPr>
        <w:t>Līguma Speciālo noteikumu 4.4 punktā</w:t>
      </w:r>
      <w:r>
        <w:rPr>
          <w:rFonts w:eastAsia="Times New Roman"/>
          <w:lang w:eastAsia="lv-LV"/>
        </w:rPr>
        <w:t xml:space="preserve"> noteiktā kārtība tiek samazināts līdz 5% apmēram</w:t>
      </w:r>
      <w:r w:rsidRPr="00E47FAF">
        <w:rPr>
          <w:rFonts w:eastAsia="Times New Roman"/>
          <w:lang w:eastAsia="lv-LV"/>
        </w:rPr>
        <w:t xml:space="preserve"> no Līguma cenas.</w:t>
      </w:r>
      <w:r>
        <w:rPr>
          <w:rFonts w:eastAsia="Times New Roman"/>
          <w:lang w:eastAsia="lv-LV"/>
        </w:rPr>
        <w:t xml:space="preserve"> Līguma izpildes nodrošinājums defektu paziņošanas </w:t>
      </w:r>
      <w:proofErr w:type="spellStart"/>
      <w:r>
        <w:rPr>
          <w:rFonts w:eastAsia="Times New Roman"/>
          <w:lang w:eastAsia="lv-LV"/>
        </w:rPr>
        <w:t>pariodā</w:t>
      </w:r>
      <w:proofErr w:type="spellEnd"/>
      <w:r>
        <w:rPr>
          <w:rFonts w:eastAsia="Times New Roman"/>
          <w:lang w:eastAsia="lv-LV"/>
        </w:rPr>
        <w:t xml:space="preserve"> nav lielāks par 5% no Līguma cenas. Līguma Speciālo noteikumu 4.4.punkts, kā arī 11.4. punkts nosaka noteikumus, kādi tiek piemēroti Līguma izpildes nodrošinājuma apmēram un veidam defektu paziņošanas periodā, </w:t>
      </w:r>
      <w:proofErr w:type="spellStart"/>
      <w:r>
        <w:rPr>
          <w:rFonts w:eastAsia="Times New Roman"/>
          <w:lang w:eastAsia="lv-LV"/>
        </w:rPr>
        <w:t>citastarp</w:t>
      </w:r>
      <w:proofErr w:type="spellEnd"/>
      <w:r>
        <w:rPr>
          <w:rFonts w:eastAsia="Times New Roman"/>
          <w:lang w:eastAsia="lv-LV"/>
        </w:rPr>
        <w:t xml:space="preserve">, Līguma izpildes nodrošinājuma </w:t>
      </w:r>
      <w:r>
        <w:t xml:space="preserve">10% apmēra </w:t>
      </w:r>
      <w:r w:rsidRPr="00DF0B6A">
        <w:rPr>
          <w:rFonts w:eastAsia="Times New Roman"/>
          <w:lang w:eastAsia="lv-LV"/>
        </w:rPr>
        <w:t>no Līguma cenas par Vispārīgajiem Darbiem un Atsevišķiem darbiem</w:t>
      </w:r>
      <w:r>
        <w:rPr>
          <w:rFonts w:eastAsia="Times New Roman"/>
          <w:lang w:eastAsia="lv-LV"/>
        </w:rPr>
        <w:t xml:space="preserve"> samazinājums uz 5% no Līguma cenas. Atbilstoši Līguma speciālo noteikumu 4.4.punkta piektajā rindkopā noteiktajam </w:t>
      </w:r>
      <w:r w:rsidRPr="00AD3721">
        <w:rPr>
          <w:rFonts w:eastAsia="Times New Roman"/>
          <w:i/>
          <w:lang w:eastAsia="lv-LV"/>
        </w:rPr>
        <w:t>[..]Līguma izpildes nodrošinājumu samazina minimālā Defektu paziņošanas perioda trešā gada pirmajā mēnesī uz atlikušo Defektu  paziņošanas periodu, nosakot tā apmēru līdz 2% no Līguma cenas par Vispārīgo darbu un Atsevišķo darbu, ja tādi ir pielīgti, kopsummas</w:t>
      </w:r>
      <w:r>
        <w:rPr>
          <w:rFonts w:eastAsia="Times New Roman"/>
          <w:i/>
          <w:lang w:eastAsia="lv-LV"/>
        </w:rPr>
        <w:t>.</w:t>
      </w:r>
    </w:p>
    <w:p w14:paraId="7D323C9C" w14:textId="77777777" w:rsidR="008A24B1" w:rsidRDefault="008A24B1" w:rsidP="006E7B66">
      <w:pPr>
        <w:spacing w:after="120" w:line="360" w:lineRule="auto"/>
        <w:jc w:val="both"/>
      </w:pPr>
    </w:p>
    <w:sectPr w:rsidR="008A24B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7E5632"/>
    <w:multiLevelType w:val="hybridMultilevel"/>
    <w:tmpl w:val="C492B860"/>
    <w:lvl w:ilvl="0" w:tplc="54C0B3E4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078319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24B1"/>
    <w:rsid w:val="001426CE"/>
    <w:rsid w:val="004B6C0D"/>
    <w:rsid w:val="004F2410"/>
    <w:rsid w:val="006E7B66"/>
    <w:rsid w:val="007C1B72"/>
    <w:rsid w:val="008A24B1"/>
    <w:rsid w:val="00C00A91"/>
    <w:rsid w:val="00C634A2"/>
    <w:rsid w:val="00D905EB"/>
    <w:rsid w:val="00E32C07"/>
    <w:rsid w:val="00F17E00"/>
    <w:rsid w:val="00F34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14F4F4"/>
  <w15:chartTrackingRefBased/>
  <w15:docId w15:val="{32AE6CAD-FD2C-48F6-8905-A15966E44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24B1"/>
    <w:pPr>
      <w:spacing w:after="200" w:line="276" w:lineRule="auto"/>
    </w:pPr>
    <w:rPr>
      <w:rFonts w:ascii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8A24B1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A24B1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A24B1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A24B1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A24B1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A24B1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A24B1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A24B1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A24B1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A24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A24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A24B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A24B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A24B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A24B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A24B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A24B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A24B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A24B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A24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A24B1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A24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A24B1"/>
    <w:pPr>
      <w:spacing w:before="160" w:after="160" w:line="259" w:lineRule="auto"/>
      <w:jc w:val="center"/>
    </w:pPr>
    <w:rPr>
      <w:rFonts w:asciiTheme="minorHAnsi" w:hAnsiTheme="minorHAnsi" w:cstheme="minorBidi"/>
      <w:i/>
      <w:iCs/>
      <w:color w:val="404040" w:themeColor="text1" w:themeTint="BF"/>
      <w:sz w:val="22"/>
      <w:szCs w:val="22"/>
    </w:rPr>
  </w:style>
  <w:style w:type="character" w:customStyle="1" w:styleId="QuoteChar">
    <w:name w:val="Quote Char"/>
    <w:basedOn w:val="DefaultParagraphFont"/>
    <w:link w:val="Quote"/>
    <w:uiPriority w:val="29"/>
    <w:rsid w:val="008A24B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A24B1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character" w:styleId="IntenseEmphasis">
    <w:name w:val="Intense Emphasis"/>
    <w:basedOn w:val="DefaultParagraphFont"/>
    <w:uiPriority w:val="21"/>
    <w:qFormat/>
    <w:rsid w:val="008A24B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A24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 w:cstheme="minorBidi"/>
      <w:i/>
      <w:iCs/>
      <w:color w:val="2F5496" w:themeColor="accent1" w:themeShade="BF"/>
      <w:sz w:val="22"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A24B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A24B1"/>
    <w:rPr>
      <w:b/>
      <w:bCs/>
      <w:smallCaps/>
      <w:color w:val="2F5496" w:themeColor="accent1" w:themeShade="BF"/>
      <w:spacing w:val="5"/>
    </w:rPr>
  </w:style>
  <w:style w:type="paragraph" w:styleId="NoSpacing">
    <w:name w:val="No Spacing"/>
    <w:uiPriority w:val="1"/>
    <w:qFormat/>
    <w:rsid w:val="00D905EB"/>
    <w:pPr>
      <w:spacing w:after="0" w:line="240" w:lineRule="auto"/>
    </w:pPr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73c6baf-9cf2-4cf2-a117-76c67141543a" xsi:nil="true"/>
    <lcf76f155ced4ddcb4097134ff3c332f xmlns="520dbaf5-aacb-4fa5-a9f5-32ab6e55aaf4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0B6348F063F2499901E1858B841C1C" ma:contentTypeVersion="18" ma:contentTypeDescription="Create a new document." ma:contentTypeScope="" ma:versionID="9b7263993fcd2050c62995aaff24fe25">
  <xsd:schema xmlns:xsd="http://www.w3.org/2001/XMLSchema" xmlns:xs="http://www.w3.org/2001/XMLSchema" xmlns:p="http://schemas.microsoft.com/office/2006/metadata/properties" xmlns:ns2="520dbaf5-aacb-4fa5-a9f5-32ab6e55aaf4" xmlns:ns3="d73c6baf-9cf2-4cf2-a117-76c67141543a" targetNamespace="http://schemas.microsoft.com/office/2006/metadata/properties" ma:root="true" ma:fieldsID="555c9ad9ab5db40abc743411eebdcba7" ns2:_="" ns3:_="">
    <xsd:import namespace="520dbaf5-aacb-4fa5-a9f5-32ab6e55aaf4"/>
    <xsd:import namespace="d73c6baf-9cf2-4cf2-a117-76c6714154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0dbaf5-aacb-4fa5-a9f5-32ab6e55aa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d670e09-1a66-4566-9c30-fc6678b8969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c6baf-9cf2-4cf2-a117-76c67141543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01c3bae-cbd4-435d-9fac-eef906313c13}" ma:internalName="TaxCatchAll" ma:showField="CatchAllData" ma:web="d73c6baf-9cf2-4cf2-a117-76c6714154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96EE7A9-E710-4365-9F9A-8A285DE75BA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179A24B-37FD-4FA3-A792-C264BF60DF25}">
  <ds:schemaRefs>
    <ds:schemaRef ds:uri="http://schemas.microsoft.com/office/2006/metadata/properties"/>
    <ds:schemaRef ds:uri="http://schemas.microsoft.com/office/infopath/2007/PartnerControls"/>
    <ds:schemaRef ds:uri="d73c6baf-9cf2-4cf2-a117-76c67141543a"/>
    <ds:schemaRef ds:uri="520dbaf5-aacb-4fa5-a9f5-32ab6e55aaf4"/>
  </ds:schemaRefs>
</ds:datastoreItem>
</file>

<file path=customXml/itemProps3.xml><?xml version="1.0" encoding="utf-8"?>
<ds:datastoreItem xmlns:ds="http://schemas.openxmlformats.org/officeDocument/2006/customXml" ds:itemID="{8586309C-421C-4CFE-8F98-A386B91475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0dbaf5-aacb-4fa5-a9f5-32ab6e55aaf4"/>
    <ds:schemaRef ds:uri="d73c6baf-9cf2-4cf2-a117-76c6714154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2503</Words>
  <Characters>1427</Characters>
  <Application>Microsoft Office Word</Application>
  <DocSecurity>0</DocSecurity>
  <Lines>11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VAS Valsts nekustamie ipasumi</Company>
  <LinksUpToDate>false</LinksUpToDate>
  <CharactersWithSpaces>3923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Ozoliņa</dc:creator>
  <cp:keywords/>
  <dc:description/>
  <cp:lastModifiedBy>Paula Ozoliņa</cp:lastModifiedBy>
  <cp:revision>6</cp:revision>
  <dcterms:created xsi:type="dcterms:W3CDTF">2026-02-23T10:25:00Z</dcterms:created>
  <dcterms:modified xsi:type="dcterms:W3CDTF">2026-03-03T18:29:00Z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0x0101006E0B6348F063F2499901E1858B841C1C</vt:lpwstr>
  </property>
  <property fmtid="{D5CDD505-2E9C-101B-9397-08002B2CF9AE}" pid="3" name="MediaServiceImageTags">
    <vt:lpwstr/>
  </property>
</Properties>
</file>