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83C64" w14:textId="14A47F5F" w:rsidR="004E344E" w:rsidRPr="003C4461" w:rsidRDefault="00D96C1C" w:rsidP="009A0B38">
      <w:pPr>
        <w:ind w:left="-284"/>
        <w:jc w:val="both"/>
        <w:rPr>
          <w:sz w:val="24"/>
          <w:szCs w:val="24"/>
        </w:rPr>
      </w:pPr>
      <w:r w:rsidRPr="003C4461">
        <w:rPr>
          <w:sz w:val="24"/>
          <w:szCs w:val="24"/>
        </w:rPr>
        <w:t xml:space="preserve">Informējam par saņemtajiem jautājumiem saistībā ar atklātā konkursa </w:t>
      </w:r>
      <w:r w:rsidRPr="003C4461">
        <w:rPr>
          <w:rFonts w:eastAsia="Calibri"/>
          <w:i/>
          <w:iCs/>
          <w:sz w:val="24"/>
          <w:szCs w:val="24"/>
        </w:rPr>
        <w:t>“</w:t>
      </w:r>
      <w:r w:rsidR="00AD6A93" w:rsidRPr="003C4461">
        <w:rPr>
          <w:rFonts w:eastAsia="Calibri"/>
          <w:i/>
          <w:iCs/>
          <w:sz w:val="24"/>
          <w:szCs w:val="24"/>
        </w:rPr>
        <w:t>Grupu mājas personām ar garīga rakstura traucējumiem un dienas aprūpes centra ēkas Spilves ielā 19, Rīgā, būvprojekta izstrāde, būvdarbi un autoruzraudzība</w:t>
      </w:r>
      <w:r w:rsidRPr="003C4461">
        <w:rPr>
          <w:rFonts w:eastAsia="Calibri"/>
          <w:i/>
          <w:iCs/>
          <w:sz w:val="24"/>
          <w:szCs w:val="24"/>
        </w:rPr>
        <w:t xml:space="preserve">”  </w:t>
      </w:r>
      <w:r w:rsidRPr="003C4461">
        <w:rPr>
          <w:sz w:val="24"/>
          <w:szCs w:val="24"/>
        </w:rPr>
        <w:t>Nolikumu, RDĪD 2026/</w:t>
      </w:r>
      <w:r w:rsidR="00AD6A93" w:rsidRPr="003C4461">
        <w:rPr>
          <w:sz w:val="24"/>
          <w:szCs w:val="24"/>
        </w:rPr>
        <w:t>6</w:t>
      </w:r>
      <w:r w:rsidRPr="003C4461">
        <w:rPr>
          <w:sz w:val="24"/>
          <w:szCs w:val="24"/>
        </w:rPr>
        <w:t>.</w:t>
      </w:r>
    </w:p>
    <w:p w14:paraId="5E7C81C2" w14:textId="77777777" w:rsidR="009A0B38" w:rsidRPr="003C4461" w:rsidRDefault="009A0B38" w:rsidP="009A0B38">
      <w:pPr>
        <w:ind w:left="-284"/>
        <w:jc w:val="both"/>
        <w:rPr>
          <w:sz w:val="24"/>
          <w:szCs w:val="24"/>
        </w:rPr>
      </w:pPr>
    </w:p>
    <w:p w14:paraId="0DB00AB6" w14:textId="4C366BD0" w:rsidR="009A0B38" w:rsidRPr="003C4461" w:rsidRDefault="009A0B38" w:rsidP="009A0B38">
      <w:pPr>
        <w:ind w:left="-284"/>
        <w:jc w:val="both"/>
        <w:rPr>
          <w:b/>
          <w:bCs/>
          <w:sz w:val="24"/>
          <w:szCs w:val="24"/>
          <w:u w:val="single"/>
        </w:rPr>
      </w:pPr>
      <w:r w:rsidRPr="003C4461">
        <w:rPr>
          <w:b/>
          <w:bCs/>
          <w:sz w:val="24"/>
          <w:szCs w:val="24"/>
          <w:u w:val="single"/>
        </w:rPr>
        <w:t>Jautājums:</w:t>
      </w:r>
    </w:p>
    <w:p w14:paraId="530033D2" w14:textId="77777777" w:rsidR="009A0B38" w:rsidRPr="003C4461" w:rsidRDefault="009A0B38" w:rsidP="009A0B38">
      <w:pPr>
        <w:pStyle w:val="Sarakstarindkopa"/>
        <w:widowControl/>
        <w:numPr>
          <w:ilvl w:val="0"/>
          <w:numId w:val="13"/>
        </w:numPr>
        <w:autoSpaceDE/>
        <w:autoSpaceDN/>
        <w:spacing w:before="100" w:beforeAutospacing="1" w:after="100" w:afterAutospacing="1"/>
        <w:ind w:left="0"/>
        <w:rPr>
          <w:rFonts w:eastAsia="Aptos"/>
          <w:b/>
          <w:bCs/>
          <w:sz w:val="24"/>
          <w:szCs w:val="24"/>
        </w:rPr>
      </w:pPr>
      <w:r w:rsidRPr="003C4461">
        <w:rPr>
          <w:rFonts w:eastAsia="Aptos"/>
          <w:b/>
          <w:bCs/>
          <w:sz w:val="24"/>
          <w:szCs w:val="24"/>
        </w:rPr>
        <w:t>Par BIM kvalifikāciju</w:t>
      </w:r>
    </w:p>
    <w:p w14:paraId="49D0DEEF" w14:textId="77777777" w:rsidR="009A0B38" w:rsidRPr="003C4461" w:rsidRDefault="009A0B38" w:rsidP="00EF6707">
      <w:pPr>
        <w:spacing w:before="100" w:beforeAutospacing="1" w:after="100" w:afterAutospacing="1"/>
        <w:jc w:val="both"/>
        <w:rPr>
          <w:sz w:val="24"/>
          <w:szCs w:val="24"/>
        </w:rPr>
      </w:pPr>
      <w:r w:rsidRPr="003C4461">
        <w:rPr>
          <w:rFonts w:eastAsia="Aptos"/>
          <w:sz w:val="24"/>
          <w:szCs w:val="24"/>
        </w:rPr>
        <w:t>Lūdzam Pasūtītāju pārskatīt Nolikuma punktos 2.1.4.3., 2.1.5.6., 2.1.5.7., un 2.1.5.8.1. noteikto prasību par obligātu pieredzi būvprojekta izstrādē BIM vidē un veikt to grozīšanu, jo esošā redakcija ir nesamērīga un konkurenci ierobežojoša.</w:t>
      </w:r>
    </w:p>
    <w:p w14:paraId="6D055EAC" w14:textId="77777777" w:rsidR="009A0B38" w:rsidRPr="003C4461" w:rsidRDefault="009A0B38" w:rsidP="009A0B38">
      <w:pPr>
        <w:spacing w:before="100" w:beforeAutospacing="1" w:after="100" w:afterAutospacing="1"/>
        <w:rPr>
          <w:sz w:val="24"/>
          <w:szCs w:val="24"/>
        </w:rPr>
      </w:pPr>
      <w:r w:rsidRPr="003C4461">
        <w:rPr>
          <w:sz w:val="24"/>
          <w:szCs w:val="24"/>
        </w:rPr>
        <w:t>Lūdzam Pasūtītāju pārskatīt prasības samērīgumu un nepieciešamību konkrētā iepirkuma ietvaros, ņemot vērā turpmāk minēto:</w:t>
      </w:r>
    </w:p>
    <w:p w14:paraId="020DE340" w14:textId="77777777" w:rsidR="009A0B38" w:rsidRPr="003C4461" w:rsidRDefault="009A0B38" w:rsidP="009A0B38">
      <w:pPr>
        <w:pStyle w:val="Sarakstarindkopa"/>
        <w:widowControl/>
        <w:numPr>
          <w:ilvl w:val="0"/>
          <w:numId w:val="10"/>
        </w:numPr>
        <w:autoSpaceDE/>
        <w:autoSpaceDN/>
        <w:spacing w:before="100" w:beforeAutospacing="1" w:after="100" w:afterAutospacing="1"/>
        <w:rPr>
          <w:sz w:val="24"/>
          <w:szCs w:val="24"/>
        </w:rPr>
      </w:pPr>
      <w:r w:rsidRPr="003C4461">
        <w:rPr>
          <w:b/>
          <w:bCs/>
          <w:sz w:val="24"/>
          <w:szCs w:val="24"/>
        </w:rPr>
        <w:t>Normatīvais regulējums neparedz obligātu BIM izmantošanu šāda veida objektiem</w:t>
      </w:r>
      <w:r w:rsidRPr="003C4461">
        <w:rPr>
          <w:sz w:val="24"/>
          <w:szCs w:val="24"/>
        </w:rPr>
        <w:br/>
        <w:t xml:space="preserve">Atbilstoši spēkā esošajam regulējumam BIM izmantošana Latvijā nav obligāta visiem būvprojektiem, īpaši attiecībā uz II vai III grupas ēku projektēšanu, un tādējādi šāda prasība būtiski sašaurina potenciālo pretendentu loku. </w:t>
      </w:r>
    </w:p>
    <w:p w14:paraId="69D3BDFA" w14:textId="77777777" w:rsidR="009A0B38" w:rsidRPr="003C4461" w:rsidRDefault="009A0B38" w:rsidP="009A0B38">
      <w:pPr>
        <w:widowControl/>
        <w:numPr>
          <w:ilvl w:val="0"/>
          <w:numId w:val="10"/>
        </w:numPr>
        <w:autoSpaceDE/>
        <w:autoSpaceDN/>
        <w:spacing w:before="100" w:beforeAutospacing="1" w:after="100" w:afterAutospacing="1"/>
        <w:rPr>
          <w:sz w:val="24"/>
          <w:szCs w:val="24"/>
        </w:rPr>
      </w:pPr>
      <w:r w:rsidRPr="003C4461">
        <w:rPr>
          <w:b/>
          <w:bCs/>
          <w:sz w:val="24"/>
          <w:szCs w:val="24"/>
        </w:rPr>
        <w:t>Prasība nav tieši saistīta ar līguma priekšmetu un izpildes kvalitāti</w:t>
      </w:r>
      <w:r w:rsidRPr="003C4461">
        <w:rPr>
          <w:sz w:val="24"/>
          <w:szCs w:val="24"/>
        </w:rPr>
        <w:br/>
        <w:t xml:space="preserve">Būvprojekta izstrādes kvalitāti un pretendenta profesionālo spēju nodrošināt līguma izpildi apliecina pieredze līdzīgu objektu projektēšanā, nevis konkrētas projektēšanas metodes (BIM) izmantošana. Šo prasību var nodrošināt BIM speciālista iesaiste līguma izpildē. </w:t>
      </w:r>
    </w:p>
    <w:p w14:paraId="7B2C14B5" w14:textId="77777777" w:rsidR="009A0B38" w:rsidRPr="003C4461" w:rsidRDefault="009A0B38" w:rsidP="009A0B38">
      <w:pPr>
        <w:widowControl/>
        <w:numPr>
          <w:ilvl w:val="0"/>
          <w:numId w:val="10"/>
        </w:numPr>
        <w:autoSpaceDE/>
        <w:autoSpaceDN/>
        <w:spacing w:before="100" w:beforeAutospacing="1" w:after="100" w:afterAutospacing="1"/>
        <w:rPr>
          <w:sz w:val="24"/>
          <w:szCs w:val="24"/>
        </w:rPr>
      </w:pPr>
      <w:r w:rsidRPr="003C4461">
        <w:rPr>
          <w:b/>
          <w:bCs/>
          <w:sz w:val="24"/>
          <w:szCs w:val="24"/>
        </w:rPr>
        <w:t>Prasība var tikt uzskatīta par konkurenci ierobežojošu</w:t>
      </w:r>
      <w:r w:rsidRPr="003C4461">
        <w:rPr>
          <w:sz w:val="24"/>
          <w:szCs w:val="24"/>
        </w:rPr>
        <w:br/>
        <w:t xml:space="preserve">Prasība par BIM kā obligātu kritēriju izslēdz no dalības iepirkumā tos kvalificētos pretendentus, kuriem ir būtiska un atbilstoša pieredze līdzīgu objektu projektēšanā, bet kuri šos projektus nav izstrādājuši BIM vidē. </w:t>
      </w:r>
    </w:p>
    <w:p w14:paraId="65236261" w14:textId="77777777" w:rsidR="009A0B38" w:rsidRPr="003C4461" w:rsidRDefault="009A0B38" w:rsidP="009A0B38">
      <w:pPr>
        <w:widowControl/>
        <w:numPr>
          <w:ilvl w:val="0"/>
          <w:numId w:val="10"/>
        </w:numPr>
        <w:autoSpaceDE/>
        <w:autoSpaceDN/>
        <w:spacing w:before="100" w:beforeAutospacing="1" w:after="100" w:afterAutospacing="1"/>
        <w:rPr>
          <w:sz w:val="24"/>
          <w:szCs w:val="24"/>
        </w:rPr>
      </w:pPr>
      <w:r w:rsidRPr="003C4461">
        <w:rPr>
          <w:b/>
          <w:bCs/>
          <w:sz w:val="24"/>
          <w:szCs w:val="24"/>
        </w:rPr>
        <w:t>Samērīguma princips</w:t>
      </w:r>
      <w:r w:rsidRPr="003C4461">
        <w:rPr>
          <w:sz w:val="24"/>
          <w:szCs w:val="24"/>
        </w:rPr>
        <w:br/>
        <w:t>Atbilstoši Publisko iepirkumu likums 2. pantā nostiprinātajiem principiem, kvalifikācijas prasībām jābūt samērīgām un objektīvi pamatotām ar līguma priekšmetu. Šajā gadījumā prasība par BIM izmantošanu kā obligātu pieredzes kritēriju nav uzskatāma par samērīgu.</w:t>
      </w:r>
    </w:p>
    <w:p w14:paraId="1982228B" w14:textId="77777777" w:rsidR="009A0B38" w:rsidRPr="003C4461" w:rsidRDefault="009A0B38" w:rsidP="009A0B38">
      <w:pPr>
        <w:rPr>
          <w:rFonts w:eastAsia="Aptos"/>
          <w:sz w:val="24"/>
          <w:szCs w:val="24"/>
        </w:rPr>
      </w:pPr>
      <w:r w:rsidRPr="003C4461">
        <w:rPr>
          <w:rFonts w:eastAsia="Aptos"/>
          <w:sz w:val="24"/>
          <w:szCs w:val="24"/>
        </w:rPr>
        <w:t xml:space="preserve">Ņemot vērā augstāk minēto, un to, ka BIM izmantošana nav normatīvi obligāta III grupas ēku projektēšanā un ka šāda prasība kā kvalifikācijas kritērijs izslēdz pretendentus ar līdzvērtīgu profesionālo pieredzi, lūdzam Pasūtītāju pārskatīt Nolikuma 2.1.4.3. punktu, jo šāda prasība var tikt vērtēta kā nesamērīga un konkurenci ierobežojoša atbilstoši Publisko iepirkumu likumam. </w:t>
      </w:r>
    </w:p>
    <w:p w14:paraId="3073F947" w14:textId="77777777" w:rsidR="009A0B38" w:rsidRPr="003C4461" w:rsidRDefault="009A0B38" w:rsidP="009A0B38">
      <w:pPr>
        <w:spacing w:before="100" w:beforeAutospacing="1" w:after="100" w:afterAutospacing="1"/>
        <w:rPr>
          <w:rFonts w:eastAsia="Aptos"/>
          <w:sz w:val="24"/>
          <w:szCs w:val="24"/>
        </w:rPr>
      </w:pPr>
      <w:r w:rsidRPr="003C4461">
        <w:rPr>
          <w:rFonts w:eastAsia="Aptos"/>
          <w:b/>
          <w:bCs/>
          <w:sz w:val="24"/>
          <w:szCs w:val="24"/>
        </w:rPr>
        <w:t>Lūdzam svītrot BIM prasību kā kvalifikācijas kritēriju</w:t>
      </w:r>
      <w:r w:rsidRPr="003C4461">
        <w:rPr>
          <w:rFonts w:eastAsia="Aptos"/>
          <w:sz w:val="24"/>
          <w:szCs w:val="24"/>
        </w:rPr>
        <w:t xml:space="preserve">, un, ja Pasūtītājs uzskata BIM izmantošanu par nepieciešamu, </w:t>
      </w:r>
      <w:r w:rsidRPr="003C4461">
        <w:rPr>
          <w:rFonts w:eastAsia="Aptos"/>
          <w:b/>
          <w:bCs/>
          <w:sz w:val="24"/>
          <w:szCs w:val="24"/>
        </w:rPr>
        <w:t>paredzēt BIM kā līguma izpildes prasību, vienlaikus nosakot BIM speciālista piesaisti kā obligātu līguma izpildē iesaistāmo speciālistu ar atbilstošu profesionālo kvalifikāciju.</w:t>
      </w:r>
    </w:p>
    <w:p w14:paraId="6C2ED6E8" w14:textId="77777777" w:rsidR="009A0B38" w:rsidRPr="003C4461" w:rsidRDefault="009A0B38" w:rsidP="009A0B38">
      <w:pPr>
        <w:spacing w:before="100" w:beforeAutospacing="1" w:after="100" w:afterAutospacing="1"/>
        <w:rPr>
          <w:rFonts w:eastAsia="Aptos"/>
          <w:sz w:val="24"/>
          <w:szCs w:val="24"/>
          <w:lang w:val="nn-NO"/>
        </w:rPr>
      </w:pPr>
      <w:r w:rsidRPr="003C4461">
        <w:rPr>
          <w:rFonts w:eastAsia="Aptos"/>
          <w:sz w:val="24"/>
          <w:szCs w:val="24"/>
          <w:lang w:val="nn-NO"/>
        </w:rPr>
        <w:t xml:space="preserve">Lūdzam izteikt Nolikuma punktu 2.1.4.3 sekojošā redakcijā: </w:t>
      </w:r>
    </w:p>
    <w:p w14:paraId="5BF7725F" w14:textId="77777777" w:rsidR="009A0B38" w:rsidRPr="003C4461" w:rsidRDefault="009A0B38" w:rsidP="009D5D30">
      <w:pPr>
        <w:pStyle w:val="Sarakstarindkopa"/>
        <w:widowControl/>
        <w:numPr>
          <w:ilvl w:val="3"/>
          <w:numId w:val="11"/>
        </w:numPr>
        <w:autoSpaceDE/>
        <w:autoSpaceDN/>
        <w:ind w:left="993"/>
        <w:jc w:val="both"/>
        <w:rPr>
          <w:i/>
          <w:iCs/>
          <w:sz w:val="24"/>
          <w:szCs w:val="24"/>
          <w:lang w:val="nn-NO"/>
        </w:rPr>
      </w:pPr>
      <w:r w:rsidRPr="003C4461">
        <w:rPr>
          <w:i/>
          <w:iCs/>
          <w:sz w:val="24"/>
          <w:szCs w:val="24"/>
          <w:u w:val="single"/>
          <w:lang w:val="nn-NO"/>
        </w:rPr>
        <w:t>«vismaz vienas</w:t>
      </w:r>
      <w:r w:rsidRPr="003C4461">
        <w:rPr>
          <w:i/>
          <w:iCs/>
          <w:sz w:val="24"/>
          <w:szCs w:val="24"/>
          <w:lang w:val="nn-NO"/>
        </w:rPr>
        <w:t xml:space="preserve"> II vai III grupas ēkas**** jaunbūves vai pārbūves būvprojekta izstrādē, </w:t>
      </w:r>
      <w:r w:rsidRPr="003C4461">
        <w:rPr>
          <w:i/>
          <w:iCs/>
          <w:strike/>
          <w:color w:val="000000"/>
          <w:sz w:val="24"/>
          <w:szCs w:val="24"/>
          <w:lang w:val="nn-NO"/>
        </w:rPr>
        <w:t xml:space="preserve">kurš izstrādāts Būvju </w:t>
      </w:r>
      <w:r w:rsidRPr="003C4461">
        <w:rPr>
          <w:i/>
          <w:iCs/>
          <w:strike/>
          <w:sz w:val="24"/>
          <w:szCs w:val="24"/>
          <w:lang w:val="nn-NO"/>
        </w:rPr>
        <w:t xml:space="preserve">informācijas modelēšanas (turpmāk – BIM) vidē***** </w:t>
      </w:r>
      <w:r w:rsidRPr="003C4461">
        <w:rPr>
          <w:i/>
          <w:iCs/>
          <w:strike/>
          <w:sz w:val="24"/>
          <w:szCs w:val="24"/>
          <w:lang w:val="nn-NO" w:eastAsia="lv-LV"/>
        </w:rPr>
        <w:t>(atbilstoši LVS 1052:2018 Būvju informācijas modelēšanas (BIM) terminoloģijas standartam vai līdzvērtīgam standartam)</w:t>
      </w:r>
      <w:r w:rsidRPr="003C4461">
        <w:rPr>
          <w:i/>
          <w:iCs/>
          <w:strike/>
          <w:color w:val="000000"/>
          <w:sz w:val="24"/>
          <w:szCs w:val="24"/>
          <w:lang w:val="nn-NO"/>
        </w:rPr>
        <w:t>,</w:t>
      </w:r>
      <w:r w:rsidRPr="003C4461">
        <w:rPr>
          <w:i/>
          <w:iCs/>
          <w:color w:val="000000"/>
          <w:sz w:val="24"/>
          <w:szCs w:val="24"/>
          <w:lang w:val="nn-NO"/>
        </w:rPr>
        <w:t xml:space="preserve"> </w:t>
      </w:r>
      <w:r w:rsidRPr="003C4461">
        <w:rPr>
          <w:i/>
          <w:iCs/>
          <w:sz w:val="24"/>
          <w:szCs w:val="24"/>
          <w:lang w:val="nn-NO"/>
        </w:rPr>
        <w:t>un šis būvprojekts ir apstiprināts būvvaldē (attiecīgā kompetentā iestādē ārvalstīs) vai būvatļaujā izdarīta atzīme par projektēšanas nosacījumu izpildi, kur ēkas nesošās konstrukcijas ir no koka, un šīs ēkas kopējā platība ir vismaz 650 m</w:t>
      </w:r>
      <w:r w:rsidRPr="003C4461">
        <w:rPr>
          <w:i/>
          <w:iCs/>
          <w:sz w:val="24"/>
          <w:szCs w:val="24"/>
          <w:vertAlign w:val="superscript"/>
          <w:lang w:val="nn-NO"/>
        </w:rPr>
        <w:t>2</w:t>
      </w:r>
      <w:r w:rsidRPr="003C4461">
        <w:rPr>
          <w:i/>
          <w:iCs/>
          <w:sz w:val="24"/>
          <w:szCs w:val="24"/>
          <w:lang w:val="nn-NO"/>
        </w:rPr>
        <w:t>, un par būvprojekta izstrādi ir saņemta pasūtītāja pozitīva atsauksme (</w:t>
      </w:r>
      <w:r w:rsidRPr="003C4461">
        <w:rPr>
          <w:i/>
          <w:iCs/>
          <w:sz w:val="24"/>
          <w:szCs w:val="24"/>
          <w:lang w:val="nn-NO" w:eastAsia="lv-LV"/>
        </w:rPr>
        <w:t xml:space="preserve">par atbilstošu Nolikuma 2.1.4.3. punktā izvirzītajām prasībām </w:t>
      </w:r>
      <w:r w:rsidRPr="003C4461">
        <w:rPr>
          <w:b/>
          <w:bCs/>
          <w:i/>
          <w:iCs/>
          <w:sz w:val="24"/>
          <w:szCs w:val="24"/>
          <w:lang w:val="nn-NO" w:eastAsia="lv-LV"/>
        </w:rPr>
        <w:t>netiks</w:t>
      </w:r>
      <w:r w:rsidRPr="003C4461">
        <w:rPr>
          <w:i/>
          <w:iCs/>
          <w:sz w:val="24"/>
          <w:szCs w:val="24"/>
          <w:lang w:val="nn-NO" w:eastAsia="lv-LV"/>
        </w:rPr>
        <w:t xml:space="preserve"> atzīta pieredze izmaiņu projekta izstrādē). </w:t>
      </w:r>
      <w:r w:rsidRPr="003C4461">
        <w:rPr>
          <w:i/>
          <w:iCs/>
          <w:sz w:val="24"/>
          <w:szCs w:val="24"/>
          <w:lang w:val="nn-NO"/>
        </w:rPr>
        <w:t>Ja pieredze iegūta ārvalstīs, būvprojekta pabeigšana jāapliecina atbilstoši attiecīgās ārvalsts normatīvo aktu nosacījumiem;»</w:t>
      </w:r>
    </w:p>
    <w:p w14:paraId="3EEB9C86" w14:textId="77777777" w:rsidR="009A0B38" w:rsidRPr="003C4461" w:rsidRDefault="009A0B38" w:rsidP="009A0B38">
      <w:pPr>
        <w:rPr>
          <w:rFonts w:eastAsia="Aptos"/>
          <w:sz w:val="24"/>
          <w:szCs w:val="24"/>
          <w:lang w:val="nn-NO"/>
        </w:rPr>
      </w:pPr>
    </w:p>
    <w:p w14:paraId="1670BFDD" w14:textId="77777777" w:rsidR="00EF6707" w:rsidRPr="003C4461" w:rsidRDefault="00EF6707" w:rsidP="009A0B38">
      <w:pPr>
        <w:rPr>
          <w:rFonts w:eastAsia="Aptos"/>
          <w:sz w:val="24"/>
          <w:szCs w:val="24"/>
          <w:lang w:val="nn-NO"/>
        </w:rPr>
      </w:pPr>
    </w:p>
    <w:p w14:paraId="2518C61C" w14:textId="77777777" w:rsidR="00EF6707" w:rsidRPr="003C4461" w:rsidRDefault="00EF6707" w:rsidP="009A0B38">
      <w:pPr>
        <w:rPr>
          <w:rFonts w:eastAsia="Aptos"/>
          <w:sz w:val="24"/>
          <w:szCs w:val="24"/>
          <w:lang w:val="nn-NO"/>
        </w:rPr>
      </w:pPr>
    </w:p>
    <w:p w14:paraId="6FE09DBD" w14:textId="77777777" w:rsidR="009A0B38" w:rsidRPr="003C4461" w:rsidRDefault="009A0B38" w:rsidP="009A0B38">
      <w:pPr>
        <w:rPr>
          <w:rFonts w:eastAsia="Aptos"/>
          <w:sz w:val="24"/>
          <w:szCs w:val="24"/>
          <w:lang w:val="nn-NO"/>
        </w:rPr>
      </w:pPr>
      <w:r w:rsidRPr="003C4461">
        <w:rPr>
          <w:rFonts w:eastAsia="Aptos"/>
          <w:sz w:val="24"/>
          <w:szCs w:val="24"/>
          <w:lang w:val="nn-NO"/>
        </w:rPr>
        <w:t xml:space="preserve">Lūdzam izteikt Nolikuma 2.1.5.6. punktu sekojošā redakcijā: </w:t>
      </w:r>
    </w:p>
    <w:p w14:paraId="17104C6E" w14:textId="77777777" w:rsidR="009A0B38" w:rsidRPr="003C4461" w:rsidRDefault="009A0B38" w:rsidP="009A0B38">
      <w:pPr>
        <w:rPr>
          <w:rFonts w:eastAsia="Aptos"/>
          <w:i/>
          <w:iCs/>
          <w:sz w:val="24"/>
          <w:szCs w:val="24"/>
          <w:lang w:val="nn-NO"/>
        </w:rPr>
      </w:pPr>
      <w:r w:rsidRPr="003C4461">
        <w:rPr>
          <w:rFonts w:eastAsia="Aptos"/>
          <w:i/>
          <w:iCs/>
          <w:sz w:val="24"/>
          <w:szCs w:val="24"/>
          <w:lang w:val="nn-NO"/>
        </w:rPr>
        <w:t>2.1.5.6. «</w:t>
      </w:r>
      <w:r w:rsidRPr="003C4461">
        <w:rPr>
          <w:rFonts w:eastAsia="Calibri"/>
          <w:i/>
          <w:iCs/>
          <w:sz w:val="24"/>
          <w:szCs w:val="24"/>
          <w:lang w:val="nn-NO"/>
        </w:rPr>
        <w:t xml:space="preserve">būvprojekta vadītājs ar spēkā esošu arhitekta prakses sertifikātu </w:t>
      </w:r>
      <w:r w:rsidRPr="003C4461">
        <w:rPr>
          <w:rFonts w:eastAsia="Calibri"/>
          <w:b/>
          <w:bCs/>
          <w:i/>
          <w:iCs/>
          <w:sz w:val="24"/>
          <w:szCs w:val="24"/>
          <w:lang w:val="nn-NO"/>
        </w:rPr>
        <w:t>vai</w:t>
      </w:r>
      <w:r w:rsidRPr="003C4461">
        <w:rPr>
          <w:rFonts w:eastAsia="Calibri"/>
          <w:i/>
          <w:iCs/>
          <w:sz w:val="24"/>
          <w:szCs w:val="24"/>
          <w:lang w:val="nn-NO"/>
        </w:rPr>
        <w:t xml:space="preserve"> būvprakses sertifikātu </w:t>
      </w:r>
      <w:r w:rsidRPr="003C4461">
        <w:rPr>
          <w:i/>
          <w:iCs/>
          <w:sz w:val="24"/>
          <w:szCs w:val="24"/>
          <w:lang w:val="nn-NO"/>
        </w:rPr>
        <w:t>ēku konstrukciju projektēšanā</w:t>
      </w:r>
      <w:r w:rsidRPr="003C4461">
        <w:rPr>
          <w:rFonts w:eastAsia="Calibri"/>
          <w:i/>
          <w:iCs/>
          <w:sz w:val="24"/>
          <w:szCs w:val="24"/>
          <w:lang w:val="nn-NO"/>
        </w:rPr>
        <w:t xml:space="preserve"> un pieredzi </w:t>
      </w:r>
      <w:r w:rsidRPr="003C4461">
        <w:rPr>
          <w:rFonts w:eastAsia="Calibri"/>
          <w:i/>
          <w:iCs/>
          <w:sz w:val="24"/>
          <w:szCs w:val="24"/>
          <w:u w:val="single"/>
          <w:lang w:val="nn-NO"/>
        </w:rPr>
        <w:t>iepriekšējo piecu</w:t>
      </w:r>
      <w:r w:rsidRPr="003C4461">
        <w:rPr>
          <w:rFonts w:eastAsia="Calibri"/>
          <w:i/>
          <w:iCs/>
          <w:sz w:val="24"/>
          <w:szCs w:val="24"/>
          <w:lang w:val="nn-NO"/>
        </w:rPr>
        <w:t xml:space="preserve"> gadu laikā </w:t>
      </w:r>
      <w:r w:rsidRPr="003C4461">
        <w:rPr>
          <w:i/>
          <w:iCs/>
          <w:sz w:val="24"/>
          <w:szCs w:val="24"/>
          <w:lang w:val="nn-NO"/>
        </w:rPr>
        <w:t>(2021., 2022., 2023., 2024., 2025. gadā)</w:t>
      </w:r>
      <w:r w:rsidRPr="003C4461">
        <w:rPr>
          <w:rFonts w:eastAsia="Calibri"/>
          <w:i/>
          <w:iCs/>
          <w:sz w:val="24"/>
          <w:szCs w:val="24"/>
          <w:lang w:val="nn-NO"/>
        </w:rPr>
        <w:t xml:space="preserve"> vai vēlāk līdz piedāvājuma iesniegšanas dienai </w:t>
      </w:r>
      <w:r w:rsidRPr="003C4461">
        <w:rPr>
          <w:rFonts w:eastAsia="Calibri"/>
          <w:i/>
          <w:iCs/>
          <w:sz w:val="24"/>
          <w:szCs w:val="24"/>
          <w:u w:val="single"/>
          <w:lang w:val="nn-NO"/>
        </w:rPr>
        <w:t>vismaz viena</w:t>
      </w:r>
      <w:r w:rsidRPr="003C4461">
        <w:rPr>
          <w:rFonts w:eastAsia="Calibri"/>
          <w:i/>
          <w:iCs/>
          <w:sz w:val="24"/>
          <w:szCs w:val="24"/>
          <w:lang w:val="nn-NO"/>
        </w:rPr>
        <w:t xml:space="preserve"> būvprojekta vadīšanā šādam objektam un šādā apjomā: </w:t>
      </w:r>
      <w:r w:rsidRPr="003C4461">
        <w:rPr>
          <w:i/>
          <w:iCs/>
          <w:sz w:val="24"/>
          <w:szCs w:val="24"/>
          <w:lang w:val="nn-NO"/>
        </w:rPr>
        <w:t xml:space="preserve">II vai III grupas ēkas jaunbūves vai pārbūves būvprojekts, </w:t>
      </w:r>
      <w:r w:rsidRPr="003C4461">
        <w:rPr>
          <w:i/>
          <w:iCs/>
          <w:strike/>
          <w:sz w:val="24"/>
          <w:szCs w:val="24"/>
          <w:lang w:val="nn-NO"/>
        </w:rPr>
        <w:t xml:space="preserve">kurš izstrādāts BIM vidē* </w:t>
      </w:r>
      <w:r w:rsidRPr="003C4461">
        <w:rPr>
          <w:i/>
          <w:iCs/>
          <w:strike/>
          <w:sz w:val="24"/>
          <w:szCs w:val="24"/>
          <w:lang w:val="nn-NO" w:eastAsia="lv-LV"/>
        </w:rPr>
        <w:t>(atbilstoši LVS 1052:2018 Būvju informācijas modelēšanas (BIM) terminoloģijas standartam vai līdzvērtīgam standartam)</w:t>
      </w:r>
      <w:r w:rsidRPr="003C4461">
        <w:rPr>
          <w:i/>
          <w:iCs/>
          <w:strike/>
          <w:sz w:val="24"/>
          <w:szCs w:val="24"/>
          <w:lang w:val="nn-NO"/>
        </w:rPr>
        <w:t xml:space="preserve">, </w:t>
      </w:r>
      <w:r w:rsidRPr="003C4461">
        <w:rPr>
          <w:i/>
          <w:iCs/>
          <w:sz w:val="24"/>
          <w:szCs w:val="24"/>
          <w:lang w:val="nn-NO"/>
        </w:rPr>
        <w:t>un šis būvprojekts ir apstiprināts būvvaldē (attiecīgā kompetentā iestādē ārvalstīs) vai būvatļaujā izdarīta atzīme par projektēšanas nosacījumu izpildi, kur ēkas nesošās konstrukcijas ir no koka, un šīs ēkas kopējā platība ir vismaz 650 m</w:t>
      </w:r>
      <w:r w:rsidRPr="003C4461">
        <w:rPr>
          <w:i/>
          <w:iCs/>
          <w:sz w:val="24"/>
          <w:szCs w:val="24"/>
          <w:vertAlign w:val="superscript"/>
          <w:lang w:val="nn-NO"/>
        </w:rPr>
        <w:t>2</w:t>
      </w:r>
      <w:r w:rsidRPr="003C4461">
        <w:rPr>
          <w:i/>
          <w:iCs/>
          <w:sz w:val="24"/>
          <w:szCs w:val="24"/>
          <w:lang w:val="nn-NO"/>
        </w:rPr>
        <w:t xml:space="preserve"> (</w:t>
      </w:r>
      <w:r w:rsidRPr="003C4461">
        <w:rPr>
          <w:i/>
          <w:iCs/>
          <w:sz w:val="24"/>
          <w:szCs w:val="24"/>
          <w:lang w:val="nn-NO" w:eastAsia="lv-LV"/>
        </w:rPr>
        <w:t xml:space="preserve">par atbilstošu Nolikuma 2.1.5.6. punktā izvirzītajām prasībām </w:t>
      </w:r>
      <w:r w:rsidRPr="003C4461">
        <w:rPr>
          <w:b/>
          <w:bCs/>
          <w:i/>
          <w:iCs/>
          <w:sz w:val="24"/>
          <w:szCs w:val="24"/>
          <w:lang w:val="nn-NO" w:eastAsia="lv-LV"/>
        </w:rPr>
        <w:t>netiks</w:t>
      </w:r>
      <w:r w:rsidRPr="003C4461">
        <w:rPr>
          <w:i/>
          <w:iCs/>
          <w:sz w:val="24"/>
          <w:szCs w:val="24"/>
          <w:lang w:val="nn-NO" w:eastAsia="lv-LV"/>
        </w:rPr>
        <w:t xml:space="preserve"> atzīta pieredze izmaiņu projekta vadīšanā). </w:t>
      </w:r>
      <w:r w:rsidRPr="003C4461">
        <w:rPr>
          <w:i/>
          <w:iCs/>
          <w:sz w:val="24"/>
          <w:szCs w:val="24"/>
          <w:lang w:val="nn-NO"/>
        </w:rPr>
        <w:t>Ja pieredze iegūta ārvalstīs, būvprojekta pabeigšana jāapliecina atbilstoši attiecīgās ārvalsts normatīvo aktu nosacījumiem.</w:t>
      </w:r>
      <w:r w:rsidRPr="003C4461">
        <w:rPr>
          <w:rFonts w:eastAsia="Aptos"/>
          <w:i/>
          <w:iCs/>
          <w:sz w:val="24"/>
          <w:szCs w:val="24"/>
          <w:lang w:val="nn-NO"/>
        </w:rPr>
        <w:t>»</w:t>
      </w:r>
    </w:p>
    <w:p w14:paraId="5CFA85D0" w14:textId="77777777" w:rsidR="00EF6707" w:rsidRPr="003C4461" w:rsidRDefault="00EF6707" w:rsidP="009A0B38">
      <w:pPr>
        <w:rPr>
          <w:rFonts w:eastAsia="Aptos"/>
          <w:i/>
          <w:iCs/>
          <w:sz w:val="24"/>
          <w:szCs w:val="24"/>
          <w:lang w:val="nn-NO"/>
        </w:rPr>
      </w:pPr>
    </w:p>
    <w:p w14:paraId="6750D9AC" w14:textId="77777777" w:rsidR="009A0B38" w:rsidRPr="003C4461" w:rsidRDefault="009A0B38" w:rsidP="009A0B38">
      <w:pPr>
        <w:rPr>
          <w:sz w:val="24"/>
          <w:szCs w:val="24"/>
          <w:lang w:val="nn-NO"/>
        </w:rPr>
      </w:pPr>
      <w:r w:rsidRPr="003C4461">
        <w:rPr>
          <w:sz w:val="24"/>
          <w:szCs w:val="24"/>
          <w:lang w:val="nn-NO"/>
        </w:rPr>
        <w:t xml:space="preserve">Lūdzam izteikt Nolikuma punktu 2.1.5.7. punktu sekojošā redakcijā: </w:t>
      </w:r>
    </w:p>
    <w:p w14:paraId="23BB80CA" w14:textId="77777777" w:rsidR="009A0B38" w:rsidRPr="003C4461" w:rsidRDefault="009A0B38" w:rsidP="009A0B38">
      <w:pPr>
        <w:rPr>
          <w:iCs/>
          <w:sz w:val="24"/>
          <w:szCs w:val="24"/>
          <w:lang w:val="nn-NO"/>
        </w:rPr>
      </w:pPr>
      <w:r w:rsidRPr="003C4461">
        <w:rPr>
          <w:rFonts w:eastAsia="Calibri"/>
          <w:sz w:val="24"/>
          <w:szCs w:val="24"/>
          <w:lang w:val="nn-NO"/>
        </w:rPr>
        <w:t xml:space="preserve">2.1.5.7. </w:t>
      </w:r>
      <w:r w:rsidRPr="003C4461">
        <w:rPr>
          <w:rFonts w:eastAsia="Calibri"/>
          <w:i/>
          <w:iCs/>
          <w:sz w:val="24"/>
          <w:szCs w:val="24"/>
          <w:lang w:val="nn-NO"/>
        </w:rPr>
        <w:t xml:space="preserve">arhitekts ar spēkā esošu arhitekta prakses sertifikātu* un pieredzi </w:t>
      </w:r>
      <w:r w:rsidRPr="003C4461">
        <w:rPr>
          <w:rFonts w:eastAsia="Calibri"/>
          <w:i/>
          <w:iCs/>
          <w:sz w:val="24"/>
          <w:szCs w:val="24"/>
          <w:u w:val="single"/>
          <w:lang w:val="nn-NO"/>
        </w:rPr>
        <w:t>iepriekšējo piecu</w:t>
      </w:r>
      <w:r w:rsidRPr="003C4461">
        <w:rPr>
          <w:rFonts w:eastAsia="Calibri"/>
          <w:i/>
          <w:iCs/>
          <w:sz w:val="24"/>
          <w:szCs w:val="24"/>
          <w:lang w:val="nn-NO"/>
        </w:rPr>
        <w:t xml:space="preserve"> gadu laikā </w:t>
      </w:r>
      <w:r w:rsidRPr="003C4461">
        <w:rPr>
          <w:i/>
          <w:iCs/>
          <w:sz w:val="24"/>
          <w:szCs w:val="24"/>
          <w:lang w:val="nn-NO"/>
        </w:rPr>
        <w:t>(2021., 2022., 2023., 2024., 2025. gadā)</w:t>
      </w:r>
      <w:r w:rsidRPr="003C4461">
        <w:rPr>
          <w:rFonts w:eastAsia="Calibri"/>
          <w:i/>
          <w:iCs/>
          <w:sz w:val="24"/>
          <w:szCs w:val="24"/>
          <w:lang w:val="nn-NO"/>
        </w:rPr>
        <w:t xml:space="preserve"> vai vēlāk līdz piedāvājuma iesniegšanas dienai kā arhitektam </w:t>
      </w:r>
      <w:r w:rsidRPr="003C4461">
        <w:rPr>
          <w:rFonts w:eastAsia="Calibri"/>
          <w:i/>
          <w:iCs/>
          <w:sz w:val="24"/>
          <w:szCs w:val="24"/>
          <w:u w:val="single"/>
          <w:lang w:val="nn-NO"/>
        </w:rPr>
        <w:t>vismaz viena</w:t>
      </w:r>
      <w:r w:rsidRPr="003C4461">
        <w:rPr>
          <w:rFonts w:eastAsia="Calibri"/>
          <w:i/>
          <w:iCs/>
          <w:sz w:val="24"/>
          <w:szCs w:val="24"/>
          <w:lang w:val="nn-NO"/>
        </w:rPr>
        <w:t xml:space="preserve"> būvprojekta izstrādē šādam objektam un šādā apjomā: </w:t>
      </w:r>
      <w:r w:rsidRPr="003C4461">
        <w:rPr>
          <w:i/>
          <w:iCs/>
          <w:sz w:val="24"/>
          <w:szCs w:val="24"/>
          <w:lang w:val="nn-NO"/>
        </w:rPr>
        <w:t xml:space="preserve">II vai III grupas ēkas jaunbūves vai pārbūves būvprojekts, </w:t>
      </w:r>
      <w:r w:rsidRPr="003C4461">
        <w:rPr>
          <w:i/>
          <w:iCs/>
          <w:strike/>
          <w:sz w:val="24"/>
          <w:szCs w:val="24"/>
          <w:lang w:val="nn-NO"/>
        </w:rPr>
        <w:t xml:space="preserve">kurš izstrādāts BIM vidē (arhitektūras daļa izstrādāta vismaz 300 detalizācijas līmenī saskaņā ar LOD2019) </w:t>
      </w:r>
      <w:r w:rsidRPr="003C4461">
        <w:rPr>
          <w:i/>
          <w:iCs/>
          <w:strike/>
          <w:sz w:val="24"/>
          <w:szCs w:val="24"/>
          <w:lang w:val="nn-NO" w:eastAsia="lv-LV"/>
        </w:rPr>
        <w:t>(atbilstoši LVS 1052:2018 Būvju informācijas modelēšanas (BIM) terminoloģijas standartam vai līdzvērtīgam standartam)</w:t>
      </w:r>
      <w:r w:rsidRPr="003C4461">
        <w:rPr>
          <w:i/>
          <w:iCs/>
          <w:strike/>
          <w:color w:val="000000"/>
          <w:sz w:val="24"/>
          <w:szCs w:val="24"/>
          <w:lang w:val="nn-NO"/>
        </w:rPr>
        <w:t xml:space="preserve">, </w:t>
      </w:r>
      <w:r w:rsidRPr="003C4461">
        <w:rPr>
          <w:i/>
          <w:iCs/>
          <w:sz w:val="24"/>
          <w:szCs w:val="24"/>
          <w:lang w:val="nn-NO"/>
        </w:rPr>
        <w:t>un šis būvprojekts ir apstiprināts būvvaldē (attiecīgā kompetentā iestādē ārvalstīs) vai būvatļaujā izdarīta atzīme par projektēšanas nosacījumu izpildi, kur ēkas nesošās konstrukcijas ir no koka, un šīs ēkas kopējā platība ir vismaz 650 m</w:t>
      </w:r>
      <w:r w:rsidRPr="003C4461">
        <w:rPr>
          <w:i/>
          <w:iCs/>
          <w:sz w:val="24"/>
          <w:szCs w:val="24"/>
          <w:vertAlign w:val="superscript"/>
          <w:lang w:val="nn-NO"/>
        </w:rPr>
        <w:t>2</w:t>
      </w:r>
      <w:r w:rsidRPr="003C4461">
        <w:rPr>
          <w:i/>
          <w:iCs/>
          <w:sz w:val="24"/>
          <w:szCs w:val="24"/>
          <w:lang w:val="nn-NO"/>
        </w:rPr>
        <w:t xml:space="preserve"> (</w:t>
      </w:r>
      <w:r w:rsidRPr="003C4461">
        <w:rPr>
          <w:i/>
          <w:iCs/>
          <w:sz w:val="24"/>
          <w:szCs w:val="24"/>
          <w:lang w:val="nn-NO" w:eastAsia="lv-LV"/>
        </w:rPr>
        <w:t xml:space="preserve">par atbilstošu Nolikuma 2.1.5.7. punktā izvirzītajām prasībām </w:t>
      </w:r>
      <w:r w:rsidRPr="003C4461">
        <w:rPr>
          <w:b/>
          <w:bCs/>
          <w:i/>
          <w:iCs/>
          <w:sz w:val="24"/>
          <w:szCs w:val="24"/>
          <w:lang w:val="nn-NO" w:eastAsia="lv-LV"/>
        </w:rPr>
        <w:t>netiks</w:t>
      </w:r>
      <w:r w:rsidRPr="003C4461">
        <w:rPr>
          <w:i/>
          <w:iCs/>
          <w:sz w:val="24"/>
          <w:szCs w:val="24"/>
          <w:lang w:val="nn-NO" w:eastAsia="lv-LV"/>
        </w:rPr>
        <w:t xml:space="preserve"> atzīta pieredze izmaiņu projekta izstrādē). </w:t>
      </w:r>
      <w:r w:rsidRPr="003C4461">
        <w:rPr>
          <w:i/>
          <w:iCs/>
          <w:sz w:val="24"/>
          <w:szCs w:val="24"/>
          <w:lang w:val="nn-NO"/>
        </w:rPr>
        <w:t>Ja pieredze iegūta ārvalstīs, būvprojekta pabeigšana jāapliecina atbilstoši attiecīgās ārvalsts normatīvo aktu nosacījumiem.</w:t>
      </w:r>
    </w:p>
    <w:p w14:paraId="04A04FEA" w14:textId="77777777" w:rsidR="009D5D30" w:rsidRPr="003C4461" w:rsidRDefault="009D5D30" w:rsidP="009A0B38">
      <w:pPr>
        <w:rPr>
          <w:iCs/>
          <w:sz w:val="24"/>
          <w:szCs w:val="24"/>
          <w:lang w:val="nn-NO"/>
        </w:rPr>
      </w:pPr>
    </w:p>
    <w:p w14:paraId="6B488F09" w14:textId="1CFF2E4F" w:rsidR="009A0B38" w:rsidRPr="003C4461" w:rsidRDefault="009A0B38" w:rsidP="009A0B38">
      <w:pPr>
        <w:rPr>
          <w:iCs/>
          <w:sz w:val="24"/>
          <w:szCs w:val="24"/>
          <w:lang w:val="nn-NO"/>
        </w:rPr>
      </w:pPr>
      <w:r w:rsidRPr="003C4461">
        <w:rPr>
          <w:iCs/>
          <w:sz w:val="24"/>
          <w:szCs w:val="24"/>
          <w:lang w:val="nn-NO"/>
        </w:rPr>
        <w:t xml:space="preserve">Lūdzam izteikt Nolikuma 2.1.5.8. punktu sekojošā redakcijā: </w:t>
      </w:r>
    </w:p>
    <w:p w14:paraId="38A55AE9" w14:textId="77777777" w:rsidR="009D5D30" w:rsidRPr="003C4461" w:rsidRDefault="009D5D30" w:rsidP="009A0B38">
      <w:pPr>
        <w:rPr>
          <w:iCs/>
          <w:sz w:val="24"/>
          <w:szCs w:val="24"/>
          <w:lang w:val="nn-NO"/>
        </w:rPr>
      </w:pPr>
    </w:p>
    <w:p w14:paraId="59A43B50" w14:textId="77777777" w:rsidR="009A0B38" w:rsidRPr="003C4461" w:rsidRDefault="009A0B38" w:rsidP="009D5D30">
      <w:pPr>
        <w:pStyle w:val="Sarakstarindkopa"/>
        <w:widowControl/>
        <w:numPr>
          <w:ilvl w:val="4"/>
          <w:numId w:val="12"/>
        </w:numPr>
        <w:autoSpaceDE/>
        <w:autoSpaceDN/>
        <w:ind w:left="1134"/>
        <w:jc w:val="both"/>
        <w:rPr>
          <w:sz w:val="24"/>
          <w:szCs w:val="24"/>
          <w:lang w:val="nn-NO"/>
        </w:rPr>
      </w:pPr>
      <w:r w:rsidRPr="003C4461">
        <w:rPr>
          <w:i/>
          <w:iCs/>
          <w:sz w:val="24"/>
          <w:szCs w:val="24"/>
          <w:lang w:val="nn-NO"/>
        </w:rPr>
        <w:t xml:space="preserve">ēku konstrukciju projektēšanā </w:t>
      </w:r>
      <w:r w:rsidRPr="003C4461">
        <w:rPr>
          <w:rFonts w:eastAsia="Calibri"/>
          <w:i/>
          <w:iCs/>
          <w:sz w:val="24"/>
          <w:szCs w:val="24"/>
          <w:lang w:val="nn-NO"/>
        </w:rPr>
        <w:t xml:space="preserve">un pieredzi </w:t>
      </w:r>
      <w:r w:rsidRPr="003C4461">
        <w:rPr>
          <w:rFonts w:eastAsia="Calibri"/>
          <w:i/>
          <w:iCs/>
          <w:sz w:val="24"/>
          <w:szCs w:val="24"/>
          <w:u w:val="single"/>
          <w:lang w:val="nn-NO"/>
        </w:rPr>
        <w:t>iepriekšējo piecu</w:t>
      </w:r>
      <w:r w:rsidRPr="003C4461">
        <w:rPr>
          <w:rFonts w:eastAsia="Calibri"/>
          <w:i/>
          <w:iCs/>
          <w:sz w:val="24"/>
          <w:szCs w:val="24"/>
          <w:lang w:val="nn-NO"/>
        </w:rPr>
        <w:t xml:space="preserve"> gadu laikā </w:t>
      </w:r>
      <w:r w:rsidRPr="003C4461">
        <w:rPr>
          <w:i/>
          <w:iCs/>
          <w:sz w:val="24"/>
          <w:szCs w:val="24"/>
          <w:lang w:val="nn-NO"/>
        </w:rPr>
        <w:t>(2021., 2022., 2023., 2024., 2025. gadā)</w:t>
      </w:r>
      <w:r w:rsidRPr="003C4461">
        <w:rPr>
          <w:rFonts w:eastAsia="Calibri"/>
          <w:i/>
          <w:iCs/>
          <w:sz w:val="24"/>
          <w:szCs w:val="24"/>
          <w:lang w:val="nn-NO"/>
        </w:rPr>
        <w:t xml:space="preserve"> vai vēlāk līdz piedāvājuma iesniegšanas dienai kā ēku konstrukciju projektētājam </w:t>
      </w:r>
      <w:r w:rsidRPr="003C4461">
        <w:rPr>
          <w:rFonts w:eastAsia="Calibri"/>
          <w:i/>
          <w:iCs/>
          <w:sz w:val="24"/>
          <w:szCs w:val="24"/>
          <w:u w:val="single"/>
          <w:lang w:val="nn-NO"/>
        </w:rPr>
        <w:t>vismaz viena</w:t>
      </w:r>
      <w:r w:rsidRPr="003C4461">
        <w:rPr>
          <w:rFonts w:eastAsia="Calibri"/>
          <w:i/>
          <w:iCs/>
          <w:sz w:val="24"/>
          <w:szCs w:val="24"/>
          <w:lang w:val="nn-NO"/>
        </w:rPr>
        <w:t xml:space="preserve"> būvprojekta izstrādē šādam objektam un šādā apjomā: </w:t>
      </w:r>
      <w:r w:rsidRPr="003C4461">
        <w:rPr>
          <w:i/>
          <w:iCs/>
          <w:sz w:val="24"/>
          <w:szCs w:val="24"/>
          <w:lang w:val="nn-NO"/>
        </w:rPr>
        <w:t xml:space="preserve">II vai III grupas ēkas jaunbūves vai pārbūves būvprojekts, </w:t>
      </w:r>
      <w:r w:rsidRPr="003C4461">
        <w:rPr>
          <w:i/>
          <w:iCs/>
          <w:strike/>
          <w:color w:val="000000"/>
          <w:sz w:val="24"/>
          <w:szCs w:val="24"/>
          <w:lang w:val="nn-NO"/>
        </w:rPr>
        <w:t xml:space="preserve">kurš izstrādāts BIM vidē </w:t>
      </w:r>
      <w:r w:rsidRPr="003C4461">
        <w:rPr>
          <w:i/>
          <w:iCs/>
          <w:strike/>
          <w:sz w:val="24"/>
          <w:szCs w:val="24"/>
          <w:lang w:val="nn-NO"/>
        </w:rPr>
        <w:t xml:space="preserve">(būvkonstrukciju daļa izstrādāta vismaz 300 detalizācijas līmenī saskaņā ar LOD2019) </w:t>
      </w:r>
      <w:r w:rsidRPr="003C4461">
        <w:rPr>
          <w:i/>
          <w:iCs/>
          <w:strike/>
          <w:sz w:val="24"/>
          <w:szCs w:val="24"/>
          <w:lang w:val="nn-NO" w:eastAsia="lv-LV"/>
        </w:rPr>
        <w:t>(atbilstoši LVS 1052:2018 Būvju informācijas modelēšanas (BIM) terminoloģijas standartam vai līdzvērtīgam standartam)</w:t>
      </w:r>
      <w:r w:rsidRPr="003C4461">
        <w:rPr>
          <w:i/>
          <w:iCs/>
          <w:strike/>
          <w:sz w:val="24"/>
          <w:szCs w:val="24"/>
          <w:lang w:val="nn-NO"/>
        </w:rPr>
        <w:t>,</w:t>
      </w:r>
      <w:r w:rsidRPr="003C4461">
        <w:rPr>
          <w:i/>
          <w:iCs/>
          <w:sz w:val="24"/>
          <w:szCs w:val="24"/>
          <w:lang w:val="nn-NO"/>
        </w:rPr>
        <w:t xml:space="preserve"> un šis būvprojekts ir apstiprināts būvvaldē (attiecīgā kompetentā iestādē ārvalstīs) vai būvatļaujā izdarīta atzīme par projektēšanas nosacījumu izpildi, kur ēkas nesošās konstrukcijas ir no koka, un šīs ēkas kopējā platība ir vismaz 650 m</w:t>
      </w:r>
      <w:r w:rsidRPr="003C4461">
        <w:rPr>
          <w:i/>
          <w:iCs/>
          <w:sz w:val="24"/>
          <w:szCs w:val="24"/>
          <w:vertAlign w:val="superscript"/>
          <w:lang w:val="nn-NO"/>
        </w:rPr>
        <w:t>2</w:t>
      </w:r>
      <w:r w:rsidRPr="003C4461">
        <w:rPr>
          <w:i/>
          <w:iCs/>
          <w:sz w:val="24"/>
          <w:szCs w:val="24"/>
          <w:lang w:val="nn-NO"/>
        </w:rPr>
        <w:t xml:space="preserve"> (</w:t>
      </w:r>
      <w:r w:rsidRPr="003C4461">
        <w:rPr>
          <w:i/>
          <w:iCs/>
          <w:sz w:val="24"/>
          <w:szCs w:val="24"/>
          <w:lang w:val="nn-NO" w:eastAsia="lv-LV"/>
        </w:rPr>
        <w:t xml:space="preserve">par atbilstošu Nolikuma 2.1.5.8.1. punktā izvirzītajām prasībām </w:t>
      </w:r>
      <w:r w:rsidRPr="003C4461">
        <w:rPr>
          <w:b/>
          <w:bCs/>
          <w:i/>
          <w:iCs/>
          <w:sz w:val="24"/>
          <w:szCs w:val="24"/>
          <w:lang w:val="nn-NO" w:eastAsia="lv-LV"/>
        </w:rPr>
        <w:t>netiks</w:t>
      </w:r>
      <w:r w:rsidRPr="003C4461">
        <w:rPr>
          <w:i/>
          <w:iCs/>
          <w:sz w:val="24"/>
          <w:szCs w:val="24"/>
          <w:lang w:val="nn-NO" w:eastAsia="lv-LV"/>
        </w:rPr>
        <w:t xml:space="preserve"> atzīta pieredze izmaiņu projekta izstrādē). </w:t>
      </w:r>
      <w:r w:rsidRPr="003C4461">
        <w:rPr>
          <w:i/>
          <w:iCs/>
          <w:sz w:val="24"/>
          <w:szCs w:val="24"/>
          <w:lang w:val="nn-NO"/>
        </w:rPr>
        <w:t>Ja pieredze iegūta ārvalstīs, būvprojekta pabeigšana jāapliecina atbilstoši attiecīgās ārvalsts normatīvo aktu nosacījumiem;</w:t>
      </w:r>
    </w:p>
    <w:p w14:paraId="0C844D66" w14:textId="77777777" w:rsidR="009A0B38" w:rsidRPr="003C4461" w:rsidRDefault="009A0B38" w:rsidP="009A0B38">
      <w:pPr>
        <w:rPr>
          <w:sz w:val="24"/>
          <w:szCs w:val="24"/>
          <w:lang w:val="nn-NO"/>
        </w:rPr>
      </w:pPr>
    </w:p>
    <w:p w14:paraId="1850C410" w14:textId="3B5EF837" w:rsidR="009A0B38" w:rsidRPr="000669D8" w:rsidRDefault="000669D8" w:rsidP="009A0B38">
      <w:pPr>
        <w:rPr>
          <w:b/>
          <w:bCs/>
          <w:sz w:val="24"/>
          <w:szCs w:val="24"/>
          <w:u w:val="single"/>
          <w:lang w:val="nn-NO"/>
        </w:rPr>
      </w:pPr>
      <w:r w:rsidRPr="000669D8">
        <w:rPr>
          <w:b/>
          <w:bCs/>
          <w:sz w:val="24"/>
          <w:szCs w:val="24"/>
          <w:u w:val="single"/>
          <w:lang w:val="nn-NO"/>
        </w:rPr>
        <w:t>Atbilde:</w:t>
      </w:r>
    </w:p>
    <w:p w14:paraId="23B6D6AC" w14:textId="01A5E3C9" w:rsidR="000669D8" w:rsidRPr="000669D8" w:rsidRDefault="000669D8" w:rsidP="000669D8">
      <w:pPr>
        <w:ind w:firstLine="720"/>
        <w:jc w:val="both"/>
        <w:rPr>
          <w:sz w:val="24"/>
          <w:szCs w:val="24"/>
        </w:rPr>
      </w:pPr>
      <w:r>
        <w:rPr>
          <w:sz w:val="24"/>
          <w:szCs w:val="24"/>
        </w:rPr>
        <w:t>A</w:t>
      </w:r>
      <w:r w:rsidRPr="000669D8">
        <w:rPr>
          <w:sz w:val="24"/>
          <w:szCs w:val="24"/>
        </w:rPr>
        <w:t>ttiecībā uz argumentu, ka normatīvais regulējums neparedz obligātu BIM izmantošanu konkrētā veida objektiem, norād</w:t>
      </w:r>
      <w:r>
        <w:rPr>
          <w:sz w:val="24"/>
          <w:szCs w:val="24"/>
        </w:rPr>
        <w:t>ām</w:t>
      </w:r>
      <w:r w:rsidRPr="000669D8">
        <w:rPr>
          <w:sz w:val="24"/>
          <w:szCs w:val="24"/>
        </w:rPr>
        <w:t xml:space="preserve">, ka Publisko iepirkumu likums neierobežo </w:t>
      </w:r>
      <w:r>
        <w:rPr>
          <w:sz w:val="24"/>
          <w:szCs w:val="24"/>
        </w:rPr>
        <w:t>p</w:t>
      </w:r>
      <w:r w:rsidRPr="000669D8">
        <w:rPr>
          <w:sz w:val="24"/>
          <w:szCs w:val="24"/>
        </w:rPr>
        <w:t>asūtītāja tiesības noteikt papildu prasības, kas pārsniedz minimālās normatīvā regulējuma prasības, ja tās ir objektīvi pamatotas ar līguma priekšmetu un tā izpildes kvalitāti. BIM izmantošana konkrētajā iepirkumā ir izvēlēta kā instruments efektīvākai projektēšanas, būvniecības un turpmākās ekspluatācijas procesa pārvaldībai, nodrošinot augstāku datu kvalitāti, savietojamību un caurspīdīgumu visā objekta dzīves ciklā.</w:t>
      </w:r>
    </w:p>
    <w:p w14:paraId="38565B8D" w14:textId="581DCAB5" w:rsidR="000669D8" w:rsidRPr="000669D8" w:rsidRDefault="000669D8" w:rsidP="000669D8">
      <w:pPr>
        <w:ind w:firstLine="720"/>
        <w:jc w:val="both"/>
        <w:rPr>
          <w:sz w:val="24"/>
          <w:szCs w:val="24"/>
        </w:rPr>
      </w:pPr>
      <w:r>
        <w:rPr>
          <w:sz w:val="24"/>
          <w:szCs w:val="24"/>
        </w:rPr>
        <w:t>A</w:t>
      </w:r>
      <w:r w:rsidRPr="000669D8">
        <w:rPr>
          <w:sz w:val="24"/>
          <w:szCs w:val="24"/>
        </w:rPr>
        <w:t xml:space="preserve">ttiecībā uz apgalvojumu, ka prasība nav tieši saistīta ar līguma priekšmetu un izpildes kvalitāti, </w:t>
      </w:r>
      <w:r w:rsidR="00B54FF0">
        <w:rPr>
          <w:sz w:val="24"/>
          <w:szCs w:val="24"/>
        </w:rPr>
        <w:t>p</w:t>
      </w:r>
      <w:r w:rsidRPr="000669D8">
        <w:rPr>
          <w:sz w:val="24"/>
          <w:szCs w:val="24"/>
        </w:rPr>
        <w:t>asūtītājs nepiekrīt šādam vērtējumam. BIM metodoloģija būtiski ietekmē projektēšanas procesa kvalitāti, jo tā nodrošina koordinētu starpdisciplināru sadarbību, kļūdu savlaicīgu identificēšanu (piemēram, sadursmju pārbaudes), precīzāku apjomu aprēķinu un izmaksu kontroli. Ņemot vērā objekta sarežģītību un prasības attiecībā uz ilgtermiņa uzturēšanu, BIM izmantošana ir tieši saistīta ar līguma priekšmeta kvalitatīvu izpildi, nevis tikai ar projektēšanas metodes izvēli. Vienlaikus uzsver</w:t>
      </w:r>
      <w:r>
        <w:rPr>
          <w:sz w:val="24"/>
          <w:szCs w:val="24"/>
        </w:rPr>
        <w:t>am</w:t>
      </w:r>
      <w:r w:rsidRPr="000669D8">
        <w:rPr>
          <w:sz w:val="24"/>
          <w:szCs w:val="24"/>
        </w:rPr>
        <w:t>, ka prasība attiecas uz pretendenta pieredzi BIM vidē, jo tas apliecina spēju praktiski pielietot šo pieeju, nevis tikai formāli piesaistīt atsevišķu speciālistu.</w:t>
      </w:r>
    </w:p>
    <w:p w14:paraId="64030C9B" w14:textId="5A124E83" w:rsidR="000669D8" w:rsidRPr="000669D8" w:rsidRDefault="000669D8" w:rsidP="000669D8">
      <w:pPr>
        <w:ind w:firstLine="720"/>
        <w:jc w:val="both"/>
        <w:rPr>
          <w:sz w:val="24"/>
          <w:szCs w:val="24"/>
        </w:rPr>
      </w:pPr>
      <w:r>
        <w:rPr>
          <w:sz w:val="24"/>
          <w:szCs w:val="24"/>
        </w:rPr>
        <w:t>A</w:t>
      </w:r>
      <w:r w:rsidRPr="000669D8">
        <w:rPr>
          <w:sz w:val="24"/>
          <w:szCs w:val="24"/>
        </w:rPr>
        <w:t>ttiecībā uz iespējamu konkurences ierobežojumu norād</w:t>
      </w:r>
      <w:r>
        <w:rPr>
          <w:sz w:val="24"/>
          <w:szCs w:val="24"/>
        </w:rPr>
        <w:t>ām</w:t>
      </w:r>
      <w:r w:rsidRPr="000669D8">
        <w:rPr>
          <w:sz w:val="24"/>
          <w:szCs w:val="24"/>
        </w:rPr>
        <w:t xml:space="preserve">, ka prasība nav vērsta uz konkrētu pretendentu loku vai tehnoloģiju piegādātāju, bet gan uz noteiktu profesionālo spēju kopumu, kas ir būtisks līguma izpildei. BIM izmantošana būvniecības nozarē Latvijā un Eiropas Savienībā kļūst arvien plašāk izplatīta, un tirgū pastāv pietiekams skaits kvalificētu pretendentu ar attiecīgu pieredzi. Līdz ar to prasība pati par sevi nav uzskatāma par konkurenci </w:t>
      </w:r>
      <w:r w:rsidR="00B54FF0" w:rsidRPr="000669D8">
        <w:rPr>
          <w:sz w:val="24"/>
          <w:szCs w:val="24"/>
        </w:rPr>
        <w:t>nepamatot</w:t>
      </w:r>
      <w:r w:rsidR="00B54FF0">
        <w:rPr>
          <w:sz w:val="24"/>
          <w:szCs w:val="24"/>
        </w:rPr>
        <w:t>i</w:t>
      </w:r>
      <w:r w:rsidR="00B54FF0" w:rsidRPr="000669D8">
        <w:rPr>
          <w:sz w:val="24"/>
          <w:szCs w:val="24"/>
        </w:rPr>
        <w:t xml:space="preserve"> </w:t>
      </w:r>
      <w:r w:rsidRPr="000669D8">
        <w:rPr>
          <w:sz w:val="24"/>
          <w:szCs w:val="24"/>
        </w:rPr>
        <w:t>ierobežojošu, bet gan par kvalitātes nodrošināšanas instrumentu.</w:t>
      </w:r>
    </w:p>
    <w:p w14:paraId="64079516" w14:textId="3F7335B6" w:rsidR="000669D8" w:rsidRPr="000669D8" w:rsidRDefault="000669D8" w:rsidP="000669D8">
      <w:pPr>
        <w:ind w:firstLine="720"/>
        <w:jc w:val="both"/>
        <w:rPr>
          <w:sz w:val="24"/>
          <w:szCs w:val="24"/>
        </w:rPr>
      </w:pPr>
      <w:r>
        <w:rPr>
          <w:sz w:val="24"/>
          <w:szCs w:val="24"/>
        </w:rPr>
        <w:t>A</w:t>
      </w:r>
      <w:r w:rsidRPr="000669D8">
        <w:rPr>
          <w:sz w:val="24"/>
          <w:szCs w:val="24"/>
        </w:rPr>
        <w:t xml:space="preserve">ttiecībā uz samērīguma principu </w:t>
      </w:r>
      <w:r>
        <w:rPr>
          <w:sz w:val="24"/>
          <w:szCs w:val="24"/>
        </w:rPr>
        <w:t>norādām</w:t>
      </w:r>
      <w:r w:rsidRPr="000669D8">
        <w:rPr>
          <w:sz w:val="24"/>
          <w:szCs w:val="24"/>
        </w:rPr>
        <w:t>, ka prasība ir izvērtēta un uzskatāma par samērīgu, ņemot vērā līguma priekšmeta apjomu</w:t>
      </w:r>
      <w:r>
        <w:rPr>
          <w:sz w:val="24"/>
          <w:szCs w:val="24"/>
        </w:rPr>
        <w:t xml:space="preserve"> un</w:t>
      </w:r>
      <w:r w:rsidRPr="000669D8">
        <w:rPr>
          <w:sz w:val="24"/>
          <w:szCs w:val="24"/>
        </w:rPr>
        <w:t xml:space="preserve"> sarežģītību. BIM izmantošana ļauj samazināt riskus projektēšanas un būvniecības laikā, kā arī optimizēt ekspluatācijas izmaksas ilgtermiņā, kas ir būtiski publisko līdzekļu efektīvai izmantošanai. Prasība par pieredzi BIM vidē nav pārmērīga, bet gan proporcionāla sagaidāmajam ieguvumam un projekta specifikai.</w:t>
      </w:r>
    </w:p>
    <w:p w14:paraId="11EF53B9" w14:textId="55554929" w:rsidR="000669D8" w:rsidRPr="000669D8" w:rsidRDefault="000669D8" w:rsidP="000669D8">
      <w:pPr>
        <w:ind w:firstLine="720"/>
        <w:jc w:val="both"/>
        <w:rPr>
          <w:sz w:val="24"/>
          <w:szCs w:val="24"/>
        </w:rPr>
      </w:pPr>
      <w:r w:rsidRPr="000669D8">
        <w:rPr>
          <w:sz w:val="24"/>
          <w:szCs w:val="24"/>
        </w:rPr>
        <w:t>Papildus norād</w:t>
      </w:r>
      <w:r>
        <w:rPr>
          <w:sz w:val="24"/>
          <w:szCs w:val="24"/>
        </w:rPr>
        <w:t>ām</w:t>
      </w:r>
      <w:r w:rsidRPr="000669D8">
        <w:rPr>
          <w:sz w:val="24"/>
          <w:szCs w:val="24"/>
        </w:rPr>
        <w:t>, ka BIM noteikšana tikai kā līguma izpildes prasība, bez attiecīgas pieredzes kā kvalifikācijas kritērija, radītu būtisku risku, ka pretendents nespēj kvalitatīvi un efektīvi nodrošināt BIM prasību ieviešanu praksē. Pieredze ir būtisks priekšnoteikums veiksmīgai BIM integrācijai projektēšanas procesā.</w:t>
      </w:r>
    </w:p>
    <w:p w14:paraId="0E5FE81B" w14:textId="21E7F022" w:rsidR="000669D8" w:rsidRPr="000669D8" w:rsidRDefault="000669D8" w:rsidP="000669D8">
      <w:pPr>
        <w:ind w:firstLine="720"/>
        <w:jc w:val="both"/>
        <w:rPr>
          <w:sz w:val="24"/>
          <w:szCs w:val="24"/>
        </w:rPr>
      </w:pPr>
      <w:r>
        <w:rPr>
          <w:sz w:val="24"/>
          <w:szCs w:val="24"/>
        </w:rPr>
        <w:t>V</w:t>
      </w:r>
      <w:r w:rsidRPr="000669D8">
        <w:rPr>
          <w:sz w:val="24"/>
          <w:szCs w:val="24"/>
        </w:rPr>
        <w:t>ērš</w:t>
      </w:r>
      <w:r>
        <w:rPr>
          <w:sz w:val="24"/>
          <w:szCs w:val="24"/>
        </w:rPr>
        <w:t>am</w:t>
      </w:r>
      <w:r w:rsidRPr="000669D8">
        <w:rPr>
          <w:sz w:val="24"/>
          <w:szCs w:val="24"/>
        </w:rPr>
        <w:t xml:space="preserve"> uzmanību </w:t>
      </w:r>
      <w:r w:rsidR="00B54FF0">
        <w:rPr>
          <w:sz w:val="24"/>
          <w:szCs w:val="24"/>
        </w:rPr>
        <w:t xml:space="preserve">arī </w:t>
      </w:r>
      <w:r w:rsidRPr="000669D8">
        <w:rPr>
          <w:sz w:val="24"/>
          <w:szCs w:val="24"/>
        </w:rPr>
        <w:t>uz Augstākās tiesas Senāt</w:t>
      </w:r>
      <w:r>
        <w:rPr>
          <w:sz w:val="24"/>
          <w:szCs w:val="24"/>
        </w:rPr>
        <w:t>a</w:t>
      </w:r>
      <w:r w:rsidRPr="000669D8">
        <w:rPr>
          <w:sz w:val="24"/>
          <w:szCs w:val="24"/>
        </w:rPr>
        <w:t xml:space="preserve"> judikatūrā nostiprinātajām atziņām attiecībā uz pasūtītāja rīcības brīvību un kvalifikācijas prasību noteikšanu.</w:t>
      </w:r>
    </w:p>
    <w:p w14:paraId="10581D9E" w14:textId="100F441B" w:rsidR="000669D8" w:rsidRPr="000669D8" w:rsidRDefault="000669D8" w:rsidP="000669D8">
      <w:pPr>
        <w:ind w:firstLine="720"/>
        <w:jc w:val="both"/>
        <w:rPr>
          <w:sz w:val="24"/>
          <w:szCs w:val="24"/>
        </w:rPr>
      </w:pPr>
      <w:r w:rsidRPr="000669D8">
        <w:rPr>
          <w:sz w:val="24"/>
          <w:szCs w:val="24"/>
        </w:rPr>
        <w:t xml:space="preserve">Senāts vairākkārt ir atzinis, ka publiskā iepirkuma procedūras mērķis ir nodrošināt pasūtītāja vajadzībām atbilstoša līguma noslēgšanu, un kvalifikācijas prasības kalpo tam, lai atlasītu pretendentus, kuri objektīvi spēj nodrošināt kvalitatīvu līguma izpildi. </w:t>
      </w:r>
    </w:p>
    <w:p w14:paraId="1F74E6A8" w14:textId="77777777" w:rsidR="000669D8" w:rsidRPr="000669D8" w:rsidRDefault="000669D8" w:rsidP="000669D8">
      <w:pPr>
        <w:ind w:firstLine="720"/>
        <w:jc w:val="both"/>
        <w:rPr>
          <w:sz w:val="24"/>
          <w:szCs w:val="24"/>
        </w:rPr>
      </w:pPr>
      <w:r w:rsidRPr="000669D8">
        <w:rPr>
          <w:sz w:val="24"/>
          <w:szCs w:val="24"/>
        </w:rPr>
        <w:t>Vienlaikus Senāta judikatūrā ir konsekventi nostiprināts princips, ka pasūtītājam nav pienākuma pielāgot iepirkuma dokumentācijas prasības konkrētu pretendentu iespējām vai tirgus dalībnieku individuālajai kapacitātei. Gluži pretēji – prasības nosakāmas, izejot no līguma priekšmeta un pasūtītāja vajadzībām, nevis no potenciālo pretendentu zemākā kopējā spēju līmeņa. No Senāta atziņām izriet, ka kvalifikācijas prasību mērķis ir atlasīt atbilstošus pretendentus, nevis maksimāli paplašināt dalībnieku loku uz kvalitātes rēķina.</w:t>
      </w:r>
    </w:p>
    <w:p w14:paraId="62C16D9B" w14:textId="74B49ED6" w:rsidR="000669D8" w:rsidRPr="000669D8" w:rsidRDefault="000669D8" w:rsidP="000669D8">
      <w:pPr>
        <w:ind w:firstLine="720"/>
        <w:jc w:val="both"/>
        <w:rPr>
          <w:sz w:val="24"/>
          <w:szCs w:val="24"/>
        </w:rPr>
      </w:pPr>
      <w:r w:rsidRPr="000669D8">
        <w:rPr>
          <w:sz w:val="24"/>
          <w:szCs w:val="24"/>
        </w:rPr>
        <w:t>Tāpat Senāts ir norādījis, ka vienlīdzīgas attieksmes princips nenozīmē prasību pazemināšanu vai pielāgošanu tiem tirgus dalībniekiem, kuriem nav pietiekamas pieredzes vai resursu konkrētā līguma izpildei, jo tas radītu nepamatot</w:t>
      </w:r>
      <w:r w:rsidR="00B54FF0">
        <w:rPr>
          <w:sz w:val="24"/>
          <w:szCs w:val="24"/>
        </w:rPr>
        <w:t>as</w:t>
      </w:r>
      <w:r w:rsidRPr="000669D8">
        <w:rPr>
          <w:sz w:val="24"/>
          <w:szCs w:val="24"/>
        </w:rPr>
        <w:t xml:space="preserve"> priekšrocīb</w:t>
      </w:r>
      <w:r w:rsidR="00B54FF0">
        <w:rPr>
          <w:sz w:val="24"/>
          <w:szCs w:val="24"/>
        </w:rPr>
        <w:t>as</w:t>
      </w:r>
      <w:r w:rsidRPr="000669D8">
        <w:rPr>
          <w:sz w:val="24"/>
          <w:szCs w:val="24"/>
        </w:rPr>
        <w:t xml:space="preserve"> mazāk kvalificētiem pretendentiem un varētu apdraudēt līguma pienācīgu izpildi. </w:t>
      </w:r>
    </w:p>
    <w:p w14:paraId="1127987B" w14:textId="63F2885E" w:rsidR="000669D8" w:rsidRPr="000669D8" w:rsidRDefault="00B54FF0" w:rsidP="00B54FF0">
      <w:pPr>
        <w:ind w:firstLine="720"/>
        <w:jc w:val="both"/>
        <w:rPr>
          <w:sz w:val="24"/>
          <w:szCs w:val="24"/>
        </w:rPr>
      </w:pPr>
      <w:r w:rsidRPr="000669D8">
        <w:rPr>
          <w:sz w:val="24"/>
          <w:szCs w:val="24"/>
        </w:rPr>
        <w:t xml:space="preserve">Ņemot vērā iepriekš minēto, </w:t>
      </w:r>
      <w:r>
        <w:rPr>
          <w:sz w:val="24"/>
          <w:szCs w:val="24"/>
        </w:rPr>
        <w:t>p</w:t>
      </w:r>
      <w:r w:rsidR="000669D8" w:rsidRPr="000669D8">
        <w:rPr>
          <w:sz w:val="24"/>
          <w:szCs w:val="24"/>
        </w:rPr>
        <w:t xml:space="preserve">asūtītājs </w:t>
      </w:r>
      <w:r>
        <w:rPr>
          <w:sz w:val="24"/>
          <w:szCs w:val="24"/>
        </w:rPr>
        <w:t>norāda</w:t>
      </w:r>
      <w:r w:rsidR="000669D8" w:rsidRPr="000669D8">
        <w:rPr>
          <w:sz w:val="24"/>
          <w:szCs w:val="24"/>
        </w:rPr>
        <w:t>, ka Nolikuma 2.1.4.3.</w:t>
      </w:r>
      <w:r>
        <w:rPr>
          <w:sz w:val="24"/>
          <w:szCs w:val="24"/>
        </w:rPr>
        <w:t xml:space="preserve">, 2.1.5.6., 2.1.5.7. un </w:t>
      </w:r>
      <w:r w:rsidR="00D43085">
        <w:rPr>
          <w:sz w:val="24"/>
          <w:szCs w:val="24"/>
        </w:rPr>
        <w:t>2.1.5.8.1. </w:t>
      </w:r>
      <w:r w:rsidR="000669D8" w:rsidRPr="000669D8">
        <w:rPr>
          <w:sz w:val="24"/>
          <w:szCs w:val="24"/>
        </w:rPr>
        <w:t>punktā noteiktā</w:t>
      </w:r>
      <w:r w:rsidR="00D43085">
        <w:rPr>
          <w:sz w:val="24"/>
          <w:szCs w:val="24"/>
        </w:rPr>
        <w:t>s</w:t>
      </w:r>
      <w:r w:rsidR="000669D8" w:rsidRPr="000669D8">
        <w:rPr>
          <w:sz w:val="24"/>
          <w:szCs w:val="24"/>
        </w:rPr>
        <w:t xml:space="preserve"> prasība</w:t>
      </w:r>
      <w:r w:rsidR="00D43085">
        <w:rPr>
          <w:sz w:val="24"/>
          <w:szCs w:val="24"/>
        </w:rPr>
        <w:t>s</w:t>
      </w:r>
      <w:r w:rsidR="000669D8" w:rsidRPr="000669D8">
        <w:rPr>
          <w:sz w:val="24"/>
          <w:szCs w:val="24"/>
        </w:rPr>
        <w:t xml:space="preserve"> ir objektīvi pamatota</w:t>
      </w:r>
      <w:r w:rsidR="00D43085">
        <w:rPr>
          <w:sz w:val="24"/>
          <w:szCs w:val="24"/>
        </w:rPr>
        <w:t>s</w:t>
      </w:r>
      <w:r w:rsidR="000669D8" w:rsidRPr="000669D8">
        <w:rPr>
          <w:sz w:val="24"/>
          <w:szCs w:val="24"/>
        </w:rPr>
        <w:t>, samērīga</w:t>
      </w:r>
      <w:r w:rsidR="00D43085">
        <w:rPr>
          <w:sz w:val="24"/>
          <w:szCs w:val="24"/>
        </w:rPr>
        <w:t>s</w:t>
      </w:r>
      <w:r w:rsidR="000669D8" w:rsidRPr="000669D8">
        <w:rPr>
          <w:sz w:val="24"/>
          <w:szCs w:val="24"/>
        </w:rPr>
        <w:t xml:space="preserve"> un atbilst Senāta judikatūrā nostiprinātajiem principiem, un tā</w:t>
      </w:r>
      <w:r w:rsidR="00D43085">
        <w:rPr>
          <w:sz w:val="24"/>
          <w:szCs w:val="24"/>
        </w:rPr>
        <w:t>s</w:t>
      </w:r>
      <w:r w:rsidR="000669D8" w:rsidRPr="000669D8">
        <w:rPr>
          <w:sz w:val="24"/>
          <w:szCs w:val="24"/>
        </w:rPr>
        <w:t xml:space="preserve"> netiks grozīta</w:t>
      </w:r>
      <w:r w:rsidR="00D43085">
        <w:rPr>
          <w:sz w:val="24"/>
          <w:szCs w:val="24"/>
        </w:rPr>
        <w:t>s</w:t>
      </w:r>
      <w:r w:rsidR="000669D8" w:rsidRPr="000669D8">
        <w:rPr>
          <w:sz w:val="24"/>
          <w:szCs w:val="24"/>
        </w:rPr>
        <w:t>.</w:t>
      </w:r>
    </w:p>
    <w:p w14:paraId="52EBBF5C" w14:textId="77777777" w:rsidR="000669D8" w:rsidRPr="000669D8" w:rsidRDefault="000669D8" w:rsidP="009A0B38">
      <w:pPr>
        <w:rPr>
          <w:sz w:val="24"/>
          <w:szCs w:val="24"/>
        </w:rPr>
      </w:pPr>
    </w:p>
    <w:p w14:paraId="206DCCCF" w14:textId="77777777" w:rsidR="009A0B38" w:rsidRPr="003C4461" w:rsidRDefault="009A0B38" w:rsidP="009A0B38">
      <w:pPr>
        <w:rPr>
          <w:sz w:val="24"/>
          <w:szCs w:val="24"/>
          <w:lang w:val="nn-NO"/>
        </w:rPr>
      </w:pPr>
    </w:p>
    <w:p w14:paraId="33182C47" w14:textId="093FD081" w:rsidR="009A0B38" w:rsidRPr="003C4461" w:rsidRDefault="009A0B38" w:rsidP="009A0B38">
      <w:pPr>
        <w:rPr>
          <w:b/>
          <w:bCs/>
          <w:sz w:val="24"/>
          <w:szCs w:val="24"/>
          <w:u w:val="single"/>
          <w:lang w:val="nn-NO"/>
        </w:rPr>
      </w:pPr>
      <w:r w:rsidRPr="003C4461">
        <w:rPr>
          <w:b/>
          <w:bCs/>
          <w:sz w:val="24"/>
          <w:szCs w:val="24"/>
          <w:u w:val="single"/>
          <w:lang w:val="nn-NO"/>
        </w:rPr>
        <w:t>Jautājums:</w:t>
      </w:r>
    </w:p>
    <w:p w14:paraId="4A99F3A8" w14:textId="77777777" w:rsidR="009A0B38" w:rsidRPr="003C4461" w:rsidRDefault="009A0B38" w:rsidP="009A0B38">
      <w:pPr>
        <w:pStyle w:val="Sarakstarindkopa"/>
        <w:widowControl/>
        <w:numPr>
          <w:ilvl w:val="0"/>
          <w:numId w:val="13"/>
        </w:numPr>
        <w:autoSpaceDE/>
        <w:autoSpaceDN/>
        <w:spacing w:before="100" w:beforeAutospacing="1" w:after="100" w:afterAutospacing="1"/>
        <w:ind w:left="284"/>
        <w:rPr>
          <w:b/>
          <w:bCs/>
          <w:sz w:val="24"/>
          <w:szCs w:val="24"/>
          <w:lang w:val="nn-NO"/>
        </w:rPr>
      </w:pPr>
      <w:r w:rsidRPr="003C4461">
        <w:rPr>
          <w:b/>
          <w:bCs/>
          <w:sz w:val="24"/>
          <w:szCs w:val="24"/>
          <w:lang w:val="nn-NO"/>
        </w:rPr>
        <w:t>Par Nolikuma 2.1.4.2. punktu.</w:t>
      </w:r>
    </w:p>
    <w:p w14:paraId="0F255751" w14:textId="77777777" w:rsidR="009A0B38" w:rsidRPr="003C4461" w:rsidRDefault="009A0B38" w:rsidP="009D5D30">
      <w:pPr>
        <w:pStyle w:val="Sarakstarindkopa"/>
        <w:spacing w:before="100" w:beforeAutospacing="1" w:after="100" w:afterAutospacing="1"/>
        <w:jc w:val="both"/>
        <w:rPr>
          <w:sz w:val="24"/>
          <w:szCs w:val="24"/>
          <w:lang w:val="nn-NO"/>
        </w:rPr>
      </w:pPr>
      <w:r w:rsidRPr="003C4461">
        <w:rPr>
          <w:sz w:val="24"/>
          <w:szCs w:val="24"/>
          <w:lang w:val="nn-NO"/>
        </w:rPr>
        <w:t xml:space="preserve">Lūdzam Pasūtītāju pārskatīt 2.1.4.2. punktā noteikto prasību attiecībā uz pretendenta pieredzi ēku būvniecībā ar īpatnējo siltumenerģijas patēriņu apkurei, kas nepārsniedz 30 kWh/m² gadā, jo </w:t>
      </w:r>
      <w:r w:rsidRPr="003C4461">
        <w:rPr>
          <w:rFonts w:eastAsia="Aptos"/>
          <w:sz w:val="24"/>
          <w:szCs w:val="24"/>
          <w:lang w:val="nn-NO"/>
        </w:rPr>
        <w:t>esošā redakcija ir nesamērīga esošajam iepirkuma priekšmetam un ir konkurenci ierobežojoša</w:t>
      </w:r>
      <w:r w:rsidRPr="003C4461">
        <w:rPr>
          <w:sz w:val="24"/>
          <w:szCs w:val="24"/>
          <w:lang w:val="nn-NO"/>
        </w:rPr>
        <w:t>.</w:t>
      </w:r>
    </w:p>
    <w:p w14:paraId="26936564" w14:textId="77777777" w:rsidR="009A0B38" w:rsidRPr="003C4461" w:rsidRDefault="009A0B38" w:rsidP="009D5D30">
      <w:pPr>
        <w:spacing w:before="100" w:beforeAutospacing="1" w:after="100" w:afterAutospacing="1"/>
        <w:jc w:val="both"/>
        <w:rPr>
          <w:sz w:val="24"/>
          <w:szCs w:val="24"/>
          <w:lang w:val="nn-NO"/>
        </w:rPr>
      </w:pPr>
      <w:r w:rsidRPr="003C4461">
        <w:rPr>
          <w:sz w:val="24"/>
          <w:szCs w:val="24"/>
          <w:lang w:val="nn-NO"/>
        </w:rPr>
        <w:t>Ņemot vērā to, ka Pasūtītāja Nolikuma p. 2.1.4.2. Noteiktais rādītājs (≤30 kWh/m² gadā) nav tieši sasaistīts ar normatīvajā regulējumā lietotajām energoefektivitātes klasēm un to, ka pasūtītājs ir paredzējis projektēt un būvēt A+ energoegektivitātes klases ēku un</w:t>
      </w:r>
      <w:r w:rsidRPr="003C4461">
        <w:rPr>
          <w:sz w:val="24"/>
          <w:szCs w:val="24"/>
        </w:rPr>
        <w:t xml:space="preserve"> A+ energoefektivitātes klases prasības var tikt izpildītas arī nesasniedzot konkrēto apkures patēriņa līmeni ≤ 30 </w:t>
      </w:r>
      <w:proofErr w:type="spellStart"/>
      <w:r w:rsidRPr="003C4461">
        <w:rPr>
          <w:sz w:val="24"/>
          <w:szCs w:val="24"/>
        </w:rPr>
        <w:t>kWh</w:t>
      </w:r>
      <w:proofErr w:type="spellEnd"/>
      <w:r w:rsidRPr="003C4461">
        <w:rPr>
          <w:sz w:val="24"/>
          <w:szCs w:val="24"/>
        </w:rPr>
        <w:t>/m² gadā,</w:t>
      </w:r>
      <w:r w:rsidRPr="003C4461">
        <w:rPr>
          <w:sz w:val="24"/>
          <w:szCs w:val="24"/>
          <w:lang w:val="nn-NO"/>
        </w:rPr>
        <w:t xml:space="preserve"> </w:t>
      </w:r>
      <w:r w:rsidRPr="003C4461">
        <w:rPr>
          <w:b/>
          <w:bCs/>
          <w:sz w:val="24"/>
          <w:szCs w:val="24"/>
          <w:lang w:val="nn-NO"/>
        </w:rPr>
        <w:t>lūdzam Pasūtītāju precizēt Nolikuma 2.1.4.2. punktu, aizstājot konkrēto siltumenerģijas patēriņa rādītāju ar prasību par pieredzi vismaz vienas A+ energoefektivitātes klases ēkas būvniecībā</w:t>
      </w:r>
      <w:r w:rsidRPr="003C4461">
        <w:rPr>
          <w:sz w:val="24"/>
          <w:szCs w:val="24"/>
          <w:lang w:val="nn-NO"/>
        </w:rPr>
        <w:t>.</w:t>
      </w:r>
    </w:p>
    <w:p w14:paraId="255A3738" w14:textId="77777777" w:rsidR="000F56A2" w:rsidRPr="000F56A2" w:rsidRDefault="000F56A2" w:rsidP="000F56A2">
      <w:pPr>
        <w:jc w:val="both"/>
        <w:rPr>
          <w:rFonts w:eastAsia="Calibri"/>
          <w:b/>
          <w:sz w:val="24"/>
          <w:szCs w:val="24"/>
          <w:u w:val="single"/>
        </w:rPr>
      </w:pPr>
      <w:r w:rsidRPr="000F56A2">
        <w:rPr>
          <w:rFonts w:eastAsia="Calibri"/>
          <w:b/>
          <w:sz w:val="24"/>
          <w:szCs w:val="24"/>
          <w:u w:val="single"/>
        </w:rPr>
        <w:t>Atbilde:</w:t>
      </w:r>
    </w:p>
    <w:p w14:paraId="36AF00C2" w14:textId="74418B75" w:rsidR="000F56A2" w:rsidRPr="000F56A2" w:rsidRDefault="000F56A2" w:rsidP="00D43085">
      <w:pPr>
        <w:ind w:firstLine="720"/>
        <w:jc w:val="both"/>
        <w:rPr>
          <w:rFonts w:eastAsia="Calibri"/>
          <w:bCs/>
          <w:sz w:val="24"/>
          <w:szCs w:val="24"/>
        </w:rPr>
      </w:pPr>
      <w:r>
        <w:rPr>
          <w:rFonts w:eastAsia="Calibri"/>
          <w:bCs/>
          <w:sz w:val="24"/>
          <w:szCs w:val="24"/>
        </w:rPr>
        <w:t>Norādām, ka p</w:t>
      </w:r>
      <w:r w:rsidRPr="000F56A2">
        <w:rPr>
          <w:rFonts w:eastAsia="Calibri"/>
          <w:bCs/>
          <w:sz w:val="24"/>
          <w:szCs w:val="24"/>
        </w:rPr>
        <w:t xml:space="preserve">rojektētas un būvētas tiks </w:t>
      </w:r>
      <w:r w:rsidRPr="000F56A2">
        <w:rPr>
          <w:rFonts w:eastAsia="Calibri"/>
          <w:bCs/>
          <w:sz w:val="24"/>
          <w:szCs w:val="24"/>
          <w:u w:val="single"/>
        </w:rPr>
        <w:t>dzīvojamās ēkas</w:t>
      </w:r>
      <w:r w:rsidRPr="000F56A2">
        <w:rPr>
          <w:rFonts w:eastAsia="Calibri"/>
          <w:bCs/>
          <w:sz w:val="24"/>
          <w:szCs w:val="24"/>
        </w:rPr>
        <w:t xml:space="preserve"> – dažādu sociālo grupu kopdzīves mājas.</w:t>
      </w:r>
      <w:r w:rsidR="00D43085">
        <w:rPr>
          <w:rFonts w:eastAsia="Calibri"/>
          <w:bCs/>
          <w:sz w:val="24"/>
          <w:szCs w:val="24"/>
        </w:rPr>
        <w:t xml:space="preserve"> </w:t>
      </w:r>
      <w:r w:rsidRPr="000F56A2">
        <w:rPr>
          <w:rFonts w:eastAsia="Calibri"/>
          <w:bCs/>
          <w:sz w:val="24"/>
          <w:szCs w:val="24"/>
        </w:rPr>
        <w:t>Atbilstoši Ministru kabineta 08.04.2021. noteikumu Nr. 222 “Ēku energoefektivitātes aprēķina metodes un ēku energosertifikācijas noteikumi” 3. pielikuma 1. tabulā norādītajam A+ ēku energoefektivitātes klasei atbilst dzīvojamās ēkas, t.sk. dažādu sociālo grupu kopdzīves mājas, ar apkurināmo platību virs 250 m</w:t>
      </w:r>
      <w:r w:rsidRPr="000F56A2">
        <w:rPr>
          <w:rFonts w:eastAsia="Calibri"/>
          <w:bCs/>
          <w:sz w:val="24"/>
          <w:szCs w:val="24"/>
          <w:vertAlign w:val="superscript"/>
        </w:rPr>
        <w:t>2</w:t>
      </w:r>
      <w:r w:rsidRPr="000F56A2">
        <w:rPr>
          <w:rFonts w:eastAsia="Calibri"/>
          <w:bCs/>
          <w:sz w:val="24"/>
          <w:szCs w:val="24"/>
        </w:rPr>
        <w:t xml:space="preserve"> ar minimālo pieļaujamo apkures patēriņa references līmeni  </w:t>
      </w:r>
      <w:r w:rsidRPr="000F56A2">
        <w:rPr>
          <w:rFonts w:eastAsia="Calibri"/>
          <w:b/>
          <w:sz w:val="24"/>
          <w:szCs w:val="24"/>
        </w:rPr>
        <w:t>≤ 30 </w:t>
      </w:r>
      <w:proofErr w:type="spellStart"/>
      <w:r w:rsidRPr="000F56A2">
        <w:rPr>
          <w:rFonts w:eastAsia="Calibri"/>
          <w:b/>
          <w:sz w:val="24"/>
          <w:szCs w:val="24"/>
        </w:rPr>
        <w:t>kWh</w:t>
      </w:r>
      <w:proofErr w:type="spellEnd"/>
      <w:r w:rsidRPr="000F56A2">
        <w:rPr>
          <w:rFonts w:eastAsia="Calibri"/>
          <w:b/>
          <w:sz w:val="24"/>
          <w:szCs w:val="24"/>
        </w:rPr>
        <w:t>/m</w:t>
      </w:r>
      <w:r w:rsidRPr="000F56A2">
        <w:rPr>
          <w:rFonts w:eastAsia="Calibri"/>
          <w:b/>
          <w:sz w:val="24"/>
          <w:szCs w:val="24"/>
          <w:vertAlign w:val="superscript"/>
        </w:rPr>
        <w:t>2</w:t>
      </w:r>
      <w:r w:rsidRPr="000F56A2">
        <w:rPr>
          <w:rFonts w:eastAsia="Calibri"/>
          <w:b/>
          <w:sz w:val="24"/>
          <w:szCs w:val="24"/>
        </w:rPr>
        <w:t xml:space="preserve"> gadā</w:t>
      </w:r>
      <w:r w:rsidRPr="000F56A2">
        <w:rPr>
          <w:rFonts w:eastAsia="Calibri"/>
          <w:bCs/>
          <w:sz w:val="24"/>
          <w:szCs w:val="24"/>
        </w:rPr>
        <w:t>.</w:t>
      </w:r>
    </w:p>
    <w:p w14:paraId="72BCF082" w14:textId="0CE1CAAE" w:rsidR="000F56A2" w:rsidRPr="000F56A2" w:rsidRDefault="000F56A2" w:rsidP="00D43085">
      <w:pPr>
        <w:ind w:firstLine="720"/>
        <w:jc w:val="both"/>
        <w:rPr>
          <w:rFonts w:eastAsia="Calibri"/>
          <w:bCs/>
          <w:sz w:val="24"/>
          <w:szCs w:val="24"/>
        </w:rPr>
      </w:pPr>
      <w:r w:rsidRPr="000F56A2">
        <w:rPr>
          <w:rFonts w:eastAsia="Calibri"/>
          <w:bCs/>
          <w:sz w:val="24"/>
          <w:szCs w:val="24"/>
        </w:rPr>
        <w:t xml:space="preserve">Ievērojot minēto, prasības iepirkuma dokumentācijā ir izvirzītas samērīgi un nav pretrunā normatīvajam regulējumam. </w:t>
      </w:r>
    </w:p>
    <w:p w14:paraId="0F10F407" w14:textId="77777777" w:rsidR="004E344E" w:rsidRPr="003C4461" w:rsidRDefault="004E344E" w:rsidP="00EF6707">
      <w:pPr>
        <w:jc w:val="both"/>
        <w:rPr>
          <w:rFonts w:eastAsia="Calibri"/>
          <w:sz w:val="24"/>
          <w:szCs w:val="24"/>
        </w:rPr>
      </w:pPr>
    </w:p>
    <w:sectPr w:rsidR="004E344E" w:rsidRPr="003C4461" w:rsidSect="00D43085">
      <w:pgSz w:w="12240" w:h="15840"/>
      <w:pgMar w:top="993" w:right="720" w:bottom="99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6825"/>
    <w:multiLevelType w:val="hybridMultilevel"/>
    <w:tmpl w:val="321A77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961A2"/>
    <w:multiLevelType w:val="hybridMultilevel"/>
    <w:tmpl w:val="87B248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63369B"/>
    <w:multiLevelType w:val="multilevel"/>
    <w:tmpl w:val="4C222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164EC9"/>
    <w:multiLevelType w:val="multilevel"/>
    <w:tmpl w:val="65388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584EB3"/>
    <w:multiLevelType w:val="multilevel"/>
    <w:tmpl w:val="BC22D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0C5470"/>
    <w:multiLevelType w:val="hybridMultilevel"/>
    <w:tmpl w:val="0568D64E"/>
    <w:lvl w:ilvl="0" w:tplc="B894AD90">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9BF1C16"/>
    <w:multiLevelType w:val="hybridMultilevel"/>
    <w:tmpl w:val="F490FFB8"/>
    <w:lvl w:ilvl="0" w:tplc="080C27C6">
      <w:start w:val="1"/>
      <w:numFmt w:val="decimal"/>
      <w:lvlText w:val="%1."/>
      <w:lvlJc w:val="left"/>
      <w:pPr>
        <w:ind w:left="1080" w:hanging="360"/>
      </w:pPr>
      <w:rPr>
        <w:rFonts w:hint="default"/>
        <w:b/>
        <w:u w:val="single"/>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433631F9"/>
    <w:multiLevelType w:val="multilevel"/>
    <w:tmpl w:val="C4FA5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A23EF1"/>
    <w:multiLevelType w:val="multilevel"/>
    <w:tmpl w:val="3B52112C"/>
    <w:lvl w:ilvl="0">
      <w:start w:val="1"/>
      <w:numFmt w:val="decimal"/>
      <w:lvlText w:val="%1)"/>
      <w:lvlJc w:val="left"/>
      <w:pPr>
        <w:tabs>
          <w:tab w:val="num" w:pos="720"/>
        </w:tabs>
        <w:ind w:left="720" w:hanging="360"/>
      </w:pPr>
      <w:rPr>
        <w:rFonts w:ascii="Aptos" w:eastAsia="Times New Roman" w:hAnsi="Aptos" w:cs="Apto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DC3001"/>
    <w:multiLevelType w:val="multilevel"/>
    <w:tmpl w:val="B38A36EC"/>
    <w:lvl w:ilvl="0">
      <w:start w:val="2"/>
      <w:numFmt w:val="decimal"/>
      <w:lvlText w:val="%1."/>
      <w:lvlJc w:val="left"/>
      <w:pPr>
        <w:ind w:left="1020" w:hanging="1020"/>
      </w:pPr>
      <w:rPr>
        <w:rFonts w:hint="default"/>
      </w:rPr>
    </w:lvl>
    <w:lvl w:ilvl="1">
      <w:start w:val="1"/>
      <w:numFmt w:val="decimal"/>
      <w:lvlText w:val="%1.%2."/>
      <w:lvlJc w:val="left"/>
      <w:pPr>
        <w:ind w:left="1835" w:hanging="1020"/>
      </w:pPr>
      <w:rPr>
        <w:rFonts w:hint="default"/>
      </w:rPr>
    </w:lvl>
    <w:lvl w:ilvl="2">
      <w:start w:val="5"/>
      <w:numFmt w:val="decimal"/>
      <w:lvlText w:val="%1.%2.%3."/>
      <w:lvlJc w:val="left"/>
      <w:pPr>
        <w:ind w:left="2650" w:hanging="1020"/>
      </w:pPr>
      <w:rPr>
        <w:rFonts w:hint="default"/>
      </w:rPr>
    </w:lvl>
    <w:lvl w:ilvl="3">
      <w:start w:val="8"/>
      <w:numFmt w:val="decimal"/>
      <w:lvlText w:val="%1.%2.%3.%4."/>
      <w:lvlJc w:val="left"/>
      <w:pPr>
        <w:ind w:left="3525" w:hanging="1080"/>
      </w:pPr>
      <w:rPr>
        <w:rFonts w:hint="default"/>
      </w:rPr>
    </w:lvl>
    <w:lvl w:ilvl="4">
      <w:start w:val="1"/>
      <w:numFmt w:val="decimal"/>
      <w:lvlText w:val="%1.%2.%3.%4.%5."/>
      <w:lvlJc w:val="left"/>
      <w:pPr>
        <w:ind w:left="4340" w:hanging="1080"/>
      </w:pPr>
      <w:rPr>
        <w:rFonts w:hint="default"/>
      </w:rPr>
    </w:lvl>
    <w:lvl w:ilvl="5">
      <w:start w:val="1"/>
      <w:numFmt w:val="decimal"/>
      <w:lvlText w:val="%1.%2.%3.%4.%5.%6."/>
      <w:lvlJc w:val="left"/>
      <w:pPr>
        <w:ind w:left="5515" w:hanging="1440"/>
      </w:pPr>
      <w:rPr>
        <w:rFonts w:hint="default"/>
      </w:rPr>
    </w:lvl>
    <w:lvl w:ilvl="6">
      <w:start w:val="1"/>
      <w:numFmt w:val="decimal"/>
      <w:lvlText w:val="%1.%2.%3.%4.%5.%6.%7."/>
      <w:lvlJc w:val="left"/>
      <w:pPr>
        <w:ind w:left="6330" w:hanging="1440"/>
      </w:pPr>
      <w:rPr>
        <w:rFonts w:hint="default"/>
      </w:rPr>
    </w:lvl>
    <w:lvl w:ilvl="7">
      <w:start w:val="1"/>
      <w:numFmt w:val="decimal"/>
      <w:lvlText w:val="%1.%2.%3.%4.%5.%6.%7.%8."/>
      <w:lvlJc w:val="left"/>
      <w:pPr>
        <w:ind w:left="7505" w:hanging="1800"/>
      </w:pPr>
      <w:rPr>
        <w:rFonts w:hint="default"/>
      </w:rPr>
    </w:lvl>
    <w:lvl w:ilvl="8">
      <w:start w:val="1"/>
      <w:numFmt w:val="decimal"/>
      <w:lvlText w:val="%1.%2.%3.%4.%5.%6.%7.%8.%9."/>
      <w:lvlJc w:val="left"/>
      <w:pPr>
        <w:ind w:left="8320" w:hanging="1800"/>
      </w:pPr>
      <w:rPr>
        <w:rFonts w:hint="default"/>
      </w:rPr>
    </w:lvl>
  </w:abstractNum>
  <w:abstractNum w:abstractNumId="10" w15:restartNumberingAfterBreak="0">
    <w:nsid w:val="5BC85407"/>
    <w:multiLevelType w:val="multilevel"/>
    <w:tmpl w:val="A73A1066"/>
    <w:lvl w:ilvl="0">
      <w:start w:val="2"/>
      <w:numFmt w:val="decimal"/>
      <w:lvlText w:val="%1."/>
      <w:lvlJc w:val="left"/>
      <w:pPr>
        <w:ind w:left="816" w:hanging="816"/>
      </w:pPr>
      <w:rPr>
        <w:rFonts w:hint="default"/>
        <w:u w:val="single"/>
      </w:rPr>
    </w:lvl>
    <w:lvl w:ilvl="1">
      <w:start w:val="1"/>
      <w:numFmt w:val="decimal"/>
      <w:lvlText w:val="%1.%2."/>
      <w:lvlJc w:val="left"/>
      <w:pPr>
        <w:ind w:left="1288" w:hanging="816"/>
      </w:pPr>
      <w:rPr>
        <w:rFonts w:hint="default"/>
        <w:u w:val="single"/>
      </w:rPr>
    </w:lvl>
    <w:lvl w:ilvl="2">
      <w:start w:val="4"/>
      <w:numFmt w:val="decimal"/>
      <w:lvlText w:val="%1.%2.%3."/>
      <w:lvlJc w:val="left"/>
      <w:pPr>
        <w:ind w:left="1760" w:hanging="816"/>
      </w:pPr>
      <w:rPr>
        <w:rFonts w:hint="default"/>
        <w:u w:val="single"/>
      </w:rPr>
    </w:lvl>
    <w:lvl w:ilvl="3">
      <w:start w:val="3"/>
      <w:numFmt w:val="decimal"/>
      <w:lvlText w:val="%1.%2.%3.%4."/>
      <w:lvlJc w:val="left"/>
      <w:pPr>
        <w:ind w:left="2496" w:hanging="1080"/>
      </w:pPr>
      <w:rPr>
        <w:rFonts w:hint="default"/>
        <w:u w:val="single"/>
      </w:rPr>
    </w:lvl>
    <w:lvl w:ilvl="4">
      <w:start w:val="1"/>
      <w:numFmt w:val="decimal"/>
      <w:lvlText w:val="%1.%2.%3.%4.%5."/>
      <w:lvlJc w:val="left"/>
      <w:pPr>
        <w:ind w:left="2968" w:hanging="1080"/>
      </w:pPr>
      <w:rPr>
        <w:rFonts w:hint="default"/>
        <w:u w:val="single"/>
      </w:rPr>
    </w:lvl>
    <w:lvl w:ilvl="5">
      <w:start w:val="1"/>
      <w:numFmt w:val="decimal"/>
      <w:lvlText w:val="%1.%2.%3.%4.%5.%6."/>
      <w:lvlJc w:val="left"/>
      <w:pPr>
        <w:ind w:left="3800" w:hanging="1440"/>
      </w:pPr>
      <w:rPr>
        <w:rFonts w:hint="default"/>
        <w:u w:val="single"/>
      </w:rPr>
    </w:lvl>
    <w:lvl w:ilvl="6">
      <w:start w:val="1"/>
      <w:numFmt w:val="decimal"/>
      <w:lvlText w:val="%1.%2.%3.%4.%5.%6.%7."/>
      <w:lvlJc w:val="left"/>
      <w:pPr>
        <w:ind w:left="4272" w:hanging="1440"/>
      </w:pPr>
      <w:rPr>
        <w:rFonts w:hint="default"/>
        <w:u w:val="single"/>
      </w:rPr>
    </w:lvl>
    <w:lvl w:ilvl="7">
      <w:start w:val="1"/>
      <w:numFmt w:val="decimal"/>
      <w:lvlText w:val="%1.%2.%3.%4.%5.%6.%7.%8."/>
      <w:lvlJc w:val="left"/>
      <w:pPr>
        <w:ind w:left="5104" w:hanging="1800"/>
      </w:pPr>
      <w:rPr>
        <w:rFonts w:hint="default"/>
        <w:u w:val="single"/>
      </w:rPr>
    </w:lvl>
    <w:lvl w:ilvl="8">
      <w:start w:val="1"/>
      <w:numFmt w:val="decimal"/>
      <w:lvlText w:val="%1.%2.%3.%4.%5.%6.%7.%8.%9."/>
      <w:lvlJc w:val="left"/>
      <w:pPr>
        <w:ind w:left="5576" w:hanging="1800"/>
      </w:pPr>
      <w:rPr>
        <w:rFonts w:hint="default"/>
        <w:u w:val="single"/>
      </w:rPr>
    </w:lvl>
  </w:abstractNum>
  <w:abstractNum w:abstractNumId="11" w15:restartNumberingAfterBreak="0">
    <w:nsid w:val="63714313"/>
    <w:multiLevelType w:val="multilevel"/>
    <w:tmpl w:val="CD12A406"/>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64C40475"/>
    <w:multiLevelType w:val="multilevel"/>
    <w:tmpl w:val="56F8E5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6C567DDA"/>
    <w:multiLevelType w:val="multilevel"/>
    <w:tmpl w:val="D73A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6378420">
    <w:abstractNumId w:val="5"/>
  </w:num>
  <w:num w:numId="2" w16cid:durableId="2005552298">
    <w:abstractNumId w:val="0"/>
  </w:num>
  <w:num w:numId="3" w16cid:durableId="1490248166">
    <w:abstractNumId w:val="6"/>
  </w:num>
  <w:num w:numId="4" w16cid:durableId="1008601557">
    <w:abstractNumId w:val="11"/>
  </w:num>
  <w:num w:numId="5" w16cid:durableId="9432215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0097215">
    <w:abstractNumId w:val="13"/>
  </w:num>
  <w:num w:numId="7" w16cid:durableId="386026200">
    <w:abstractNumId w:val="7"/>
  </w:num>
  <w:num w:numId="8" w16cid:durableId="1604414234">
    <w:abstractNumId w:val="2"/>
  </w:num>
  <w:num w:numId="9" w16cid:durableId="133447502">
    <w:abstractNumId w:val="3"/>
  </w:num>
  <w:num w:numId="10" w16cid:durableId="1807549239">
    <w:abstractNumId w:val="8"/>
  </w:num>
  <w:num w:numId="11" w16cid:durableId="1195732541">
    <w:abstractNumId w:val="10"/>
  </w:num>
  <w:num w:numId="12" w16cid:durableId="677121304">
    <w:abstractNumId w:val="9"/>
  </w:num>
  <w:num w:numId="13" w16cid:durableId="1592004666">
    <w:abstractNumId w:val="1"/>
  </w:num>
  <w:num w:numId="14" w16cid:durableId="15467178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C1C"/>
    <w:rsid w:val="000669D8"/>
    <w:rsid w:val="000A36B9"/>
    <w:rsid w:val="000F56A2"/>
    <w:rsid w:val="003B2AAF"/>
    <w:rsid w:val="003B6E27"/>
    <w:rsid w:val="003B7F68"/>
    <w:rsid w:val="003C4461"/>
    <w:rsid w:val="0043636A"/>
    <w:rsid w:val="00437DC7"/>
    <w:rsid w:val="0044079C"/>
    <w:rsid w:val="004B3BEF"/>
    <w:rsid w:val="004E344E"/>
    <w:rsid w:val="006F40A3"/>
    <w:rsid w:val="007438D9"/>
    <w:rsid w:val="00760223"/>
    <w:rsid w:val="00994E41"/>
    <w:rsid w:val="009A0B38"/>
    <w:rsid w:val="009D5D30"/>
    <w:rsid w:val="00A03980"/>
    <w:rsid w:val="00A20584"/>
    <w:rsid w:val="00A44BAA"/>
    <w:rsid w:val="00AD6A93"/>
    <w:rsid w:val="00B33810"/>
    <w:rsid w:val="00B54FF0"/>
    <w:rsid w:val="00C30EB5"/>
    <w:rsid w:val="00C41195"/>
    <w:rsid w:val="00C4301C"/>
    <w:rsid w:val="00C7174C"/>
    <w:rsid w:val="00C7486A"/>
    <w:rsid w:val="00CA1FB1"/>
    <w:rsid w:val="00D43085"/>
    <w:rsid w:val="00D712BC"/>
    <w:rsid w:val="00D96C1C"/>
    <w:rsid w:val="00E23EA8"/>
    <w:rsid w:val="00EA56F6"/>
    <w:rsid w:val="00EF67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B3510"/>
  <w15:chartTrackingRefBased/>
  <w15:docId w15:val="{17711536-E6CF-4230-8278-46C929161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96C1C"/>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styleId="Virsraksts1">
    <w:name w:val="heading 1"/>
    <w:basedOn w:val="Parasts"/>
    <w:next w:val="Parasts"/>
    <w:link w:val="Virsraksts1Rakstz"/>
    <w:uiPriority w:val="9"/>
    <w:qFormat/>
    <w:rsid w:val="00D96C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96C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96C1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96C1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96C1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96C1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96C1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96C1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96C1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96C1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96C1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96C1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96C1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96C1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96C1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96C1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96C1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96C1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96C1C"/>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96C1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96C1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96C1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96C1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96C1C"/>
    <w:rPr>
      <w:i/>
      <w:iCs/>
      <w:color w:val="404040" w:themeColor="text1" w:themeTint="BF"/>
    </w:rPr>
  </w:style>
  <w:style w:type="paragraph" w:styleId="Sarakstarindkopa">
    <w:name w:val="List Paragraph"/>
    <w:aliases w:val="Strip,H&amp;P List Paragraph,2,Syle 1,Normal bullet 2,Bullet list"/>
    <w:basedOn w:val="Parasts"/>
    <w:link w:val="SarakstarindkopaRakstz"/>
    <w:uiPriority w:val="34"/>
    <w:qFormat/>
    <w:rsid w:val="00D96C1C"/>
    <w:pPr>
      <w:ind w:left="720"/>
      <w:contextualSpacing/>
    </w:pPr>
  </w:style>
  <w:style w:type="character" w:styleId="Intensvsizclums">
    <w:name w:val="Intense Emphasis"/>
    <w:basedOn w:val="Noklusjumarindkopasfonts"/>
    <w:uiPriority w:val="21"/>
    <w:qFormat/>
    <w:rsid w:val="00D96C1C"/>
    <w:rPr>
      <w:i/>
      <w:iCs/>
      <w:color w:val="0F4761" w:themeColor="accent1" w:themeShade="BF"/>
    </w:rPr>
  </w:style>
  <w:style w:type="paragraph" w:styleId="Intensvscitts">
    <w:name w:val="Intense Quote"/>
    <w:basedOn w:val="Parasts"/>
    <w:next w:val="Parasts"/>
    <w:link w:val="IntensvscittsRakstz"/>
    <w:uiPriority w:val="30"/>
    <w:qFormat/>
    <w:rsid w:val="00D96C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96C1C"/>
    <w:rPr>
      <w:i/>
      <w:iCs/>
      <w:color w:val="0F4761" w:themeColor="accent1" w:themeShade="BF"/>
    </w:rPr>
  </w:style>
  <w:style w:type="character" w:styleId="Intensvaatsauce">
    <w:name w:val="Intense Reference"/>
    <w:basedOn w:val="Noklusjumarindkopasfonts"/>
    <w:uiPriority w:val="32"/>
    <w:qFormat/>
    <w:rsid w:val="00D96C1C"/>
    <w:rPr>
      <w:b/>
      <w:bCs/>
      <w:smallCaps/>
      <w:color w:val="0F4761" w:themeColor="accent1" w:themeShade="BF"/>
      <w:spacing w:val="5"/>
    </w:rPr>
  </w:style>
  <w:style w:type="character" w:customStyle="1" w:styleId="SarakstarindkopaRakstz">
    <w:name w:val="Saraksta rindkopa Rakstz."/>
    <w:aliases w:val="Strip Rakstz.,H&amp;P List Paragraph Rakstz.,2 Rakstz.,Syle 1 Rakstz.,Normal bullet 2 Rakstz.,Bullet list Rakstz."/>
    <w:link w:val="Sarakstarindkopa"/>
    <w:uiPriority w:val="34"/>
    <w:locked/>
    <w:rsid w:val="00D96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412312">
      <w:bodyDiv w:val="1"/>
      <w:marLeft w:val="0"/>
      <w:marRight w:val="0"/>
      <w:marTop w:val="0"/>
      <w:marBottom w:val="0"/>
      <w:divBdr>
        <w:top w:val="none" w:sz="0" w:space="0" w:color="auto"/>
        <w:left w:val="none" w:sz="0" w:space="0" w:color="auto"/>
        <w:bottom w:val="none" w:sz="0" w:space="0" w:color="auto"/>
        <w:right w:val="none" w:sz="0" w:space="0" w:color="auto"/>
      </w:divBdr>
      <w:divsChild>
        <w:div w:id="831213479">
          <w:marLeft w:val="0"/>
          <w:marRight w:val="0"/>
          <w:marTop w:val="0"/>
          <w:marBottom w:val="0"/>
          <w:divBdr>
            <w:top w:val="none" w:sz="0" w:space="0" w:color="auto"/>
            <w:left w:val="none" w:sz="0" w:space="0" w:color="auto"/>
            <w:bottom w:val="none" w:sz="0" w:space="0" w:color="auto"/>
            <w:right w:val="none" w:sz="0" w:space="0" w:color="auto"/>
          </w:divBdr>
          <w:divsChild>
            <w:div w:id="2112820016">
              <w:marLeft w:val="0"/>
              <w:marRight w:val="0"/>
              <w:marTop w:val="0"/>
              <w:marBottom w:val="0"/>
              <w:divBdr>
                <w:top w:val="none" w:sz="0" w:space="0" w:color="auto"/>
                <w:left w:val="none" w:sz="0" w:space="0" w:color="auto"/>
                <w:bottom w:val="none" w:sz="0" w:space="0" w:color="auto"/>
                <w:right w:val="none" w:sz="0" w:space="0" w:color="auto"/>
              </w:divBdr>
              <w:divsChild>
                <w:div w:id="1285890514">
                  <w:marLeft w:val="0"/>
                  <w:marRight w:val="0"/>
                  <w:marTop w:val="0"/>
                  <w:marBottom w:val="0"/>
                  <w:divBdr>
                    <w:top w:val="none" w:sz="0" w:space="0" w:color="auto"/>
                    <w:left w:val="none" w:sz="0" w:space="0" w:color="auto"/>
                    <w:bottom w:val="none" w:sz="0" w:space="0" w:color="auto"/>
                    <w:right w:val="none" w:sz="0" w:space="0" w:color="auto"/>
                  </w:divBdr>
                  <w:divsChild>
                    <w:div w:id="57289486">
                      <w:marLeft w:val="0"/>
                      <w:marRight w:val="0"/>
                      <w:marTop w:val="0"/>
                      <w:marBottom w:val="0"/>
                      <w:divBdr>
                        <w:top w:val="none" w:sz="0" w:space="0" w:color="auto"/>
                        <w:left w:val="none" w:sz="0" w:space="0" w:color="auto"/>
                        <w:bottom w:val="none" w:sz="0" w:space="0" w:color="auto"/>
                        <w:right w:val="none" w:sz="0" w:space="0" w:color="auto"/>
                      </w:divBdr>
                      <w:divsChild>
                        <w:div w:id="813764629">
                          <w:marLeft w:val="0"/>
                          <w:marRight w:val="0"/>
                          <w:marTop w:val="0"/>
                          <w:marBottom w:val="0"/>
                          <w:divBdr>
                            <w:top w:val="none" w:sz="0" w:space="0" w:color="auto"/>
                            <w:left w:val="none" w:sz="0" w:space="0" w:color="auto"/>
                            <w:bottom w:val="none" w:sz="0" w:space="0" w:color="auto"/>
                            <w:right w:val="none" w:sz="0" w:space="0" w:color="auto"/>
                          </w:divBdr>
                          <w:divsChild>
                            <w:div w:id="198130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1876938">
          <w:marLeft w:val="0"/>
          <w:marRight w:val="0"/>
          <w:marTop w:val="0"/>
          <w:marBottom w:val="0"/>
          <w:divBdr>
            <w:top w:val="none" w:sz="0" w:space="0" w:color="auto"/>
            <w:left w:val="none" w:sz="0" w:space="0" w:color="auto"/>
            <w:bottom w:val="none" w:sz="0" w:space="0" w:color="auto"/>
            <w:right w:val="none" w:sz="0" w:space="0" w:color="auto"/>
          </w:divBdr>
          <w:divsChild>
            <w:div w:id="1891721987">
              <w:marLeft w:val="0"/>
              <w:marRight w:val="0"/>
              <w:marTop w:val="0"/>
              <w:marBottom w:val="0"/>
              <w:divBdr>
                <w:top w:val="none" w:sz="0" w:space="0" w:color="auto"/>
                <w:left w:val="none" w:sz="0" w:space="0" w:color="auto"/>
                <w:bottom w:val="none" w:sz="0" w:space="0" w:color="auto"/>
                <w:right w:val="none" w:sz="0" w:space="0" w:color="auto"/>
              </w:divBdr>
              <w:divsChild>
                <w:div w:id="1997680436">
                  <w:marLeft w:val="0"/>
                  <w:marRight w:val="0"/>
                  <w:marTop w:val="0"/>
                  <w:marBottom w:val="0"/>
                  <w:divBdr>
                    <w:top w:val="none" w:sz="0" w:space="0" w:color="auto"/>
                    <w:left w:val="none" w:sz="0" w:space="0" w:color="auto"/>
                    <w:bottom w:val="none" w:sz="0" w:space="0" w:color="auto"/>
                    <w:right w:val="none" w:sz="0" w:space="0" w:color="auto"/>
                  </w:divBdr>
                  <w:divsChild>
                    <w:div w:id="2041658318">
                      <w:marLeft w:val="0"/>
                      <w:marRight w:val="0"/>
                      <w:marTop w:val="0"/>
                      <w:marBottom w:val="0"/>
                      <w:divBdr>
                        <w:top w:val="none" w:sz="0" w:space="0" w:color="auto"/>
                        <w:left w:val="none" w:sz="0" w:space="0" w:color="auto"/>
                        <w:bottom w:val="none" w:sz="0" w:space="0" w:color="auto"/>
                        <w:right w:val="none" w:sz="0" w:space="0" w:color="auto"/>
                      </w:divBdr>
                      <w:divsChild>
                        <w:div w:id="873077625">
                          <w:marLeft w:val="0"/>
                          <w:marRight w:val="0"/>
                          <w:marTop w:val="0"/>
                          <w:marBottom w:val="0"/>
                          <w:divBdr>
                            <w:top w:val="none" w:sz="0" w:space="0" w:color="auto"/>
                            <w:left w:val="none" w:sz="0" w:space="0" w:color="auto"/>
                            <w:bottom w:val="none" w:sz="0" w:space="0" w:color="auto"/>
                            <w:right w:val="none" w:sz="0" w:space="0" w:color="auto"/>
                          </w:divBdr>
                          <w:divsChild>
                            <w:div w:id="1057012">
                              <w:marLeft w:val="0"/>
                              <w:marRight w:val="0"/>
                              <w:marTop w:val="0"/>
                              <w:marBottom w:val="0"/>
                              <w:divBdr>
                                <w:top w:val="none" w:sz="0" w:space="0" w:color="auto"/>
                                <w:left w:val="none" w:sz="0" w:space="0" w:color="auto"/>
                                <w:bottom w:val="none" w:sz="0" w:space="0" w:color="auto"/>
                                <w:right w:val="none" w:sz="0" w:space="0" w:color="auto"/>
                              </w:divBdr>
                              <w:divsChild>
                                <w:div w:id="161370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8930093">
          <w:marLeft w:val="0"/>
          <w:marRight w:val="0"/>
          <w:marTop w:val="0"/>
          <w:marBottom w:val="0"/>
          <w:divBdr>
            <w:top w:val="none" w:sz="0" w:space="0" w:color="auto"/>
            <w:left w:val="none" w:sz="0" w:space="0" w:color="auto"/>
            <w:bottom w:val="none" w:sz="0" w:space="0" w:color="auto"/>
            <w:right w:val="none" w:sz="0" w:space="0" w:color="auto"/>
          </w:divBdr>
          <w:divsChild>
            <w:div w:id="1711149947">
              <w:marLeft w:val="0"/>
              <w:marRight w:val="0"/>
              <w:marTop w:val="0"/>
              <w:marBottom w:val="0"/>
              <w:divBdr>
                <w:top w:val="none" w:sz="0" w:space="0" w:color="auto"/>
                <w:left w:val="none" w:sz="0" w:space="0" w:color="auto"/>
                <w:bottom w:val="none" w:sz="0" w:space="0" w:color="auto"/>
                <w:right w:val="none" w:sz="0" w:space="0" w:color="auto"/>
              </w:divBdr>
              <w:divsChild>
                <w:div w:id="1767996170">
                  <w:marLeft w:val="0"/>
                  <w:marRight w:val="0"/>
                  <w:marTop w:val="0"/>
                  <w:marBottom w:val="0"/>
                  <w:divBdr>
                    <w:top w:val="none" w:sz="0" w:space="0" w:color="auto"/>
                    <w:left w:val="none" w:sz="0" w:space="0" w:color="auto"/>
                    <w:bottom w:val="none" w:sz="0" w:space="0" w:color="auto"/>
                    <w:right w:val="none" w:sz="0" w:space="0" w:color="auto"/>
                  </w:divBdr>
                  <w:divsChild>
                    <w:div w:id="1623338931">
                      <w:marLeft w:val="0"/>
                      <w:marRight w:val="0"/>
                      <w:marTop w:val="0"/>
                      <w:marBottom w:val="0"/>
                      <w:divBdr>
                        <w:top w:val="none" w:sz="0" w:space="0" w:color="auto"/>
                        <w:left w:val="none" w:sz="0" w:space="0" w:color="auto"/>
                        <w:bottom w:val="none" w:sz="0" w:space="0" w:color="auto"/>
                        <w:right w:val="none" w:sz="0" w:space="0" w:color="auto"/>
                      </w:divBdr>
                      <w:divsChild>
                        <w:div w:id="1324819091">
                          <w:marLeft w:val="0"/>
                          <w:marRight w:val="0"/>
                          <w:marTop w:val="0"/>
                          <w:marBottom w:val="0"/>
                          <w:divBdr>
                            <w:top w:val="none" w:sz="0" w:space="0" w:color="auto"/>
                            <w:left w:val="none" w:sz="0" w:space="0" w:color="auto"/>
                            <w:bottom w:val="none" w:sz="0" w:space="0" w:color="auto"/>
                            <w:right w:val="none" w:sz="0" w:space="0" w:color="auto"/>
                          </w:divBdr>
                          <w:divsChild>
                            <w:div w:id="111444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0530733">
      <w:bodyDiv w:val="1"/>
      <w:marLeft w:val="0"/>
      <w:marRight w:val="0"/>
      <w:marTop w:val="0"/>
      <w:marBottom w:val="0"/>
      <w:divBdr>
        <w:top w:val="none" w:sz="0" w:space="0" w:color="auto"/>
        <w:left w:val="none" w:sz="0" w:space="0" w:color="auto"/>
        <w:bottom w:val="none" w:sz="0" w:space="0" w:color="auto"/>
        <w:right w:val="none" w:sz="0" w:space="0" w:color="auto"/>
      </w:divBdr>
      <w:divsChild>
        <w:div w:id="471213011">
          <w:marLeft w:val="0"/>
          <w:marRight w:val="0"/>
          <w:marTop w:val="0"/>
          <w:marBottom w:val="0"/>
          <w:divBdr>
            <w:top w:val="none" w:sz="0" w:space="0" w:color="auto"/>
            <w:left w:val="none" w:sz="0" w:space="0" w:color="auto"/>
            <w:bottom w:val="none" w:sz="0" w:space="0" w:color="auto"/>
            <w:right w:val="none" w:sz="0" w:space="0" w:color="auto"/>
          </w:divBdr>
          <w:divsChild>
            <w:div w:id="800147378">
              <w:marLeft w:val="0"/>
              <w:marRight w:val="0"/>
              <w:marTop w:val="0"/>
              <w:marBottom w:val="0"/>
              <w:divBdr>
                <w:top w:val="none" w:sz="0" w:space="0" w:color="auto"/>
                <w:left w:val="none" w:sz="0" w:space="0" w:color="auto"/>
                <w:bottom w:val="none" w:sz="0" w:space="0" w:color="auto"/>
                <w:right w:val="none" w:sz="0" w:space="0" w:color="auto"/>
              </w:divBdr>
              <w:divsChild>
                <w:div w:id="608322499">
                  <w:marLeft w:val="0"/>
                  <w:marRight w:val="0"/>
                  <w:marTop w:val="0"/>
                  <w:marBottom w:val="0"/>
                  <w:divBdr>
                    <w:top w:val="none" w:sz="0" w:space="0" w:color="auto"/>
                    <w:left w:val="none" w:sz="0" w:space="0" w:color="auto"/>
                    <w:bottom w:val="none" w:sz="0" w:space="0" w:color="auto"/>
                    <w:right w:val="none" w:sz="0" w:space="0" w:color="auto"/>
                  </w:divBdr>
                  <w:divsChild>
                    <w:div w:id="2042048983">
                      <w:marLeft w:val="0"/>
                      <w:marRight w:val="0"/>
                      <w:marTop w:val="0"/>
                      <w:marBottom w:val="0"/>
                      <w:divBdr>
                        <w:top w:val="none" w:sz="0" w:space="0" w:color="auto"/>
                        <w:left w:val="none" w:sz="0" w:space="0" w:color="auto"/>
                        <w:bottom w:val="none" w:sz="0" w:space="0" w:color="auto"/>
                        <w:right w:val="none" w:sz="0" w:space="0" w:color="auto"/>
                      </w:divBdr>
                      <w:divsChild>
                        <w:div w:id="410851463">
                          <w:marLeft w:val="0"/>
                          <w:marRight w:val="0"/>
                          <w:marTop w:val="0"/>
                          <w:marBottom w:val="0"/>
                          <w:divBdr>
                            <w:top w:val="none" w:sz="0" w:space="0" w:color="auto"/>
                            <w:left w:val="none" w:sz="0" w:space="0" w:color="auto"/>
                            <w:bottom w:val="none" w:sz="0" w:space="0" w:color="auto"/>
                            <w:right w:val="none" w:sz="0" w:space="0" w:color="auto"/>
                          </w:divBdr>
                          <w:divsChild>
                            <w:div w:id="84856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3769722">
          <w:marLeft w:val="0"/>
          <w:marRight w:val="0"/>
          <w:marTop w:val="0"/>
          <w:marBottom w:val="0"/>
          <w:divBdr>
            <w:top w:val="none" w:sz="0" w:space="0" w:color="auto"/>
            <w:left w:val="none" w:sz="0" w:space="0" w:color="auto"/>
            <w:bottom w:val="none" w:sz="0" w:space="0" w:color="auto"/>
            <w:right w:val="none" w:sz="0" w:space="0" w:color="auto"/>
          </w:divBdr>
          <w:divsChild>
            <w:div w:id="262692059">
              <w:marLeft w:val="0"/>
              <w:marRight w:val="0"/>
              <w:marTop w:val="0"/>
              <w:marBottom w:val="0"/>
              <w:divBdr>
                <w:top w:val="none" w:sz="0" w:space="0" w:color="auto"/>
                <w:left w:val="none" w:sz="0" w:space="0" w:color="auto"/>
                <w:bottom w:val="none" w:sz="0" w:space="0" w:color="auto"/>
                <w:right w:val="none" w:sz="0" w:space="0" w:color="auto"/>
              </w:divBdr>
              <w:divsChild>
                <w:div w:id="1713650185">
                  <w:marLeft w:val="0"/>
                  <w:marRight w:val="0"/>
                  <w:marTop w:val="0"/>
                  <w:marBottom w:val="0"/>
                  <w:divBdr>
                    <w:top w:val="none" w:sz="0" w:space="0" w:color="auto"/>
                    <w:left w:val="none" w:sz="0" w:space="0" w:color="auto"/>
                    <w:bottom w:val="none" w:sz="0" w:space="0" w:color="auto"/>
                    <w:right w:val="none" w:sz="0" w:space="0" w:color="auto"/>
                  </w:divBdr>
                  <w:divsChild>
                    <w:div w:id="820656555">
                      <w:marLeft w:val="0"/>
                      <w:marRight w:val="0"/>
                      <w:marTop w:val="0"/>
                      <w:marBottom w:val="0"/>
                      <w:divBdr>
                        <w:top w:val="none" w:sz="0" w:space="0" w:color="auto"/>
                        <w:left w:val="none" w:sz="0" w:space="0" w:color="auto"/>
                        <w:bottom w:val="none" w:sz="0" w:space="0" w:color="auto"/>
                        <w:right w:val="none" w:sz="0" w:space="0" w:color="auto"/>
                      </w:divBdr>
                      <w:divsChild>
                        <w:div w:id="1639339943">
                          <w:marLeft w:val="0"/>
                          <w:marRight w:val="0"/>
                          <w:marTop w:val="0"/>
                          <w:marBottom w:val="0"/>
                          <w:divBdr>
                            <w:top w:val="none" w:sz="0" w:space="0" w:color="auto"/>
                            <w:left w:val="none" w:sz="0" w:space="0" w:color="auto"/>
                            <w:bottom w:val="none" w:sz="0" w:space="0" w:color="auto"/>
                            <w:right w:val="none" w:sz="0" w:space="0" w:color="auto"/>
                          </w:divBdr>
                          <w:divsChild>
                            <w:div w:id="1600139974">
                              <w:marLeft w:val="0"/>
                              <w:marRight w:val="0"/>
                              <w:marTop w:val="0"/>
                              <w:marBottom w:val="0"/>
                              <w:divBdr>
                                <w:top w:val="none" w:sz="0" w:space="0" w:color="auto"/>
                                <w:left w:val="none" w:sz="0" w:space="0" w:color="auto"/>
                                <w:bottom w:val="none" w:sz="0" w:space="0" w:color="auto"/>
                                <w:right w:val="none" w:sz="0" w:space="0" w:color="auto"/>
                              </w:divBdr>
                              <w:divsChild>
                                <w:div w:id="169457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510286">
          <w:marLeft w:val="0"/>
          <w:marRight w:val="0"/>
          <w:marTop w:val="0"/>
          <w:marBottom w:val="0"/>
          <w:divBdr>
            <w:top w:val="none" w:sz="0" w:space="0" w:color="auto"/>
            <w:left w:val="none" w:sz="0" w:space="0" w:color="auto"/>
            <w:bottom w:val="none" w:sz="0" w:space="0" w:color="auto"/>
            <w:right w:val="none" w:sz="0" w:space="0" w:color="auto"/>
          </w:divBdr>
          <w:divsChild>
            <w:div w:id="2062173781">
              <w:marLeft w:val="0"/>
              <w:marRight w:val="0"/>
              <w:marTop w:val="0"/>
              <w:marBottom w:val="0"/>
              <w:divBdr>
                <w:top w:val="none" w:sz="0" w:space="0" w:color="auto"/>
                <w:left w:val="none" w:sz="0" w:space="0" w:color="auto"/>
                <w:bottom w:val="none" w:sz="0" w:space="0" w:color="auto"/>
                <w:right w:val="none" w:sz="0" w:space="0" w:color="auto"/>
              </w:divBdr>
              <w:divsChild>
                <w:div w:id="440299588">
                  <w:marLeft w:val="0"/>
                  <w:marRight w:val="0"/>
                  <w:marTop w:val="0"/>
                  <w:marBottom w:val="0"/>
                  <w:divBdr>
                    <w:top w:val="none" w:sz="0" w:space="0" w:color="auto"/>
                    <w:left w:val="none" w:sz="0" w:space="0" w:color="auto"/>
                    <w:bottom w:val="none" w:sz="0" w:space="0" w:color="auto"/>
                    <w:right w:val="none" w:sz="0" w:space="0" w:color="auto"/>
                  </w:divBdr>
                  <w:divsChild>
                    <w:div w:id="1296178759">
                      <w:marLeft w:val="0"/>
                      <w:marRight w:val="0"/>
                      <w:marTop w:val="0"/>
                      <w:marBottom w:val="0"/>
                      <w:divBdr>
                        <w:top w:val="none" w:sz="0" w:space="0" w:color="auto"/>
                        <w:left w:val="none" w:sz="0" w:space="0" w:color="auto"/>
                        <w:bottom w:val="none" w:sz="0" w:space="0" w:color="auto"/>
                        <w:right w:val="none" w:sz="0" w:space="0" w:color="auto"/>
                      </w:divBdr>
                      <w:divsChild>
                        <w:div w:id="512913501">
                          <w:marLeft w:val="0"/>
                          <w:marRight w:val="0"/>
                          <w:marTop w:val="0"/>
                          <w:marBottom w:val="0"/>
                          <w:divBdr>
                            <w:top w:val="none" w:sz="0" w:space="0" w:color="auto"/>
                            <w:left w:val="none" w:sz="0" w:space="0" w:color="auto"/>
                            <w:bottom w:val="none" w:sz="0" w:space="0" w:color="auto"/>
                            <w:right w:val="none" w:sz="0" w:space="0" w:color="auto"/>
                          </w:divBdr>
                          <w:divsChild>
                            <w:div w:id="49769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3714012">
      <w:bodyDiv w:val="1"/>
      <w:marLeft w:val="0"/>
      <w:marRight w:val="0"/>
      <w:marTop w:val="0"/>
      <w:marBottom w:val="0"/>
      <w:divBdr>
        <w:top w:val="none" w:sz="0" w:space="0" w:color="auto"/>
        <w:left w:val="none" w:sz="0" w:space="0" w:color="auto"/>
        <w:bottom w:val="none" w:sz="0" w:space="0" w:color="auto"/>
        <w:right w:val="none" w:sz="0" w:space="0" w:color="auto"/>
      </w:divBdr>
    </w:div>
    <w:div w:id="579100606">
      <w:bodyDiv w:val="1"/>
      <w:marLeft w:val="0"/>
      <w:marRight w:val="0"/>
      <w:marTop w:val="0"/>
      <w:marBottom w:val="0"/>
      <w:divBdr>
        <w:top w:val="none" w:sz="0" w:space="0" w:color="auto"/>
        <w:left w:val="none" w:sz="0" w:space="0" w:color="auto"/>
        <w:bottom w:val="none" w:sz="0" w:space="0" w:color="auto"/>
        <w:right w:val="none" w:sz="0" w:space="0" w:color="auto"/>
      </w:divBdr>
    </w:div>
    <w:div w:id="1146358216">
      <w:bodyDiv w:val="1"/>
      <w:marLeft w:val="0"/>
      <w:marRight w:val="0"/>
      <w:marTop w:val="0"/>
      <w:marBottom w:val="0"/>
      <w:divBdr>
        <w:top w:val="none" w:sz="0" w:space="0" w:color="auto"/>
        <w:left w:val="none" w:sz="0" w:space="0" w:color="auto"/>
        <w:bottom w:val="none" w:sz="0" w:space="0" w:color="auto"/>
        <w:right w:val="none" w:sz="0" w:space="0" w:color="auto"/>
      </w:divBdr>
    </w:div>
    <w:div w:id="1590237346">
      <w:bodyDiv w:val="1"/>
      <w:marLeft w:val="0"/>
      <w:marRight w:val="0"/>
      <w:marTop w:val="0"/>
      <w:marBottom w:val="0"/>
      <w:divBdr>
        <w:top w:val="none" w:sz="0" w:space="0" w:color="auto"/>
        <w:left w:val="none" w:sz="0" w:space="0" w:color="auto"/>
        <w:bottom w:val="none" w:sz="0" w:space="0" w:color="auto"/>
        <w:right w:val="none" w:sz="0" w:space="0" w:color="auto"/>
      </w:divBdr>
    </w:div>
    <w:div w:id="1627196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7875</Words>
  <Characters>4489</Characters>
  <Application>Microsoft Office Word</Application>
  <DocSecurity>0</DocSecurity>
  <Lines>37</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Dimante</dc:creator>
  <cp:keywords/>
  <dc:description/>
  <cp:lastModifiedBy>Edgars Apse</cp:lastModifiedBy>
  <cp:revision>2</cp:revision>
  <dcterms:created xsi:type="dcterms:W3CDTF">2026-04-10T12:29:00Z</dcterms:created>
  <dcterms:modified xsi:type="dcterms:W3CDTF">2026-04-10T12:29:00Z</dcterms:modified>
</cp:coreProperties>
</file>