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investīciju un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90001739473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Pētījums “Ilgtspējības un kvalitātes vadlīnijas” Interreg New Nordic projekta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LIAA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piedavajums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FlowHouse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14:18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09:18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Ecosystem solutions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17:30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Sustainability partners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10:19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