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00E3D" w14:textId="46103833" w:rsidR="00AD5CA1" w:rsidRPr="00E43151" w:rsidRDefault="00AD5CA1" w:rsidP="00AD5CA1">
      <w:pPr>
        <w:jc w:val="center"/>
        <w:rPr>
          <w:rFonts w:ascii="Century Gothic" w:hAnsi="Century Gothic"/>
          <w:b/>
          <w:sz w:val="20"/>
          <w:szCs w:val="20"/>
        </w:rPr>
      </w:pPr>
      <w:r w:rsidRPr="00E43151">
        <w:rPr>
          <w:rFonts w:ascii="Century Gothic" w:hAnsi="Century Gothic"/>
          <w:b/>
          <w:sz w:val="20"/>
          <w:szCs w:val="20"/>
        </w:rPr>
        <w:t>ATKLĀT</w:t>
      </w:r>
      <w:r>
        <w:rPr>
          <w:rFonts w:ascii="Century Gothic" w:hAnsi="Century Gothic"/>
          <w:b/>
          <w:sz w:val="20"/>
          <w:szCs w:val="20"/>
        </w:rPr>
        <w:t>S</w:t>
      </w:r>
      <w:r w:rsidRPr="00E43151">
        <w:rPr>
          <w:rFonts w:ascii="Century Gothic" w:hAnsi="Century Gothic"/>
          <w:b/>
          <w:sz w:val="20"/>
          <w:szCs w:val="20"/>
        </w:rPr>
        <w:t xml:space="preserve"> KONKURS</w:t>
      </w:r>
      <w:r>
        <w:rPr>
          <w:rFonts w:ascii="Century Gothic" w:hAnsi="Century Gothic"/>
          <w:b/>
          <w:sz w:val="20"/>
          <w:szCs w:val="20"/>
        </w:rPr>
        <w:t>S</w:t>
      </w:r>
      <w:r w:rsidRPr="00E43151">
        <w:rPr>
          <w:rFonts w:ascii="Century Gothic" w:hAnsi="Century Gothic"/>
          <w:b/>
          <w:sz w:val="20"/>
          <w:szCs w:val="20"/>
        </w:rPr>
        <w:t xml:space="preserve"> </w:t>
      </w:r>
    </w:p>
    <w:p w14:paraId="3176CCB3" w14:textId="77777777" w:rsidR="00E21B29" w:rsidRPr="00CB38FC" w:rsidRDefault="00E21B29" w:rsidP="00E21B29">
      <w:pPr>
        <w:jc w:val="center"/>
        <w:rPr>
          <w:rFonts w:ascii="Century Gothic" w:hAnsi="Century Gothic"/>
          <w:b/>
        </w:rPr>
      </w:pPr>
      <w:r w:rsidRPr="00CB38FC">
        <w:rPr>
          <w:rFonts w:ascii="Century Gothic" w:hAnsi="Century Gothic"/>
          <w:b/>
        </w:rPr>
        <w:t>„Par AS “Attīstības finanšu institūcija ALTUM” 202</w:t>
      </w:r>
      <w:r>
        <w:rPr>
          <w:rFonts w:ascii="Century Gothic" w:hAnsi="Century Gothic"/>
          <w:b/>
        </w:rPr>
        <w:t>6</w:t>
      </w:r>
      <w:r w:rsidRPr="00CB38FC">
        <w:rPr>
          <w:rFonts w:ascii="Century Gothic" w:hAnsi="Century Gothic"/>
          <w:b/>
        </w:rPr>
        <w:t>.gada</w:t>
      </w:r>
      <w:r>
        <w:rPr>
          <w:rFonts w:ascii="Century Gothic" w:hAnsi="Century Gothic"/>
          <w:b/>
        </w:rPr>
        <w:t>, 2027.gada un 2028.gada</w:t>
      </w:r>
      <w:r w:rsidRPr="00CB38FC">
        <w:rPr>
          <w:rFonts w:ascii="Century Gothic" w:hAnsi="Century Gothic"/>
          <w:b/>
        </w:rPr>
        <w:t xml:space="preserve"> finanšu pārskatu revīziju”</w:t>
      </w:r>
    </w:p>
    <w:p w14:paraId="3220FD18" w14:textId="3597BD67" w:rsidR="00BA11CF" w:rsidRDefault="00E21B29" w:rsidP="00E21B29">
      <w:pPr>
        <w:spacing w:after="0" w:line="240" w:lineRule="auto"/>
        <w:ind w:right="356"/>
        <w:jc w:val="center"/>
        <w:rPr>
          <w:rFonts w:ascii="Century Gothic" w:hAnsi="Century Gothic"/>
          <w:b/>
          <w:sz w:val="20"/>
          <w:szCs w:val="20"/>
        </w:rPr>
      </w:pPr>
      <w:r w:rsidRPr="00597EE3">
        <w:rPr>
          <w:rFonts w:ascii="Century Gothic" w:hAnsi="Century Gothic"/>
          <w:b/>
        </w:rPr>
        <w:t xml:space="preserve">identifikācijas Nr. </w:t>
      </w:r>
      <w:r w:rsidRPr="005E4E7A">
        <w:rPr>
          <w:rFonts w:ascii="Century Gothic" w:hAnsi="Century Gothic"/>
          <w:b/>
        </w:rPr>
        <w:t>ALTUM 2026/</w:t>
      </w:r>
      <w:r>
        <w:rPr>
          <w:rFonts w:ascii="Century Gothic" w:hAnsi="Century Gothic"/>
          <w:b/>
        </w:rPr>
        <w:t>7</w:t>
      </w:r>
      <w:r w:rsidRPr="005E4E7A">
        <w:rPr>
          <w:rFonts w:ascii="Century Gothic" w:hAnsi="Century Gothic"/>
          <w:b/>
        </w:rPr>
        <w:t>/GD</w:t>
      </w:r>
    </w:p>
    <w:p w14:paraId="4461BE64" w14:textId="77777777" w:rsidR="00F95C7A" w:rsidRDefault="00F95C7A" w:rsidP="00F95C7A">
      <w:pPr>
        <w:spacing w:after="0" w:line="240" w:lineRule="auto"/>
        <w:ind w:right="356"/>
        <w:rPr>
          <w:rFonts w:ascii="Century Gothic" w:hAnsi="Century Gothic"/>
          <w:b/>
          <w:sz w:val="20"/>
          <w:szCs w:val="20"/>
        </w:rPr>
      </w:pPr>
    </w:p>
    <w:p w14:paraId="341496FB" w14:textId="77777777" w:rsidR="00F95C7A" w:rsidRDefault="00F95C7A" w:rsidP="000B6F7C">
      <w:pPr>
        <w:spacing w:after="0" w:line="240" w:lineRule="auto"/>
        <w:ind w:right="356"/>
        <w:jc w:val="center"/>
        <w:rPr>
          <w:rFonts w:ascii="Century Gothic" w:hAnsi="Century Gothic"/>
          <w:b/>
          <w:sz w:val="20"/>
          <w:szCs w:val="20"/>
        </w:rPr>
      </w:pPr>
    </w:p>
    <w:p w14:paraId="09454836" w14:textId="3A754A0C" w:rsidR="00BA11CF" w:rsidRDefault="00BA11CF" w:rsidP="00BA11CF">
      <w:pPr>
        <w:spacing w:after="0" w:line="240" w:lineRule="auto"/>
        <w:ind w:right="356"/>
        <w:rPr>
          <w:rFonts w:ascii="Century Gothic" w:hAnsi="Century Gothic" w:cs="Times New Roman"/>
          <w:sz w:val="20"/>
          <w:szCs w:val="20"/>
        </w:rPr>
      </w:pPr>
      <w:r w:rsidRPr="7D177B55">
        <w:rPr>
          <w:rFonts w:ascii="Century Gothic" w:hAnsi="Century Gothic" w:cs="Times New Roman"/>
          <w:sz w:val="20"/>
          <w:szCs w:val="20"/>
        </w:rPr>
        <w:t>Rīgā, 202</w:t>
      </w:r>
      <w:r w:rsidR="004621E2">
        <w:rPr>
          <w:rFonts w:ascii="Century Gothic" w:hAnsi="Century Gothic" w:cs="Times New Roman"/>
          <w:sz w:val="20"/>
          <w:szCs w:val="20"/>
        </w:rPr>
        <w:t>6</w:t>
      </w:r>
      <w:r w:rsidRPr="7D177B55">
        <w:rPr>
          <w:rFonts w:ascii="Century Gothic" w:hAnsi="Century Gothic" w:cs="Times New Roman"/>
          <w:sz w:val="20"/>
          <w:szCs w:val="20"/>
        </w:rPr>
        <w:t xml:space="preserve">. gada </w:t>
      </w:r>
      <w:r w:rsidR="00806038">
        <w:rPr>
          <w:rFonts w:ascii="Century Gothic" w:hAnsi="Century Gothic" w:cs="Times New Roman"/>
          <w:sz w:val="20"/>
          <w:szCs w:val="20"/>
        </w:rPr>
        <w:t>30.jūnijā</w:t>
      </w:r>
      <w:r w:rsidR="3FD1F38B" w:rsidRPr="7D177B55">
        <w:rPr>
          <w:rFonts w:ascii="Century Gothic" w:hAnsi="Century Gothic" w:cs="Times New Roman"/>
          <w:sz w:val="20"/>
          <w:szCs w:val="20"/>
        </w:rPr>
        <w:t xml:space="preserve"> </w:t>
      </w:r>
    </w:p>
    <w:p w14:paraId="5DB37516" w14:textId="4FD1791A" w:rsidR="00BA11CF" w:rsidRDefault="00BA11CF" w:rsidP="00BA11CF">
      <w:pPr>
        <w:spacing w:after="0" w:line="240" w:lineRule="auto"/>
        <w:ind w:right="356"/>
        <w:rPr>
          <w:rFonts w:ascii="Century Gothic" w:hAnsi="Century Gothic" w:cs="Times New Roman"/>
          <w:sz w:val="20"/>
          <w:szCs w:val="20"/>
        </w:rPr>
      </w:pPr>
    </w:p>
    <w:tbl>
      <w:tblPr>
        <w:tblStyle w:val="TableGrid0"/>
        <w:tblW w:w="13444" w:type="dxa"/>
        <w:tblLook w:val="04A0" w:firstRow="1" w:lastRow="0" w:firstColumn="1" w:lastColumn="0" w:noHBand="0" w:noVBand="1"/>
      </w:tblPr>
      <w:tblGrid>
        <w:gridCol w:w="1980"/>
        <w:gridCol w:w="6520"/>
        <w:gridCol w:w="4944"/>
      </w:tblGrid>
      <w:tr w:rsidR="00E21B29" w:rsidRPr="00E21B29" w14:paraId="7CF55B31" w14:textId="77777777" w:rsidTr="00806038">
        <w:tc>
          <w:tcPr>
            <w:tcW w:w="1980" w:type="dxa"/>
          </w:tcPr>
          <w:p w14:paraId="07DFBFBA" w14:textId="26162666" w:rsidR="00E21B29" w:rsidRPr="00E21B29" w:rsidRDefault="00E21B29" w:rsidP="0099563B">
            <w:pPr>
              <w:rPr>
                <w:rFonts w:ascii="Century Gothic" w:hAnsi="Century Gothic" w:cs="Times New Roman"/>
                <w:b/>
                <w:sz w:val="18"/>
                <w:szCs w:val="18"/>
              </w:rPr>
            </w:pPr>
            <w:r w:rsidRPr="00E21B29">
              <w:rPr>
                <w:rFonts w:ascii="Century Gothic" w:hAnsi="Century Gothic" w:cs="Times New Roman"/>
                <w:b/>
                <w:sz w:val="18"/>
                <w:szCs w:val="18"/>
              </w:rPr>
              <w:t>Dokuments, punkts</w:t>
            </w:r>
          </w:p>
        </w:tc>
        <w:tc>
          <w:tcPr>
            <w:tcW w:w="6520" w:type="dxa"/>
          </w:tcPr>
          <w:p w14:paraId="1D017BD5" w14:textId="03C3C16A" w:rsidR="00E21B29" w:rsidRPr="00E21B29" w:rsidRDefault="00E21B29" w:rsidP="0099563B">
            <w:pPr>
              <w:rPr>
                <w:rFonts w:ascii="Century Gothic" w:hAnsi="Century Gothic" w:cs="Times New Roman"/>
                <w:b/>
                <w:sz w:val="18"/>
                <w:szCs w:val="18"/>
              </w:rPr>
            </w:pPr>
            <w:r w:rsidRPr="00E21B29">
              <w:rPr>
                <w:rFonts w:ascii="Century Gothic" w:hAnsi="Century Gothic" w:cs="Times New Roman"/>
                <w:b/>
                <w:sz w:val="18"/>
                <w:szCs w:val="18"/>
              </w:rPr>
              <w:t>Jautājums</w:t>
            </w:r>
          </w:p>
        </w:tc>
        <w:tc>
          <w:tcPr>
            <w:tcW w:w="4944" w:type="dxa"/>
          </w:tcPr>
          <w:p w14:paraId="488DA4BA" w14:textId="54E3D53E" w:rsidR="00E21B29" w:rsidRPr="00E21B29" w:rsidRDefault="00E21B29" w:rsidP="0099563B">
            <w:pPr>
              <w:rPr>
                <w:rFonts w:ascii="Century Gothic" w:hAnsi="Century Gothic" w:cs="Times New Roman"/>
                <w:b/>
                <w:sz w:val="18"/>
                <w:szCs w:val="18"/>
              </w:rPr>
            </w:pPr>
            <w:r w:rsidRPr="00E21B29">
              <w:rPr>
                <w:rFonts w:ascii="Century Gothic" w:hAnsi="Century Gothic" w:cs="Arial"/>
                <w:b/>
                <w:color w:val="414142"/>
                <w:sz w:val="18"/>
                <w:szCs w:val="18"/>
                <w:shd w:val="clear" w:color="auto" w:fill="FFFFFF"/>
              </w:rPr>
              <w:t>Atbilde</w:t>
            </w:r>
          </w:p>
        </w:tc>
      </w:tr>
      <w:tr w:rsidR="00E21B29" w:rsidRPr="00076880" w14:paraId="1BC2E5BF" w14:textId="77777777" w:rsidTr="00806038">
        <w:trPr>
          <w:trHeight w:val="1567"/>
        </w:trPr>
        <w:tc>
          <w:tcPr>
            <w:tcW w:w="1980" w:type="dxa"/>
          </w:tcPr>
          <w:p w14:paraId="5C627225" w14:textId="57E2F972" w:rsidR="00E21B29" w:rsidRPr="004621E2" w:rsidRDefault="00E21B29" w:rsidP="0099563B">
            <w:pPr>
              <w:rPr>
                <w:rFonts w:ascii="Century Gothic" w:hAnsi="Century Gothic"/>
                <w:sz w:val="20"/>
                <w:szCs w:val="20"/>
              </w:rPr>
            </w:pPr>
            <w:r>
              <w:rPr>
                <w:rFonts w:ascii="Century Gothic" w:hAnsi="Century Gothic" w:cs="Times New Roman"/>
                <w:sz w:val="20"/>
                <w:szCs w:val="20"/>
              </w:rPr>
              <w:t xml:space="preserve">Iepirkuma </w:t>
            </w:r>
            <w:r w:rsidRPr="0000382D">
              <w:rPr>
                <w:rFonts w:ascii="Century Gothic" w:hAnsi="Century Gothic" w:cs="Times New Roman"/>
                <w:iCs/>
                <w:sz w:val="20"/>
                <w:szCs w:val="20"/>
              </w:rPr>
              <w:t>līguma projekta 8.9. punkt</w:t>
            </w:r>
            <w:r>
              <w:rPr>
                <w:rFonts w:ascii="Century Gothic" w:hAnsi="Century Gothic" w:cs="Times New Roman"/>
                <w:iCs/>
                <w:sz w:val="20"/>
                <w:szCs w:val="20"/>
              </w:rPr>
              <w:t>s</w:t>
            </w:r>
          </w:p>
        </w:tc>
        <w:tc>
          <w:tcPr>
            <w:tcW w:w="6520" w:type="dxa"/>
          </w:tcPr>
          <w:p w14:paraId="4771A339" w14:textId="5C125ED1" w:rsidR="00E21B29" w:rsidRPr="0000382D" w:rsidRDefault="00E21B29" w:rsidP="00E21B29">
            <w:pPr>
              <w:keepNext/>
              <w:keepLines/>
              <w:autoSpaceDE w:val="0"/>
              <w:autoSpaceDN w:val="0"/>
              <w:adjustRightInd w:val="0"/>
              <w:ind w:left="28" w:right="113"/>
              <w:jc w:val="both"/>
              <w:rPr>
                <w:rFonts w:ascii="Century Gothic" w:hAnsi="Century Gothic" w:cs="Times New Roman"/>
                <w:iCs/>
                <w:sz w:val="20"/>
                <w:szCs w:val="20"/>
              </w:rPr>
            </w:pPr>
            <w:r>
              <w:rPr>
                <w:rFonts w:ascii="Century Gothic" w:hAnsi="Century Gothic" w:cs="Times New Roman"/>
                <w:iCs/>
                <w:sz w:val="20"/>
                <w:szCs w:val="20"/>
              </w:rPr>
              <w:t>L</w:t>
            </w:r>
            <w:r w:rsidRPr="0000382D">
              <w:rPr>
                <w:rFonts w:ascii="Century Gothic" w:hAnsi="Century Gothic" w:cs="Times New Roman"/>
                <w:iCs/>
                <w:sz w:val="20"/>
                <w:szCs w:val="20"/>
              </w:rPr>
              <w:t>ūdz</w:t>
            </w:r>
            <w:r>
              <w:rPr>
                <w:rFonts w:ascii="Century Gothic" w:hAnsi="Century Gothic" w:cs="Times New Roman"/>
                <w:iCs/>
                <w:sz w:val="20"/>
                <w:szCs w:val="20"/>
              </w:rPr>
              <w:t>am</w:t>
            </w:r>
            <w:r w:rsidRPr="0000382D">
              <w:rPr>
                <w:rFonts w:ascii="Century Gothic" w:hAnsi="Century Gothic" w:cs="Times New Roman"/>
                <w:iCs/>
                <w:sz w:val="20"/>
                <w:szCs w:val="20"/>
              </w:rPr>
              <w:t xml:space="preserve"> izvērtēt turpmāk norādītos apsvērumus un, ievērojot iepirkuma priekšmeta specifiku un piemērojamo normatīvo regulējumu, rast iespēju precizēt atklāta konkursa nolikumam pievienotā līguma projekta nosacījumus, nosakot revidenta atbildības maksimālo apmēru.</w:t>
            </w:r>
          </w:p>
          <w:p w14:paraId="38384814" w14:textId="141DF37B" w:rsidR="00E21B29" w:rsidRPr="0000382D" w:rsidRDefault="00E21B29" w:rsidP="00E21B29">
            <w:pPr>
              <w:keepNext/>
              <w:keepLines/>
              <w:autoSpaceDE w:val="0"/>
              <w:autoSpaceDN w:val="0"/>
              <w:adjustRightInd w:val="0"/>
              <w:ind w:left="28" w:right="113"/>
              <w:jc w:val="both"/>
              <w:rPr>
                <w:rFonts w:ascii="Century Gothic" w:hAnsi="Century Gothic" w:cs="Times New Roman"/>
                <w:iCs/>
                <w:sz w:val="20"/>
                <w:szCs w:val="20"/>
              </w:rPr>
            </w:pPr>
            <w:r w:rsidRPr="0000382D">
              <w:rPr>
                <w:rFonts w:ascii="Century Gothic" w:hAnsi="Century Gothic" w:cs="Times New Roman"/>
                <w:iCs/>
                <w:sz w:val="20"/>
                <w:szCs w:val="20"/>
              </w:rPr>
              <w:t>Šāds ierobežojums ir atbilstošs Eiropas Savienības tiesību politikas nostādnēm un jo īpaši Eiropas Komisijas (Komisija) 2008. gada 5. jūnija Ieteikumam 2008/473/EK par pilnvaroto revidentu un revīzijas uzņēmumu civiltiesiskās atbildības ierobežošanu.</w:t>
            </w:r>
          </w:p>
          <w:p w14:paraId="128D959B" w14:textId="4584AC97" w:rsidR="00E21B29" w:rsidRPr="0000382D" w:rsidRDefault="00E21B29" w:rsidP="00E21B29">
            <w:pPr>
              <w:keepNext/>
              <w:keepLines/>
              <w:autoSpaceDE w:val="0"/>
              <w:autoSpaceDN w:val="0"/>
              <w:adjustRightInd w:val="0"/>
              <w:ind w:left="28" w:right="113"/>
              <w:jc w:val="both"/>
              <w:rPr>
                <w:rFonts w:ascii="Century Gothic" w:hAnsi="Century Gothic" w:cs="Times New Roman"/>
                <w:iCs/>
                <w:sz w:val="20"/>
                <w:szCs w:val="20"/>
              </w:rPr>
            </w:pPr>
            <w:r w:rsidRPr="0000382D">
              <w:rPr>
                <w:rFonts w:ascii="Century Gothic" w:hAnsi="Century Gothic" w:cs="Times New Roman"/>
                <w:iCs/>
                <w:sz w:val="20"/>
                <w:szCs w:val="20"/>
              </w:rPr>
              <w:t>Minētajā ieteikumā Komisija norāda, ka kapitāla tirgus sekmīgai darbībai ir nepieciešama noturīga revīzijas jauda un konkurētspējīgs revīzijas pakalpojumu tirgus, kurā ir pietiekama tādu revīzijas uzņēmumu izvēle, kas spēj un vēlas veikt sabiedrību obligātās revīzijas. Vienlaikus Komisija uzsver, ka uzņēmumu tirgus kapitalizācijas nestabilitāte ir būtiski palielinājusi revidentu atbildības risku, savukārt apdrošināšanas segums pret šādiem riskiem ir kļuvis ierobežotāks.</w:t>
            </w:r>
            <w:r>
              <w:rPr>
                <w:rFonts w:ascii="Century Gothic" w:hAnsi="Century Gothic" w:cs="Times New Roman"/>
                <w:iCs/>
                <w:sz w:val="20"/>
                <w:szCs w:val="20"/>
              </w:rPr>
              <w:t xml:space="preserve"> </w:t>
            </w:r>
            <w:r w:rsidRPr="0000382D">
              <w:rPr>
                <w:rFonts w:ascii="Century Gothic" w:hAnsi="Century Gothic" w:cs="Times New Roman"/>
                <w:iCs/>
                <w:sz w:val="20"/>
                <w:szCs w:val="20"/>
              </w:rPr>
              <w:t>Komisijas ieteikuma apsvērumos ir arī tieši norādīts, ka neierobežota solidāra atbildība var atturēt revīzijas uzņēmumus un tīklus no dalības revīzijas tirgū. Tādēļ Komisija secina, ka to revidentu un revīzijas uzņēmumu atbildībai, kuri veic obligātās revīzijas, principā ir jābūt ierobežotai, izņemot gadījumus, kad kaitējums radies apzināta profesionālo pienākumu pārkāpuma rezultātā.</w:t>
            </w:r>
          </w:p>
          <w:p w14:paraId="406E2A88" w14:textId="77777777" w:rsidR="00E21B29" w:rsidRDefault="00E21B29" w:rsidP="00E21B29">
            <w:pPr>
              <w:jc w:val="both"/>
              <w:rPr>
                <w:rFonts w:ascii="Century Gothic" w:hAnsi="Century Gothic" w:cs="Times New Roman"/>
                <w:iCs/>
                <w:sz w:val="20"/>
                <w:szCs w:val="20"/>
              </w:rPr>
            </w:pPr>
            <w:r w:rsidRPr="0000382D">
              <w:rPr>
                <w:rFonts w:ascii="Century Gothic" w:hAnsi="Century Gothic" w:cs="Times New Roman"/>
                <w:iCs/>
                <w:sz w:val="20"/>
                <w:szCs w:val="20"/>
              </w:rPr>
              <w:t xml:space="preserve">Ieteikuma 2. punktā Komisija skaidri paredz, ka pilnvaroto revidentu un revīzijas uzņēmumu civiltiesiskajai atbildībai, kas izriet no profesionālo pienākumu pārkāpuma, jābūt ierobežotai, </w:t>
            </w:r>
            <w:r w:rsidRPr="0000382D">
              <w:rPr>
                <w:rFonts w:ascii="Century Gothic" w:hAnsi="Century Gothic" w:cs="Times New Roman"/>
                <w:iCs/>
                <w:sz w:val="20"/>
                <w:szCs w:val="20"/>
              </w:rPr>
              <w:lastRenderedPageBreak/>
              <w:t>izņemot apzināta pienākumu pārkāpuma gadījumus. Savukārt 3. punkts paredz, ka šāds ierobežojums piemērojams gan attiecībā pret revidējamo uzņēmumu, gan pret jebkuru trešo personu, kura saskaņā ar valsts tiesībām ir tiesīga prasīt atlīdzību.</w:t>
            </w:r>
          </w:p>
          <w:p w14:paraId="7639125C" w14:textId="77777777" w:rsidR="00E21B29" w:rsidRDefault="00E21B29" w:rsidP="00E21B29">
            <w:pPr>
              <w:jc w:val="both"/>
              <w:rPr>
                <w:rFonts w:ascii="Century Gothic" w:hAnsi="Century Gothic" w:cs="Times New Roman"/>
                <w:iCs/>
                <w:sz w:val="20"/>
                <w:szCs w:val="20"/>
              </w:rPr>
            </w:pPr>
            <w:r w:rsidRPr="0000382D">
              <w:rPr>
                <w:rFonts w:ascii="Century Gothic" w:hAnsi="Century Gothic" w:cs="Times New Roman"/>
                <w:iCs/>
                <w:sz w:val="20"/>
                <w:szCs w:val="20"/>
              </w:rPr>
              <w:t>Vienlaikus 4. punkts uzsver, ka atbildības ierobežojums nedrīkst liegt cietušajām personām iespēju saņemt taisnīgu atlīdzību.</w:t>
            </w:r>
            <w:r>
              <w:rPr>
                <w:rFonts w:ascii="Century Gothic" w:hAnsi="Century Gothic" w:cs="Times New Roman"/>
                <w:iCs/>
                <w:sz w:val="20"/>
                <w:szCs w:val="20"/>
              </w:rPr>
              <w:t xml:space="preserve"> </w:t>
            </w:r>
            <w:r w:rsidRPr="0000382D">
              <w:rPr>
                <w:rFonts w:ascii="Century Gothic" w:hAnsi="Century Gothic" w:cs="Times New Roman"/>
                <w:iCs/>
                <w:sz w:val="20"/>
                <w:szCs w:val="20"/>
              </w:rPr>
              <w:t>Komisijas ieteikuma 5. punktā dalībvalstīm ir ieteikts izmantot vienu vai vairākus atbildības ierobežošanas paņēmienus, tostarp līgumisku noteikumu, kas ļauj revidējamajam uzņēmumam un revidentam vienoties par atbildības ierobežojumu. Tādējādi līgumā noteikts atbildības maksimālais apmērs ir viens no Komisijas tieši atzītajiem un ieteiktajiem mehānismiem.</w:t>
            </w:r>
          </w:p>
          <w:p w14:paraId="1EEF17E2" w14:textId="77777777" w:rsidR="00E21B29" w:rsidRDefault="00E21B29" w:rsidP="00E21B29">
            <w:pPr>
              <w:jc w:val="both"/>
              <w:rPr>
                <w:rFonts w:ascii="Century Gothic" w:hAnsi="Century Gothic" w:cs="Times New Roman"/>
                <w:iCs/>
                <w:sz w:val="20"/>
                <w:szCs w:val="20"/>
              </w:rPr>
            </w:pPr>
            <w:r w:rsidRPr="0000382D">
              <w:rPr>
                <w:rFonts w:ascii="Century Gothic" w:hAnsi="Century Gothic" w:cs="Times New Roman"/>
                <w:iCs/>
                <w:sz w:val="20"/>
                <w:szCs w:val="20"/>
              </w:rPr>
              <w:t xml:space="preserve">Šāda pieeja nodrošina līdzsvaru starp klienta tiesībām uz taisnīgu atlīdzību un nepieciešamību saglabāt revīzijas pakalpojumu tirgus stabilitāti, konkurenci un </w:t>
            </w:r>
            <w:proofErr w:type="spellStart"/>
            <w:r w:rsidRPr="0000382D">
              <w:rPr>
                <w:rFonts w:ascii="Century Gothic" w:hAnsi="Century Gothic" w:cs="Times New Roman"/>
                <w:iCs/>
                <w:sz w:val="20"/>
                <w:szCs w:val="20"/>
              </w:rPr>
              <w:t>apdrošināmību</w:t>
            </w:r>
            <w:proofErr w:type="spellEnd"/>
            <w:r w:rsidRPr="0000382D">
              <w:rPr>
                <w:rFonts w:ascii="Century Gothic" w:hAnsi="Century Gothic" w:cs="Times New Roman"/>
                <w:iCs/>
                <w:sz w:val="20"/>
                <w:szCs w:val="20"/>
              </w:rPr>
              <w:t>. Saprātīgs atbildības ierobežojums neizslēdz revidenta atbildību par profesionālo pienākumu pārkāpumiem, bet nosaka paredzamu un samērīgu maksimālo riska apmēru. Tas ir būtiski, lai revīzijas pakalpojumu sniedzējs varētu pienācīgi novērtēt profesionālo risku,</w:t>
            </w:r>
            <w:r>
              <w:rPr>
                <w:rFonts w:ascii="Century Gothic" w:hAnsi="Century Gothic" w:cs="Times New Roman"/>
                <w:iCs/>
                <w:sz w:val="20"/>
                <w:szCs w:val="20"/>
              </w:rPr>
              <w:t xml:space="preserve"> </w:t>
            </w:r>
            <w:r w:rsidRPr="0000382D">
              <w:rPr>
                <w:rFonts w:ascii="Century Gothic" w:hAnsi="Century Gothic" w:cs="Times New Roman"/>
                <w:iCs/>
                <w:sz w:val="20"/>
                <w:szCs w:val="20"/>
              </w:rPr>
              <w:t>nodrošināt atbilstošu apdrošināšanas segumu un sniegt pakalpojumu par ekonomiski pamatotiem nosacījumiem.</w:t>
            </w:r>
          </w:p>
          <w:p w14:paraId="7F1897FD" w14:textId="77777777" w:rsidR="00E21B29" w:rsidRDefault="00E21B29" w:rsidP="00E21B29">
            <w:pPr>
              <w:jc w:val="both"/>
              <w:rPr>
                <w:rFonts w:ascii="Century Gothic" w:hAnsi="Century Gothic" w:cs="Times New Roman"/>
                <w:iCs/>
                <w:sz w:val="20"/>
                <w:szCs w:val="20"/>
              </w:rPr>
            </w:pPr>
            <w:r w:rsidRPr="0000382D">
              <w:rPr>
                <w:rFonts w:ascii="Century Gothic" w:hAnsi="Century Gothic" w:cs="Times New Roman"/>
                <w:iCs/>
                <w:sz w:val="20"/>
                <w:szCs w:val="20"/>
              </w:rPr>
              <w:t>Minētās Rekomendācijas principi ir atspoguļoti arī nacionālajā regulējumā. Revīzijas pakalpojumu likuma 41. panta piektā daļa paredz, ka zaudējumu atlīdzību zvērināts revidents vai zvērinātu revidentu komercsabiedrība sedz saskaņā ar savstarpēju vienošanos. Šī norma ir attiecināma arī uz iespējamo pretendentu kā zvērinātu revidentu komercsabiedrību.</w:t>
            </w:r>
          </w:p>
          <w:p w14:paraId="3649EEF3" w14:textId="77777777" w:rsidR="00E21B29" w:rsidRDefault="00E21B29" w:rsidP="00E21B29">
            <w:pPr>
              <w:jc w:val="both"/>
              <w:rPr>
                <w:rFonts w:ascii="Century Gothic" w:hAnsi="Century Gothic" w:cs="Times New Roman"/>
                <w:iCs/>
                <w:sz w:val="20"/>
                <w:szCs w:val="20"/>
              </w:rPr>
            </w:pPr>
            <w:r w:rsidRPr="0000382D">
              <w:rPr>
                <w:rFonts w:ascii="Century Gothic" w:hAnsi="Century Gothic" w:cs="Times New Roman"/>
                <w:iCs/>
                <w:sz w:val="20"/>
                <w:szCs w:val="20"/>
              </w:rPr>
              <w:t>Papildus norādām, ka saskaņā ar Latvijas Republikas Civillikuma 1785. pantu, ja zaudējumu atlīdzināšanas pienākums izriet no līgumiskas saistības pārkāpuma, atlīdzības apmēru nosaka attiecīgā līguma saturs. Tādējādi pusēm ir tiesības līgumā vienoties par atlīdzināmo zaudējumu maksimālo apmēru, tostarp arī attiecībā uz tiešajiem zaudējumiem.</w:t>
            </w:r>
          </w:p>
          <w:p w14:paraId="1E982AD7" w14:textId="27C7C7D5" w:rsidR="00E21B29" w:rsidRPr="0000382D" w:rsidRDefault="00E21B29" w:rsidP="00E21B29">
            <w:pPr>
              <w:jc w:val="both"/>
              <w:rPr>
                <w:rFonts w:ascii="Century Gothic" w:hAnsi="Century Gothic" w:cs="Times New Roman"/>
                <w:iCs/>
                <w:sz w:val="20"/>
                <w:szCs w:val="20"/>
              </w:rPr>
            </w:pPr>
            <w:r w:rsidRPr="0000382D">
              <w:rPr>
                <w:rFonts w:ascii="Century Gothic" w:hAnsi="Century Gothic" w:cs="Times New Roman"/>
                <w:iCs/>
                <w:sz w:val="20"/>
                <w:szCs w:val="20"/>
              </w:rPr>
              <w:t xml:space="preserve">Pamatojoties uz minēto, revīzijas pakalpojumu līgumā būtu pamatoti iekļaut noteikumu par civiltiesiskās atbildības ierobežojumu, ievērojot piemērojamo Latvijas tiesību regulējumu </w:t>
            </w:r>
            <w:r w:rsidRPr="0000382D">
              <w:rPr>
                <w:rFonts w:ascii="Century Gothic" w:hAnsi="Century Gothic" w:cs="Times New Roman"/>
                <w:iCs/>
                <w:sz w:val="20"/>
                <w:szCs w:val="20"/>
              </w:rPr>
              <w:lastRenderedPageBreak/>
              <w:t>un nodrošinot, ka šāds ierobežojums neattiecas uz apzinātu profesionālo pienākumu pārkāpumu un neliedz cietušajām personām saņemt taisnīgu atlīdzību.</w:t>
            </w:r>
          </w:p>
          <w:p w14:paraId="4EB03A78" w14:textId="77777777" w:rsidR="00E21B29" w:rsidRDefault="00E21B29" w:rsidP="00E21B29">
            <w:pPr>
              <w:keepNext/>
              <w:keepLines/>
              <w:autoSpaceDE w:val="0"/>
              <w:autoSpaceDN w:val="0"/>
              <w:adjustRightInd w:val="0"/>
              <w:ind w:left="28" w:right="113"/>
              <w:jc w:val="both"/>
              <w:rPr>
                <w:rFonts w:ascii="Century Gothic" w:hAnsi="Century Gothic" w:cs="Times New Roman"/>
                <w:iCs/>
                <w:sz w:val="20"/>
                <w:szCs w:val="20"/>
              </w:rPr>
            </w:pPr>
            <w:r w:rsidRPr="0000382D">
              <w:rPr>
                <w:rFonts w:ascii="Century Gothic" w:hAnsi="Century Gothic" w:cs="Times New Roman"/>
                <w:iCs/>
                <w:sz w:val="20"/>
                <w:szCs w:val="20"/>
              </w:rPr>
              <w:t>Ņemot vērā Eiropas Komisijas Ieteikumā 2008/473/EK ietverto pamatojumu un tajā norādītos atbildības ierobežošanas mehānismus, lūdzam rast iespēju veikt grozījumus līguma projekta 8.9. punktā, papildinot to ar atbildības limitu. Ierosinām izteikt līguma projekta 8.9. punktu šādā redakcijā:</w:t>
            </w:r>
          </w:p>
          <w:p w14:paraId="38BBE0AE" w14:textId="4D60BF70" w:rsidR="00E21B29" w:rsidRPr="00E21B29" w:rsidRDefault="00E21B29" w:rsidP="00E21B29">
            <w:pPr>
              <w:keepNext/>
              <w:keepLines/>
              <w:autoSpaceDE w:val="0"/>
              <w:autoSpaceDN w:val="0"/>
              <w:adjustRightInd w:val="0"/>
              <w:ind w:left="28" w:right="113"/>
              <w:jc w:val="both"/>
              <w:rPr>
                <w:rFonts w:ascii="Century Gothic" w:hAnsi="Century Gothic" w:cs="Times New Roman"/>
                <w:iCs/>
                <w:sz w:val="20"/>
                <w:szCs w:val="20"/>
              </w:rPr>
            </w:pPr>
            <w:r w:rsidRPr="0000382D">
              <w:rPr>
                <w:rFonts w:ascii="Century Gothic" w:hAnsi="Century Gothic" w:cs="Times New Roman"/>
                <w:iCs/>
                <w:sz w:val="20"/>
                <w:szCs w:val="20"/>
              </w:rPr>
              <w:t>“8.9. Puses savstarpēji ir atbildīgas par otrai Pusei nodarītajiem tiešajiem zaudējumiem, ja tie radušies vienas Puses vai tā darbinieku, kā arī šīs Puses Līguma izpildē iesaistīto trešo personu darbības vai bezdarbības, kā arī rupjas neuzmanības, ļaunā nolūkā izdarīto darbību vai nolaidības rezultātā. Katra Puse atbild par otrai Pusei pierādītajiem tiešajiem zaudējumiem, kas radušies Līguma pārkāpuma rezultātā, nepārsniedzot summu, kas atbilst divkāršam (vai “trīskāršam” vai cits reizinātājs, kas atzīstams par atbilstošu) attiecīgajā kalendārajā gadā par revīzijas pakalpojumu maksājamās atlīdzības apmēram, izņemot gadījumus, kad zaudējumi radušies attiecīgās Puses ļauna nolūka vai rupjas neuzmanības dēļ.”</w:t>
            </w:r>
            <w:r>
              <w:rPr>
                <w:rFonts w:ascii="Century Gothic" w:hAnsi="Century Gothic" w:cs="Times New Roman"/>
                <w:iCs/>
                <w:sz w:val="20"/>
                <w:szCs w:val="20"/>
              </w:rPr>
              <w:t>.</w:t>
            </w:r>
          </w:p>
        </w:tc>
        <w:tc>
          <w:tcPr>
            <w:tcW w:w="4944" w:type="dxa"/>
          </w:tcPr>
          <w:p w14:paraId="2C6C8011" w14:textId="0863575C" w:rsidR="00E21B29" w:rsidRDefault="00E21B29" w:rsidP="00E21B29">
            <w:pPr>
              <w:pStyle w:val="ListParagraph"/>
              <w:shd w:val="clear" w:color="auto" w:fill="FFFFFF"/>
              <w:spacing w:before="60" w:after="60"/>
              <w:ind w:left="0" w:right="14"/>
              <w:jc w:val="both"/>
              <w:rPr>
                <w:rFonts w:ascii="Century Gothic" w:hAnsi="Century Gothic"/>
                <w:sz w:val="20"/>
                <w:szCs w:val="20"/>
              </w:rPr>
            </w:pPr>
            <w:r>
              <w:rPr>
                <w:rFonts w:ascii="Century Gothic" w:hAnsi="Century Gothic" w:cs="Times New Roman"/>
                <w:sz w:val="20"/>
                <w:szCs w:val="20"/>
              </w:rPr>
              <w:lastRenderedPageBreak/>
              <w:t xml:space="preserve">Iepirkuma </w:t>
            </w:r>
            <w:r w:rsidRPr="0000382D">
              <w:rPr>
                <w:rFonts w:ascii="Century Gothic" w:hAnsi="Century Gothic" w:cs="Times New Roman"/>
                <w:iCs/>
                <w:sz w:val="20"/>
                <w:szCs w:val="20"/>
              </w:rPr>
              <w:t>līguma projekta 8.9. punkt</w:t>
            </w:r>
            <w:r>
              <w:rPr>
                <w:rFonts w:ascii="Century Gothic" w:hAnsi="Century Gothic" w:cs="Times New Roman"/>
                <w:iCs/>
                <w:sz w:val="20"/>
                <w:szCs w:val="20"/>
              </w:rPr>
              <w:t>s</w:t>
            </w:r>
            <w:r>
              <w:rPr>
                <w:rFonts w:ascii="Century Gothic" w:hAnsi="Century Gothic" w:cs="Times New Roman"/>
                <w:iCs/>
                <w:sz w:val="20"/>
                <w:szCs w:val="20"/>
              </w:rPr>
              <w:t xml:space="preserve"> ir izteikts šādā redakcijā:</w:t>
            </w:r>
          </w:p>
          <w:p w14:paraId="33D7D076" w14:textId="6385A4DD" w:rsidR="00E21B29" w:rsidRPr="00806038" w:rsidRDefault="00E21B29" w:rsidP="00806038">
            <w:pPr>
              <w:pStyle w:val="ListParagraph"/>
              <w:numPr>
                <w:ilvl w:val="1"/>
                <w:numId w:val="16"/>
              </w:numPr>
              <w:shd w:val="clear" w:color="auto" w:fill="FFFFFF"/>
              <w:spacing w:before="60" w:after="60"/>
              <w:ind w:left="0" w:right="14" w:firstLine="0"/>
              <w:jc w:val="both"/>
              <w:rPr>
                <w:rStyle w:val="eop"/>
                <w:rFonts w:ascii="Century Gothic" w:hAnsi="Century Gothic"/>
                <w:sz w:val="20"/>
                <w:szCs w:val="20"/>
              </w:rPr>
            </w:pPr>
            <w:r w:rsidRPr="00DA2844">
              <w:rPr>
                <w:rFonts w:ascii="Century Gothic" w:hAnsi="Century Gothic"/>
                <w:sz w:val="20"/>
                <w:szCs w:val="20"/>
              </w:rPr>
              <w:t>Puses savstarpēji ir atbildīgas par otrai Pusei nodarītajiem tiešajiem zaudējumiem, ja tie radušies vienas Puses vai tā darbinieku, kā arī šīs Puses Līguma izpildē iesaistīto trešo personu darbības vai bezdarbības, kā arī rupjas neuzmanības, ļaunā nolūkā izdarīto darbību vai nolaidības rezultātā</w:t>
            </w:r>
            <w:r w:rsidRPr="00DA2844">
              <w:rPr>
                <w:rFonts w:ascii="Century Gothic" w:hAnsi="Century Gothic"/>
                <w:kern w:val="28"/>
                <w:sz w:val="20"/>
                <w:szCs w:val="20"/>
              </w:rPr>
              <w:t>.</w:t>
            </w:r>
          </w:p>
          <w:p w14:paraId="783D9B04" w14:textId="3FF5921D" w:rsidR="00830F5B" w:rsidRPr="00830F5B"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 xml:space="preserve">Pasūtītājs ir izvērtējis </w:t>
            </w:r>
            <w:r>
              <w:rPr>
                <w:rFonts w:ascii="Century Gothic" w:hAnsi="Century Gothic" w:cs="Times New Roman"/>
                <w:sz w:val="20"/>
                <w:szCs w:val="20"/>
              </w:rPr>
              <w:t>jautājumā</w:t>
            </w:r>
            <w:r w:rsidRPr="00830F5B">
              <w:rPr>
                <w:rFonts w:ascii="Century Gothic" w:hAnsi="Century Gothic" w:cs="Times New Roman"/>
                <w:sz w:val="20"/>
                <w:szCs w:val="20"/>
              </w:rPr>
              <w:t xml:space="preserve"> norādītos argumentus un neplāno veikt grozījumus līguma projekta 8.9. punktā.</w:t>
            </w:r>
          </w:p>
          <w:p w14:paraId="15E0F71A" w14:textId="72745CE9" w:rsidR="00806038"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Pasūtītājs piekrīt, ka Eiropas Komisijas 2008. gada 5. jūnija Ieteikums 2008/473/EK paredz iespēju dalībvalstīm un līgumslēdzējām pusēm izmantot dažādus civiltiesiskās atbildības ierobežošanas mehānismus. Tomēr minētais dokuments ir rekomendējoša rakstura un neuzliek pasūtītājam pienākumu konkrētā līgumā noteikt revidenta atbildības ierobežojumu.</w:t>
            </w:r>
          </w:p>
          <w:p w14:paraId="7CD0E464" w14:textId="32873854" w:rsidR="00830F5B" w:rsidRPr="00830F5B"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 xml:space="preserve">Tāpat Pasūtītājs norāda, ka ne Revīzijas pakalpojumu likuma 41. panta </w:t>
            </w:r>
            <w:r w:rsidR="0061261D">
              <w:rPr>
                <w:rFonts w:ascii="Century Gothic" w:hAnsi="Century Gothic" w:cs="Times New Roman"/>
                <w:sz w:val="20"/>
                <w:szCs w:val="20"/>
              </w:rPr>
              <w:t>ceturtā</w:t>
            </w:r>
            <w:r w:rsidRPr="00830F5B">
              <w:rPr>
                <w:rFonts w:ascii="Century Gothic" w:hAnsi="Century Gothic" w:cs="Times New Roman"/>
                <w:sz w:val="20"/>
                <w:szCs w:val="20"/>
              </w:rPr>
              <w:t xml:space="preserve"> daļa, ne Civillikuma 1785. pants neparedz obligātu pienākumu līguma pusēm vienoties par atbildības ierobežojumu. Minētās tiesību normas </w:t>
            </w:r>
            <w:r w:rsidRPr="00830F5B">
              <w:rPr>
                <w:rFonts w:ascii="Century Gothic" w:hAnsi="Century Gothic" w:cs="Times New Roman"/>
                <w:sz w:val="20"/>
                <w:szCs w:val="20"/>
              </w:rPr>
              <w:lastRenderedPageBreak/>
              <w:t>paredz pušu tiesības vienoties par zaudējumu atlīdzināšanas kārtību un apmēru, taču neatņem līgumslēdzēju brīvību šādu ierobežojumu neparedzēt.</w:t>
            </w:r>
          </w:p>
          <w:p w14:paraId="74D6DC84" w14:textId="77777777" w:rsidR="00830F5B" w:rsidRPr="00830F5B"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Publisko iepirkumu ietvaros pasūtītājam ir tiesības noteikt iepirkuma priekšmetam un līguma izpildei atbilstošas prasības, tostarp attiecībā uz piegādātāja atbildību par līguma pienākumu nepienācīgu izpildi, ciktāl šādas prasības atbilst Publisko iepirkumu likuma pamatprincipiem un nepamatoti neierobežo konkurenci.</w:t>
            </w:r>
          </w:p>
          <w:p w14:paraId="71D6AE75" w14:textId="0AD16B31" w:rsidR="00830F5B" w:rsidRPr="00830F5B"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 xml:space="preserve">Pasūtītājs nepiekrīt, ka attiecībā uz sniegto pakalpojumu kvalitāti piegādātāja atbildības apjoms būtu samazināms, nosakot maksimālo atbildības limitu. Pasūtītāja pienākums ir nodrošināt </w:t>
            </w:r>
            <w:r w:rsidR="00806038">
              <w:rPr>
                <w:rFonts w:ascii="Century Gothic" w:hAnsi="Century Gothic" w:cs="Times New Roman"/>
                <w:sz w:val="20"/>
                <w:szCs w:val="20"/>
              </w:rPr>
              <w:t>tā</w:t>
            </w:r>
            <w:r w:rsidRPr="00830F5B">
              <w:rPr>
                <w:rFonts w:ascii="Century Gothic" w:hAnsi="Century Gothic" w:cs="Times New Roman"/>
                <w:sz w:val="20"/>
                <w:szCs w:val="20"/>
              </w:rPr>
              <w:t xml:space="preserve"> finanšu līdzekļu efektīvu un lietderīgu izmantošanu, kā arī pēc iespējas mazināt riskus, kas saistīti ar iepirkuma līguma izpildi. Pasūtītāja ieskatā līguma projektā paredzētais atbildības regulējums ir samērīgs ar iepirkuma priekšmetu un nepieciešams Pasūtītāja tiesisko interešu aizsardzībai.</w:t>
            </w:r>
          </w:p>
          <w:p w14:paraId="53EFBE1B" w14:textId="77777777" w:rsidR="00830F5B" w:rsidRPr="00830F5B"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Vienlaikus Pasūtītājs nekonstatē, ka līguma projektā noteiktā atbildības kārtība radītu priekšrocības vai labvēlīgākus apstākļus kādam konkrētam tirgus dalībniekam vai nepamatoti ierobežotu piegādātāju konkurenci. Visiem ieinteresētajiem piegādātājiem ir nodrošināti vienādi un nediskriminējoši dalības nosacījumi.</w:t>
            </w:r>
          </w:p>
          <w:p w14:paraId="2F5CF889" w14:textId="77777777" w:rsidR="00830F5B" w:rsidRPr="00830F5B" w:rsidRDefault="00830F5B" w:rsidP="00830F5B">
            <w:pPr>
              <w:tabs>
                <w:tab w:val="left" w:pos="1080"/>
              </w:tabs>
              <w:jc w:val="both"/>
              <w:rPr>
                <w:rFonts w:ascii="Century Gothic" w:hAnsi="Century Gothic" w:cs="Times New Roman"/>
                <w:sz w:val="20"/>
                <w:szCs w:val="20"/>
              </w:rPr>
            </w:pPr>
            <w:r w:rsidRPr="00830F5B">
              <w:rPr>
                <w:rFonts w:ascii="Century Gothic" w:hAnsi="Century Gothic" w:cs="Times New Roman"/>
                <w:sz w:val="20"/>
                <w:szCs w:val="20"/>
              </w:rPr>
              <w:t>Ņemot vērā minēto, līguma projekta 8.9. punkts netiks grozīts.</w:t>
            </w:r>
          </w:p>
          <w:p w14:paraId="1AA735AD" w14:textId="2BF77BF7" w:rsidR="00E21B29" w:rsidRPr="004621E2" w:rsidRDefault="00E21B29" w:rsidP="00E21B29">
            <w:pPr>
              <w:tabs>
                <w:tab w:val="left" w:pos="1080"/>
              </w:tabs>
              <w:jc w:val="both"/>
              <w:rPr>
                <w:rStyle w:val="eop"/>
                <w:rFonts w:ascii="Century Gothic" w:hAnsi="Century Gothic" w:cs="Times New Roman"/>
                <w:sz w:val="20"/>
                <w:szCs w:val="20"/>
              </w:rPr>
            </w:pPr>
          </w:p>
        </w:tc>
      </w:tr>
    </w:tbl>
    <w:p w14:paraId="321FAC31" w14:textId="041DB42A" w:rsidR="0017708B" w:rsidRDefault="0017708B" w:rsidP="00BA11CF">
      <w:pPr>
        <w:spacing w:after="0" w:line="240" w:lineRule="auto"/>
        <w:ind w:right="356"/>
        <w:rPr>
          <w:rFonts w:ascii="Century Gothic" w:hAnsi="Century Gothic" w:cs="Times New Roman"/>
          <w:sz w:val="20"/>
          <w:szCs w:val="20"/>
        </w:rPr>
      </w:pPr>
    </w:p>
    <w:p w14:paraId="02955301" w14:textId="77777777" w:rsidR="0017708B" w:rsidRDefault="0017708B" w:rsidP="00BA11CF">
      <w:pPr>
        <w:spacing w:after="0" w:line="240" w:lineRule="auto"/>
        <w:ind w:right="356"/>
        <w:rPr>
          <w:rFonts w:ascii="Century Gothic" w:hAnsi="Century Gothic" w:cs="Times New Roman"/>
          <w:sz w:val="20"/>
          <w:szCs w:val="20"/>
        </w:rPr>
      </w:pPr>
    </w:p>
    <w:sectPr w:rsidR="0017708B" w:rsidSect="00E21B29">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6838" w:h="11906" w:orient="landscape"/>
      <w:pgMar w:top="1800" w:right="1440" w:bottom="878"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6A244" w14:textId="77777777" w:rsidR="00A56529" w:rsidRDefault="00A56529">
      <w:pPr>
        <w:spacing w:after="0" w:line="240" w:lineRule="auto"/>
      </w:pPr>
      <w:r>
        <w:separator/>
      </w:r>
    </w:p>
  </w:endnote>
  <w:endnote w:type="continuationSeparator" w:id="0">
    <w:p w14:paraId="561CFB9B" w14:textId="77777777" w:rsidR="00A56529" w:rsidRDefault="00A56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BA"/>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AD63" w14:textId="77777777" w:rsidR="00581DB3" w:rsidRDefault="00581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052766"/>
      <w:docPartObj>
        <w:docPartGallery w:val="Page Numbers (Bottom of Page)"/>
        <w:docPartUnique/>
      </w:docPartObj>
    </w:sdtPr>
    <w:sdtEndPr>
      <w:rPr>
        <w:noProof/>
      </w:rPr>
    </w:sdtEndPr>
    <w:sdtContent>
      <w:p w14:paraId="0D229A53" w14:textId="5AF99BB7" w:rsidR="00581DB3" w:rsidRDefault="00581D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0BD3C" w14:textId="77777777" w:rsidR="00581DB3" w:rsidRDefault="00581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7AA49" w14:textId="77777777" w:rsidR="00581DB3" w:rsidRDefault="00581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BDE4" w14:textId="77777777" w:rsidR="00A56529" w:rsidRDefault="00A56529">
      <w:pPr>
        <w:spacing w:after="281"/>
      </w:pPr>
      <w:r>
        <w:separator/>
      </w:r>
    </w:p>
  </w:footnote>
  <w:footnote w:type="continuationSeparator" w:id="0">
    <w:p w14:paraId="3A0D5727" w14:textId="77777777" w:rsidR="00A56529" w:rsidRDefault="00A56529">
      <w:pPr>
        <w:spacing w:after="28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CA82C" w14:textId="77777777" w:rsidR="00581DB3" w:rsidRDefault="00581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CBE69" w14:textId="77777777" w:rsidR="00581DB3" w:rsidRDefault="00581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DE0B" w14:textId="77777777" w:rsidR="00581DB3" w:rsidRDefault="00581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CB4"/>
    <w:multiLevelType w:val="hybridMultilevel"/>
    <w:tmpl w:val="00ECA5FC"/>
    <w:lvl w:ilvl="0" w:tplc="D5E2DD64">
      <w:start w:val="1"/>
      <w:numFmt w:val="decimal"/>
      <w:lvlText w:val="%1)"/>
      <w:lvlJc w:val="left"/>
      <w:pPr>
        <w:ind w:left="1069" w:hanging="360"/>
      </w:pPr>
      <w:rPr>
        <w:rFonts w:hint="default"/>
      </w:rPr>
    </w:lvl>
    <w:lvl w:ilvl="1" w:tplc="04260019">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65D44D7"/>
    <w:multiLevelType w:val="hybridMultilevel"/>
    <w:tmpl w:val="336874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4E22B5"/>
    <w:multiLevelType w:val="hybridMultilevel"/>
    <w:tmpl w:val="DBA61298"/>
    <w:lvl w:ilvl="0" w:tplc="6234D32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0F3A4F8E"/>
    <w:multiLevelType w:val="multilevel"/>
    <w:tmpl w:val="8460C10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8A3598"/>
    <w:multiLevelType w:val="multilevel"/>
    <w:tmpl w:val="7B30467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13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94F0EAE"/>
    <w:multiLevelType w:val="hybridMultilevel"/>
    <w:tmpl w:val="FAC875B0"/>
    <w:lvl w:ilvl="0" w:tplc="F2E863C6">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1C32FC"/>
    <w:multiLevelType w:val="hybridMultilevel"/>
    <w:tmpl w:val="D4C401FA"/>
    <w:lvl w:ilvl="0" w:tplc="3CC48480">
      <w:start w:val="1"/>
      <w:numFmt w:val="decimal"/>
      <w:lvlText w:val="%1."/>
      <w:lvlJc w:val="left"/>
      <w:pPr>
        <w:ind w:left="705"/>
      </w:pPr>
      <w:rPr>
        <w:rFonts w:ascii="Century Gothic" w:eastAsia="Times New Roman" w:hAnsi="Century Gothic" w:cs="Times New Roman" w:hint="default"/>
        <w:b w:val="0"/>
        <w:i w:val="0"/>
        <w:strike w:val="0"/>
        <w:dstrike w:val="0"/>
        <w:color w:val="000000"/>
        <w:sz w:val="20"/>
        <w:szCs w:val="20"/>
        <w:u w:val="none" w:color="000000"/>
        <w:bdr w:val="none" w:sz="0" w:space="0" w:color="auto"/>
        <w:shd w:val="clear" w:color="auto" w:fill="auto"/>
        <w:vertAlign w:val="baseline"/>
      </w:rPr>
    </w:lvl>
    <w:lvl w:ilvl="1" w:tplc="D432406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E29E7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8A992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D810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021DE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6A0E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62518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7C1F5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1C839A9"/>
    <w:multiLevelType w:val="multilevel"/>
    <w:tmpl w:val="6AE65D24"/>
    <w:styleLink w:val="LFO9"/>
    <w:lvl w:ilvl="0">
      <w:start w:val="1"/>
      <w:numFmt w:val="decimal"/>
      <w:pStyle w:val="Hipo-Heading1"/>
      <w:lvlText w:val="%1."/>
      <w:lvlJc w:val="left"/>
    </w:lvl>
    <w:lvl w:ilvl="1">
      <w:start w:val="1"/>
      <w:numFmt w:val="decimal"/>
      <w:lvlText w:val="%1.%2."/>
      <w:lvlJc w:val="left"/>
      <w:pPr>
        <w:ind w:left="284" w:firstLine="0"/>
      </w:pPr>
    </w:lvl>
    <w:lvl w:ilvl="2">
      <w:start w:val="1"/>
      <w:numFmt w:val="decimal"/>
      <w:lvlText w:val="%1.%2.%3."/>
      <w:lvlJc w:val="left"/>
      <w:pPr>
        <w:ind w:left="794" w:firstLine="0"/>
      </w:pPr>
    </w:lvl>
    <w:lvl w:ilvl="3">
      <w:start w:val="1"/>
      <w:numFmt w:val="decimal"/>
      <w:lvlText w:val="%1.%2.%3.%4."/>
      <w:lvlJc w:val="left"/>
      <w:pPr>
        <w:ind w:left="1191"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6882F2D"/>
    <w:multiLevelType w:val="multilevel"/>
    <w:tmpl w:val="6194D4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E7C541D"/>
    <w:multiLevelType w:val="hybridMultilevel"/>
    <w:tmpl w:val="079ADDE2"/>
    <w:lvl w:ilvl="0" w:tplc="42146482">
      <w:start w:val="1"/>
      <w:numFmt w:val="decimal"/>
      <w:lvlText w:val="%1."/>
      <w:lvlJc w:val="left"/>
      <w:pPr>
        <w:ind w:left="1069" w:hanging="360"/>
      </w:pPr>
      <w:rPr>
        <w:rFonts w:hint="default"/>
        <w:b/>
      </w:rPr>
    </w:lvl>
    <w:lvl w:ilvl="1" w:tplc="04090019">
      <w:start w:val="1"/>
      <w:numFmt w:val="lowerLetter"/>
      <w:lvlText w:val="%2."/>
      <w:lvlJc w:val="left"/>
      <w:pPr>
        <w:ind w:left="1789" w:hanging="360"/>
      </w:pPr>
    </w:lvl>
    <w:lvl w:ilvl="2" w:tplc="A0EAD954">
      <w:start w:val="1"/>
      <w:numFmt w:val="decimal"/>
      <w:lvlText w:val="%3."/>
      <w:lvlJc w:val="left"/>
      <w:pPr>
        <w:ind w:left="2689" w:hanging="360"/>
      </w:pPr>
      <w:rPr>
        <w:rFonts w:ascii="Century Gothic" w:eastAsia="Times New Roman" w:hAnsi="Century Gothic" w:cs="Times New Roman"/>
      </w:r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5C9453E1"/>
    <w:multiLevelType w:val="hybridMultilevel"/>
    <w:tmpl w:val="7D78F48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F31298F"/>
    <w:multiLevelType w:val="hybridMultilevel"/>
    <w:tmpl w:val="4962A4B0"/>
    <w:lvl w:ilvl="0" w:tplc="64546102">
      <w:start w:val="1"/>
      <w:numFmt w:val="decimal"/>
      <w:lvlText w:val="%1)"/>
      <w:lvlJc w:val="left"/>
      <w:pPr>
        <w:ind w:left="720" w:hanging="360"/>
      </w:pPr>
      <w:rPr>
        <w:rFonts w:ascii="Century Gothic" w:hAnsi="Century Gothic"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99A1352"/>
    <w:multiLevelType w:val="hybridMultilevel"/>
    <w:tmpl w:val="B7E8CE46"/>
    <w:lvl w:ilvl="0" w:tplc="CCDEFE2E">
      <w:start w:val="1"/>
      <w:numFmt w:val="bullet"/>
      <w:lvlText w:val="-"/>
      <w:lvlJc w:val="left"/>
      <w:pPr>
        <w:ind w:left="720" w:hanging="360"/>
      </w:pPr>
      <w:rPr>
        <w:rFonts w:ascii="Aptos" w:hAnsi="Aptos" w:hint="default"/>
      </w:rPr>
    </w:lvl>
    <w:lvl w:ilvl="1" w:tplc="E1E001B6">
      <w:start w:val="1"/>
      <w:numFmt w:val="bullet"/>
      <w:lvlText w:val="o"/>
      <w:lvlJc w:val="left"/>
      <w:pPr>
        <w:ind w:left="1440" w:hanging="360"/>
      </w:pPr>
      <w:rPr>
        <w:rFonts w:ascii="Courier New" w:hAnsi="Courier New" w:hint="default"/>
      </w:rPr>
    </w:lvl>
    <w:lvl w:ilvl="2" w:tplc="1AAEDCBA">
      <w:start w:val="1"/>
      <w:numFmt w:val="bullet"/>
      <w:lvlText w:val=""/>
      <w:lvlJc w:val="left"/>
      <w:pPr>
        <w:ind w:left="2160" w:hanging="360"/>
      </w:pPr>
      <w:rPr>
        <w:rFonts w:ascii="Wingdings" w:hAnsi="Wingdings" w:hint="default"/>
      </w:rPr>
    </w:lvl>
    <w:lvl w:ilvl="3" w:tplc="614AB42A">
      <w:start w:val="1"/>
      <w:numFmt w:val="bullet"/>
      <w:lvlText w:val=""/>
      <w:lvlJc w:val="left"/>
      <w:pPr>
        <w:ind w:left="2880" w:hanging="360"/>
      </w:pPr>
      <w:rPr>
        <w:rFonts w:ascii="Symbol" w:hAnsi="Symbol" w:hint="default"/>
      </w:rPr>
    </w:lvl>
    <w:lvl w:ilvl="4" w:tplc="20722F68">
      <w:start w:val="1"/>
      <w:numFmt w:val="bullet"/>
      <w:lvlText w:val="o"/>
      <w:lvlJc w:val="left"/>
      <w:pPr>
        <w:ind w:left="3600" w:hanging="360"/>
      </w:pPr>
      <w:rPr>
        <w:rFonts w:ascii="Courier New" w:hAnsi="Courier New" w:hint="default"/>
      </w:rPr>
    </w:lvl>
    <w:lvl w:ilvl="5" w:tplc="F2AC47E2">
      <w:start w:val="1"/>
      <w:numFmt w:val="bullet"/>
      <w:lvlText w:val=""/>
      <w:lvlJc w:val="left"/>
      <w:pPr>
        <w:ind w:left="4320" w:hanging="360"/>
      </w:pPr>
      <w:rPr>
        <w:rFonts w:ascii="Wingdings" w:hAnsi="Wingdings" w:hint="default"/>
      </w:rPr>
    </w:lvl>
    <w:lvl w:ilvl="6" w:tplc="33D02ECA">
      <w:start w:val="1"/>
      <w:numFmt w:val="bullet"/>
      <w:lvlText w:val=""/>
      <w:lvlJc w:val="left"/>
      <w:pPr>
        <w:ind w:left="5040" w:hanging="360"/>
      </w:pPr>
      <w:rPr>
        <w:rFonts w:ascii="Symbol" w:hAnsi="Symbol" w:hint="default"/>
      </w:rPr>
    </w:lvl>
    <w:lvl w:ilvl="7" w:tplc="6B7CDBF0">
      <w:start w:val="1"/>
      <w:numFmt w:val="bullet"/>
      <w:lvlText w:val="o"/>
      <w:lvlJc w:val="left"/>
      <w:pPr>
        <w:ind w:left="5760" w:hanging="360"/>
      </w:pPr>
      <w:rPr>
        <w:rFonts w:ascii="Courier New" w:hAnsi="Courier New" w:hint="default"/>
      </w:rPr>
    </w:lvl>
    <w:lvl w:ilvl="8" w:tplc="3EFA5B90">
      <w:start w:val="1"/>
      <w:numFmt w:val="bullet"/>
      <w:lvlText w:val=""/>
      <w:lvlJc w:val="left"/>
      <w:pPr>
        <w:ind w:left="6480" w:hanging="360"/>
      </w:pPr>
      <w:rPr>
        <w:rFonts w:ascii="Wingdings" w:hAnsi="Wingdings" w:hint="default"/>
      </w:rPr>
    </w:lvl>
  </w:abstractNum>
  <w:abstractNum w:abstractNumId="13" w15:restartNumberingAfterBreak="0">
    <w:nsid w:val="6A806DDA"/>
    <w:multiLevelType w:val="hybridMultilevel"/>
    <w:tmpl w:val="4694F54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6A95DC67"/>
    <w:multiLevelType w:val="hybridMultilevel"/>
    <w:tmpl w:val="3E4A1172"/>
    <w:lvl w:ilvl="0" w:tplc="81BC91B4">
      <w:start w:val="1"/>
      <w:numFmt w:val="decimal"/>
      <w:lvlText w:val="%1)"/>
      <w:lvlJc w:val="left"/>
      <w:pPr>
        <w:ind w:left="1080" w:hanging="360"/>
      </w:pPr>
    </w:lvl>
    <w:lvl w:ilvl="1" w:tplc="131A3DE6">
      <w:start w:val="1"/>
      <w:numFmt w:val="lowerLetter"/>
      <w:lvlText w:val="%2."/>
      <w:lvlJc w:val="left"/>
      <w:pPr>
        <w:ind w:left="1800" w:hanging="360"/>
      </w:pPr>
    </w:lvl>
    <w:lvl w:ilvl="2" w:tplc="1F2EB1CE">
      <w:start w:val="1"/>
      <w:numFmt w:val="lowerRoman"/>
      <w:lvlText w:val="%3."/>
      <w:lvlJc w:val="right"/>
      <w:pPr>
        <w:ind w:left="2520" w:hanging="180"/>
      </w:pPr>
    </w:lvl>
    <w:lvl w:ilvl="3" w:tplc="CFEE709A">
      <w:start w:val="1"/>
      <w:numFmt w:val="decimal"/>
      <w:lvlText w:val="%4."/>
      <w:lvlJc w:val="left"/>
      <w:pPr>
        <w:ind w:left="3240" w:hanging="360"/>
      </w:pPr>
    </w:lvl>
    <w:lvl w:ilvl="4" w:tplc="4EF45C00">
      <w:start w:val="1"/>
      <w:numFmt w:val="lowerLetter"/>
      <w:lvlText w:val="%5."/>
      <w:lvlJc w:val="left"/>
      <w:pPr>
        <w:ind w:left="3960" w:hanging="360"/>
      </w:pPr>
    </w:lvl>
    <w:lvl w:ilvl="5" w:tplc="D79E86A8">
      <w:start w:val="1"/>
      <w:numFmt w:val="lowerRoman"/>
      <w:lvlText w:val="%6."/>
      <w:lvlJc w:val="right"/>
      <w:pPr>
        <w:ind w:left="4680" w:hanging="180"/>
      </w:pPr>
    </w:lvl>
    <w:lvl w:ilvl="6" w:tplc="52E0DD40">
      <w:start w:val="1"/>
      <w:numFmt w:val="decimal"/>
      <w:lvlText w:val="%7."/>
      <w:lvlJc w:val="left"/>
      <w:pPr>
        <w:ind w:left="5400" w:hanging="360"/>
      </w:pPr>
    </w:lvl>
    <w:lvl w:ilvl="7" w:tplc="958467D4">
      <w:start w:val="1"/>
      <w:numFmt w:val="lowerLetter"/>
      <w:lvlText w:val="%8."/>
      <w:lvlJc w:val="left"/>
      <w:pPr>
        <w:ind w:left="6120" w:hanging="360"/>
      </w:pPr>
    </w:lvl>
    <w:lvl w:ilvl="8" w:tplc="9BD6E42A">
      <w:start w:val="1"/>
      <w:numFmt w:val="lowerRoman"/>
      <w:lvlText w:val="%9."/>
      <w:lvlJc w:val="right"/>
      <w:pPr>
        <w:ind w:left="6840" w:hanging="180"/>
      </w:pPr>
    </w:lvl>
  </w:abstractNum>
  <w:abstractNum w:abstractNumId="15" w15:restartNumberingAfterBreak="0">
    <w:nsid w:val="7CE94E78"/>
    <w:multiLevelType w:val="hybridMultilevel"/>
    <w:tmpl w:val="E8F6C1F6"/>
    <w:lvl w:ilvl="0" w:tplc="1742ABC4">
      <w:start w:val="1"/>
      <w:numFmt w:val="lowerLetter"/>
      <w:lvlText w:val="%1)"/>
      <w:lvlJc w:val="left"/>
      <w:pPr>
        <w:ind w:left="720" w:hanging="360"/>
      </w:pPr>
      <w:rPr>
        <w:rFonts w:ascii="Times New Roman" w:eastAsia="Times New Roman" w:hAnsi="Times New Roman" w:cs="Times New Roman"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22728901">
    <w:abstractNumId w:val="14"/>
  </w:num>
  <w:num w:numId="2" w16cid:durableId="1825126295">
    <w:abstractNumId w:val="12"/>
  </w:num>
  <w:num w:numId="3" w16cid:durableId="1044646222">
    <w:abstractNumId w:val="6"/>
  </w:num>
  <w:num w:numId="4" w16cid:durableId="178932223">
    <w:abstractNumId w:val="9"/>
  </w:num>
  <w:num w:numId="5" w16cid:durableId="1293974108">
    <w:abstractNumId w:val="4"/>
  </w:num>
  <w:num w:numId="6" w16cid:durableId="532765779">
    <w:abstractNumId w:val="7"/>
  </w:num>
  <w:num w:numId="7" w16cid:durableId="940995692">
    <w:abstractNumId w:val="1"/>
  </w:num>
  <w:num w:numId="8" w16cid:durableId="1204487076">
    <w:abstractNumId w:val="8"/>
  </w:num>
  <w:num w:numId="9" w16cid:durableId="1590119954">
    <w:abstractNumId w:val="2"/>
  </w:num>
  <w:num w:numId="10" w16cid:durableId="493885644">
    <w:abstractNumId w:val="0"/>
  </w:num>
  <w:num w:numId="11" w16cid:durableId="2017609461">
    <w:abstractNumId w:val="11"/>
  </w:num>
  <w:num w:numId="12" w16cid:durableId="202522258">
    <w:abstractNumId w:val="13"/>
  </w:num>
  <w:num w:numId="13" w16cid:durableId="524682496">
    <w:abstractNumId w:val="15"/>
  </w:num>
  <w:num w:numId="14" w16cid:durableId="812062323">
    <w:abstractNumId w:val="5"/>
  </w:num>
  <w:num w:numId="15" w16cid:durableId="1814440630">
    <w:abstractNumId w:val="10"/>
  </w:num>
  <w:num w:numId="16" w16cid:durableId="896623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AF6"/>
    <w:rsid w:val="00004169"/>
    <w:rsid w:val="00020BC4"/>
    <w:rsid w:val="00023533"/>
    <w:rsid w:val="00067AFF"/>
    <w:rsid w:val="00076880"/>
    <w:rsid w:val="0008293F"/>
    <w:rsid w:val="000B3249"/>
    <w:rsid w:val="000B6F7C"/>
    <w:rsid w:val="000F418D"/>
    <w:rsid w:val="00151418"/>
    <w:rsid w:val="001760EB"/>
    <w:rsid w:val="0017708B"/>
    <w:rsid w:val="00182E42"/>
    <w:rsid w:val="001A7C1D"/>
    <w:rsid w:val="001D2947"/>
    <w:rsid w:val="001D3D32"/>
    <w:rsid w:val="00200EE0"/>
    <w:rsid w:val="0021290A"/>
    <w:rsid w:val="00212FCB"/>
    <w:rsid w:val="0023609C"/>
    <w:rsid w:val="00240742"/>
    <w:rsid w:val="00257416"/>
    <w:rsid w:val="00265889"/>
    <w:rsid w:val="002806C8"/>
    <w:rsid w:val="00294D02"/>
    <w:rsid w:val="002A1BAB"/>
    <w:rsid w:val="002A4E7A"/>
    <w:rsid w:val="002B0ACF"/>
    <w:rsid w:val="002D3825"/>
    <w:rsid w:val="00312A22"/>
    <w:rsid w:val="00413613"/>
    <w:rsid w:val="004247C6"/>
    <w:rsid w:val="00447C5F"/>
    <w:rsid w:val="00451668"/>
    <w:rsid w:val="004621E2"/>
    <w:rsid w:val="00473E61"/>
    <w:rsid w:val="004A6207"/>
    <w:rsid w:val="004E30ED"/>
    <w:rsid w:val="004F3293"/>
    <w:rsid w:val="00570B2E"/>
    <w:rsid w:val="00572549"/>
    <w:rsid w:val="00581DB3"/>
    <w:rsid w:val="005A5445"/>
    <w:rsid w:val="005B16F5"/>
    <w:rsid w:val="005B7E63"/>
    <w:rsid w:val="005C22DE"/>
    <w:rsid w:val="005D1007"/>
    <w:rsid w:val="005F3E80"/>
    <w:rsid w:val="0060324D"/>
    <w:rsid w:val="0060620D"/>
    <w:rsid w:val="00606AF7"/>
    <w:rsid w:val="0061261D"/>
    <w:rsid w:val="00623A76"/>
    <w:rsid w:val="0062513F"/>
    <w:rsid w:val="00651BB4"/>
    <w:rsid w:val="006C59B2"/>
    <w:rsid w:val="006E445A"/>
    <w:rsid w:val="006F73CF"/>
    <w:rsid w:val="00724024"/>
    <w:rsid w:val="00735668"/>
    <w:rsid w:val="007E41FF"/>
    <w:rsid w:val="008007FF"/>
    <w:rsid w:val="00801D6B"/>
    <w:rsid w:val="00806038"/>
    <w:rsid w:val="00830F5B"/>
    <w:rsid w:val="00846E26"/>
    <w:rsid w:val="008940BB"/>
    <w:rsid w:val="00894568"/>
    <w:rsid w:val="008E5412"/>
    <w:rsid w:val="008F3AF6"/>
    <w:rsid w:val="0092629C"/>
    <w:rsid w:val="0099563B"/>
    <w:rsid w:val="009B1F79"/>
    <w:rsid w:val="009B5763"/>
    <w:rsid w:val="00A25C27"/>
    <w:rsid w:val="00A56529"/>
    <w:rsid w:val="00A70966"/>
    <w:rsid w:val="00A97EBF"/>
    <w:rsid w:val="00AA1941"/>
    <w:rsid w:val="00AB034E"/>
    <w:rsid w:val="00AD5CA1"/>
    <w:rsid w:val="00B7482C"/>
    <w:rsid w:val="00B7540E"/>
    <w:rsid w:val="00B75CFC"/>
    <w:rsid w:val="00B928B0"/>
    <w:rsid w:val="00BA11CF"/>
    <w:rsid w:val="00BB2254"/>
    <w:rsid w:val="00BE0C71"/>
    <w:rsid w:val="00BE2D29"/>
    <w:rsid w:val="00C34B10"/>
    <w:rsid w:val="00C77BD9"/>
    <w:rsid w:val="00C84FB2"/>
    <w:rsid w:val="00C86F72"/>
    <w:rsid w:val="00CD2566"/>
    <w:rsid w:val="00D42BD9"/>
    <w:rsid w:val="00D46990"/>
    <w:rsid w:val="00E21B29"/>
    <w:rsid w:val="00E32747"/>
    <w:rsid w:val="00E7793D"/>
    <w:rsid w:val="00E834FA"/>
    <w:rsid w:val="00EB0424"/>
    <w:rsid w:val="00F306CC"/>
    <w:rsid w:val="00F95C7A"/>
    <w:rsid w:val="00FB0C9A"/>
    <w:rsid w:val="02739BFB"/>
    <w:rsid w:val="032D8365"/>
    <w:rsid w:val="03B6D5A7"/>
    <w:rsid w:val="03CFAEFE"/>
    <w:rsid w:val="04DB731D"/>
    <w:rsid w:val="0526846A"/>
    <w:rsid w:val="063FC60C"/>
    <w:rsid w:val="09534BFD"/>
    <w:rsid w:val="09EAF956"/>
    <w:rsid w:val="0AEBEED6"/>
    <w:rsid w:val="0B55C3DC"/>
    <w:rsid w:val="0CBB936F"/>
    <w:rsid w:val="0D2D84DD"/>
    <w:rsid w:val="0D6D2107"/>
    <w:rsid w:val="0D8C60DE"/>
    <w:rsid w:val="0E2AD134"/>
    <w:rsid w:val="0F04833B"/>
    <w:rsid w:val="11E44BFB"/>
    <w:rsid w:val="124DA349"/>
    <w:rsid w:val="12BBBCFD"/>
    <w:rsid w:val="12CFECF8"/>
    <w:rsid w:val="12DB8A46"/>
    <w:rsid w:val="15B43A31"/>
    <w:rsid w:val="16501FA2"/>
    <w:rsid w:val="175E1227"/>
    <w:rsid w:val="196137C2"/>
    <w:rsid w:val="19B22E73"/>
    <w:rsid w:val="1A0A3083"/>
    <w:rsid w:val="1A836259"/>
    <w:rsid w:val="1AFD8449"/>
    <w:rsid w:val="1B988EB2"/>
    <w:rsid w:val="1D7183D3"/>
    <w:rsid w:val="1E21360D"/>
    <w:rsid w:val="2130E497"/>
    <w:rsid w:val="22418913"/>
    <w:rsid w:val="24F0DEB7"/>
    <w:rsid w:val="25BEBBC6"/>
    <w:rsid w:val="290529FB"/>
    <w:rsid w:val="2AF990D2"/>
    <w:rsid w:val="2C15FAD9"/>
    <w:rsid w:val="2D688835"/>
    <w:rsid w:val="2D765672"/>
    <w:rsid w:val="2E142677"/>
    <w:rsid w:val="2E71F0D0"/>
    <w:rsid w:val="2F91FD41"/>
    <w:rsid w:val="30199D95"/>
    <w:rsid w:val="314C8E62"/>
    <w:rsid w:val="322317EC"/>
    <w:rsid w:val="3248F451"/>
    <w:rsid w:val="333383B9"/>
    <w:rsid w:val="3336369D"/>
    <w:rsid w:val="3426987B"/>
    <w:rsid w:val="34AC1AAF"/>
    <w:rsid w:val="353D5D01"/>
    <w:rsid w:val="35EAAB46"/>
    <w:rsid w:val="36835828"/>
    <w:rsid w:val="37ED6F92"/>
    <w:rsid w:val="3A338E82"/>
    <w:rsid w:val="3A913996"/>
    <w:rsid w:val="3AC18499"/>
    <w:rsid w:val="3B0BBD34"/>
    <w:rsid w:val="3CDF2341"/>
    <w:rsid w:val="3DA887FE"/>
    <w:rsid w:val="3E8E9CF7"/>
    <w:rsid w:val="3EC5DF11"/>
    <w:rsid w:val="3F104098"/>
    <w:rsid w:val="3F9CD453"/>
    <w:rsid w:val="3FD1F38B"/>
    <w:rsid w:val="41244267"/>
    <w:rsid w:val="44C6280B"/>
    <w:rsid w:val="4542330F"/>
    <w:rsid w:val="45C1DF47"/>
    <w:rsid w:val="48485DEA"/>
    <w:rsid w:val="49218D94"/>
    <w:rsid w:val="494778BD"/>
    <w:rsid w:val="4A63130A"/>
    <w:rsid w:val="4B09F2F8"/>
    <w:rsid w:val="4DB21960"/>
    <w:rsid w:val="4E2AD715"/>
    <w:rsid w:val="4EE7E060"/>
    <w:rsid w:val="579C3FC9"/>
    <w:rsid w:val="5B844E4B"/>
    <w:rsid w:val="5C2966C2"/>
    <w:rsid w:val="5C97FF41"/>
    <w:rsid w:val="5EB016B9"/>
    <w:rsid w:val="638378DF"/>
    <w:rsid w:val="63ADBECA"/>
    <w:rsid w:val="6503D64B"/>
    <w:rsid w:val="65EE62B7"/>
    <w:rsid w:val="6619D06F"/>
    <w:rsid w:val="66304443"/>
    <w:rsid w:val="679E9110"/>
    <w:rsid w:val="695A3652"/>
    <w:rsid w:val="6B3571BB"/>
    <w:rsid w:val="6BF4FD0A"/>
    <w:rsid w:val="6C4DDAEF"/>
    <w:rsid w:val="6D8B4B58"/>
    <w:rsid w:val="6F61AE56"/>
    <w:rsid w:val="70669FCD"/>
    <w:rsid w:val="70BF7BDD"/>
    <w:rsid w:val="717D8ACA"/>
    <w:rsid w:val="71C2E718"/>
    <w:rsid w:val="71CF2EF2"/>
    <w:rsid w:val="7265297E"/>
    <w:rsid w:val="73620282"/>
    <w:rsid w:val="74823088"/>
    <w:rsid w:val="7645E5D1"/>
    <w:rsid w:val="7941435F"/>
    <w:rsid w:val="798250D1"/>
    <w:rsid w:val="7A0D790B"/>
    <w:rsid w:val="7D177B55"/>
    <w:rsid w:val="7D52C65C"/>
    <w:rsid w:val="7DBD71AD"/>
    <w:rsid w:val="7E6C9CA1"/>
    <w:rsid w:val="7FAB00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95D09"/>
  <w15:docId w15:val="{CB0E033F-8CE1-4717-AE3E-D957D022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5D1007"/>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aliases w:val="H2,Titre 2 tbo,Sub-Head1,h2,Heading 2- no#,2m,PA Major Section,Podkapitola1,hlavicka"/>
    <w:basedOn w:val="Normal"/>
    <w:next w:val="Normal"/>
    <w:link w:val="Heading2Char"/>
    <w:uiPriority w:val="99"/>
    <w:unhideWhenUsed/>
    <w:qFormat/>
    <w:rsid w:val="005D1007"/>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281"/>
    </w:pPr>
    <w:rPr>
      <w:rFonts w:ascii="Times New Roman" w:eastAsia="Times New Roman" w:hAnsi="Times New Roman" w:cs="Times New Roman"/>
      <w:color w:val="0563C1"/>
      <w:sz w:val="20"/>
      <w:u w:val="single" w:color="0563C1"/>
    </w:rPr>
  </w:style>
  <w:style w:type="character" w:customStyle="1" w:styleId="footnotedescriptionChar">
    <w:name w:val="footnote description Char"/>
    <w:link w:val="footnotedescription"/>
    <w:rPr>
      <w:rFonts w:ascii="Times New Roman" w:eastAsia="Times New Roman" w:hAnsi="Times New Roman" w:cs="Times New Roman"/>
      <w:color w:val="0563C1"/>
      <w:sz w:val="20"/>
      <w:u w:val="single" w:color="0563C1"/>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212FCB"/>
    <w:rPr>
      <w:color w:val="0563C1" w:themeColor="hyperlink"/>
      <w:u w:val="single"/>
    </w:rPr>
  </w:style>
  <w:style w:type="character" w:styleId="UnresolvedMention">
    <w:name w:val="Unresolved Mention"/>
    <w:basedOn w:val="DefaultParagraphFont"/>
    <w:uiPriority w:val="99"/>
    <w:semiHidden/>
    <w:unhideWhenUsed/>
    <w:rsid w:val="00212FCB"/>
    <w:rPr>
      <w:color w:val="605E5C"/>
      <w:shd w:val="clear" w:color="auto" w:fill="E1DFDD"/>
    </w:rPr>
  </w:style>
  <w:style w:type="paragraph" w:styleId="ListParagraph">
    <w:name w:val="List Paragraph"/>
    <w:aliases w:val="H&amp;P List Paragraph,Virsraksti,Syle 1,Normal bullet 2,Bullet list,2,Strip,Colorful List - Accent 12,Saistīto dokumentu saraksts,Numurets,PPS_Bullet,list paragraph,h&amp;p list paragraph,saistīto dokumentu saraksts,syle 1,Citation List,lp1"/>
    <w:basedOn w:val="Normal"/>
    <w:link w:val="ListParagraphChar"/>
    <w:qFormat/>
    <w:rsid w:val="00212FCB"/>
    <w:pPr>
      <w:ind w:left="720"/>
      <w:contextualSpacing/>
    </w:pPr>
  </w:style>
  <w:style w:type="character" w:customStyle="1" w:styleId="ListParagraphChar">
    <w:name w:val="List Paragraph Char"/>
    <w:aliases w:val="H&amp;P List Paragraph Char,Virsraksti Char,Syle 1 Char,Normal bullet 2 Char,Bullet list Char,2 Char,Strip Char,Colorful List - Accent 12 Char,Saistīto dokumentu saraksts Char,Numurets Char,PPS_Bullet Char,list paragraph Char,syle 1 Char"/>
    <w:link w:val="ListParagraph"/>
    <w:uiPriority w:val="34"/>
    <w:qFormat/>
    <w:rsid w:val="00212FCB"/>
    <w:rPr>
      <w:rFonts w:ascii="Calibri" w:eastAsia="Calibri" w:hAnsi="Calibri" w:cs="Calibri"/>
      <w:color w:val="000000"/>
    </w:rPr>
  </w:style>
  <w:style w:type="character" w:customStyle="1" w:styleId="Other">
    <w:name w:val="Other_"/>
    <w:basedOn w:val="DefaultParagraphFont"/>
    <w:link w:val="Other0"/>
    <w:locked/>
    <w:rsid w:val="00212FCB"/>
    <w:rPr>
      <w:rFonts w:ascii="Times New Roman" w:eastAsia="Times New Roman" w:hAnsi="Times New Roman"/>
    </w:rPr>
  </w:style>
  <w:style w:type="paragraph" w:customStyle="1" w:styleId="Other0">
    <w:name w:val="Other"/>
    <w:basedOn w:val="Normal"/>
    <w:link w:val="Other"/>
    <w:rsid w:val="00212FCB"/>
    <w:pPr>
      <w:widowControl w:val="0"/>
      <w:spacing w:after="0" w:line="240" w:lineRule="auto"/>
    </w:pPr>
    <w:rPr>
      <w:rFonts w:ascii="Times New Roman" w:eastAsia="Times New Roman" w:hAnsi="Times New Roman" w:cstheme="minorBidi"/>
      <w:color w:val="auto"/>
    </w:rPr>
  </w:style>
  <w:style w:type="paragraph" w:customStyle="1" w:styleId="Hipo-Heading1">
    <w:name w:val="Hipo-Heading1"/>
    <w:rsid w:val="00212FCB"/>
    <w:pPr>
      <w:numPr>
        <w:numId w:val="6"/>
      </w:numPr>
      <w:suppressAutoHyphens/>
      <w:autoSpaceDN w:val="0"/>
      <w:spacing w:before="360" w:after="240" w:line="240" w:lineRule="auto"/>
      <w:textAlignment w:val="baseline"/>
    </w:pPr>
    <w:rPr>
      <w:rFonts w:ascii="Times New Roman" w:eastAsia="Times New Roman" w:hAnsi="Times New Roman" w:cs="Times New Roman"/>
      <w:b/>
      <w:sz w:val="24"/>
      <w:szCs w:val="20"/>
    </w:rPr>
  </w:style>
  <w:style w:type="numbering" w:customStyle="1" w:styleId="LFO9">
    <w:name w:val="LFO9"/>
    <w:basedOn w:val="NoList"/>
    <w:rsid w:val="00212FCB"/>
    <w:pPr>
      <w:numPr>
        <w:numId w:val="6"/>
      </w:numPr>
    </w:pPr>
  </w:style>
  <w:style w:type="character" w:customStyle="1" w:styleId="Heading1Char">
    <w:name w:val="Heading 1 Char"/>
    <w:basedOn w:val="DefaultParagraphFont"/>
    <w:link w:val="Heading1"/>
    <w:uiPriority w:val="9"/>
    <w:rsid w:val="005D1007"/>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aliases w:val="H2 Char,Titre 2 tbo Char,Sub-Head1 Char,h2 Char,Heading 2- no# Char,2m Char,PA Major Section Char,Podkapitola1 Char,hlavicka Char"/>
    <w:basedOn w:val="DefaultParagraphFont"/>
    <w:link w:val="Heading2"/>
    <w:uiPriority w:val="99"/>
    <w:rsid w:val="005D1007"/>
    <w:rPr>
      <w:rFonts w:asciiTheme="majorHAnsi" w:eastAsiaTheme="majorEastAsia" w:hAnsiTheme="majorHAnsi" w:cstheme="majorBidi"/>
      <w:color w:val="2F5496" w:themeColor="accent1" w:themeShade="BF"/>
      <w:sz w:val="26"/>
      <w:szCs w:val="26"/>
      <w:lang w:eastAsia="en-US"/>
    </w:rPr>
  </w:style>
  <w:style w:type="paragraph" w:styleId="Title">
    <w:name w:val="Title"/>
    <w:basedOn w:val="Normal"/>
    <w:next w:val="Normal"/>
    <w:link w:val="TitleChar"/>
    <w:uiPriority w:val="10"/>
    <w:qFormat/>
    <w:rsid w:val="005D1007"/>
    <w:pPr>
      <w:spacing w:after="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5D1007"/>
    <w:rPr>
      <w:rFonts w:asciiTheme="majorHAnsi" w:eastAsiaTheme="majorEastAsia" w:hAnsiTheme="majorHAnsi" w:cstheme="majorBidi"/>
      <w:spacing w:val="-10"/>
      <w:kern w:val="28"/>
      <w:sz w:val="56"/>
      <w:szCs w:val="56"/>
      <w:lang w:eastAsia="en-US"/>
    </w:rPr>
  </w:style>
  <w:style w:type="paragraph" w:customStyle="1" w:styleId="AltumTableBullet">
    <w:name w:val="Altum Table Bullet"/>
    <w:basedOn w:val="Normal"/>
    <w:autoRedefine/>
    <w:qFormat/>
    <w:rsid w:val="005D1007"/>
    <w:pPr>
      <w:overflowPunct w:val="0"/>
      <w:autoSpaceDE w:val="0"/>
      <w:autoSpaceDN w:val="0"/>
      <w:adjustRightInd w:val="0"/>
      <w:spacing w:after="0" w:line="240" w:lineRule="auto"/>
      <w:textAlignment w:val="baseline"/>
    </w:pPr>
    <w:rPr>
      <w:rFonts w:eastAsia="MS Mincho" w:cs="Times New Roman"/>
      <w:color w:val="auto"/>
      <w:sz w:val="20"/>
      <w:szCs w:val="20"/>
      <w:lang w:eastAsia="en-US"/>
    </w:rPr>
  </w:style>
  <w:style w:type="character" w:styleId="CommentReference">
    <w:name w:val="annotation reference"/>
    <w:basedOn w:val="DefaultParagraphFont"/>
    <w:unhideWhenUsed/>
    <w:rsid w:val="005D1007"/>
    <w:rPr>
      <w:sz w:val="16"/>
      <w:szCs w:val="16"/>
    </w:rPr>
  </w:style>
  <w:style w:type="paragraph" w:styleId="CommentText">
    <w:name w:val="annotation text"/>
    <w:basedOn w:val="Normal"/>
    <w:link w:val="CommentTextChar"/>
    <w:uiPriority w:val="99"/>
    <w:unhideWhenUsed/>
    <w:rsid w:val="005D1007"/>
    <w:pPr>
      <w:spacing w:line="240" w:lineRule="auto"/>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rsid w:val="005D1007"/>
    <w:rPr>
      <w:rFonts w:eastAsiaTheme="minorHAnsi"/>
      <w:sz w:val="20"/>
      <w:szCs w:val="20"/>
      <w:lang w:eastAsia="en-US"/>
    </w:rPr>
  </w:style>
  <w:style w:type="paragraph" w:customStyle="1" w:styleId="Tabulasvirsraksts">
    <w:name w:val="Tabulas virsraksts"/>
    <w:basedOn w:val="Normal"/>
    <w:qFormat/>
    <w:rsid w:val="005D1007"/>
    <w:pPr>
      <w:spacing w:before="60" w:after="60" w:line="240" w:lineRule="auto"/>
      <w:jc w:val="center"/>
    </w:pPr>
    <w:rPr>
      <w:rFonts w:ascii="Times New Roman" w:eastAsia="Times New Roman" w:hAnsi="Times New Roman" w:cs="Times New Roman"/>
      <w:b/>
      <w:color w:val="0D0D0D" w:themeColor="text1" w:themeTint="F2"/>
      <w:sz w:val="20"/>
      <w:szCs w:val="24"/>
    </w:rPr>
  </w:style>
  <w:style w:type="paragraph" w:customStyle="1" w:styleId="Tabulasteksts">
    <w:name w:val="Tabulas teksts"/>
    <w:link w:val="TabulastekstsChar"/>
    <w:qFormat/>
    <w:rsid w:val="005D1007"/>
    <w:pPr>
      <w:spacing w:before="40" w:after="40" w:line="240" w:lineRule="auto"/>
    </w:pPr>
    <w:rPr>
      <w:rFonts w:ascii="Times New Roman" w:eastAsia="Times New Roman" w:hAnsi="Times New Roman" w:cs="Times New Roman"/>
      <w:sz w:val="20"/>
      <w:szCs w:val="20"/>
    </w:rPr>
  </w:style>
  <w:style w:type="character" w:customStyle="1" w:styleId="TabulastekstsChar">
    <w:name w:val="Tabulas teksts Char"/>
    <w:link w:val="Tabulasteksts"/>
    <w:locked/>
    <w:rsid w:val="005D1007"/>
    <w:rPr>
      <w:rFonts w:ascii="Times New Roman" w:eastAsia="Times New Roman" w:hAnsi="Times New Roman" w:cs="Times New Roman"/>
      <w:sz w:val="20"/>
      <w:szCs w:val="20"/>
    </w:rPr>
  </w:style>
  <w:style w:type="paragraph" w:customStyle="1" w:styleId="xmsonormal">
    <w:name w:val="x_msonormal"/>
    <w:basedOn w:val="Normal"/>
    <w:rsid w:val="005D1007"/>
    <w:pPr>
      <w:spacing w:after="0" w:line="240" w:lineRule="auto"/>
    </w:pPr>
    <w:rPr>
      <w:rFonts w:eastAsiaTheme="minorHAnsi"/>
      <w:color w:val="auto"/>
    </w:rPr>
  </w:style>
  <w:style w:type="table" w:customStyle="1" w:styleId="TableGrid0">
    <w:name w:val="Table Grid0"/>
    <w:basedOn w:val="TableNormal"/>
    <w:uiPriority w:val="39"/>
    <w:rsid w:val="0017708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DB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81DB3"/>
    <w:rPr>
      <w:rFonts w:ascii="Calibri" w:eastAsia="Calibri" w:hAnsi="Calibri" w:cs="Calibri"/>
      <w:color w:val="000000"/>
    </w:rPr>
  </w:style>
  <w:style w:type="paragraph" w:styleId="Footer">
    <w:name w:val="footer"/>
    <w:basedOn w:val="Normal"/>
    <w:link w:val="FooterChar"/>
    <w:uiPriority w:val="99"/>
    <w:unhideWhenUsed/>
    <w:rsid w:val="00581DB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81DB3"/>
    <w:rPr>
      <w:rFonts w:ascii="Calibri" w:eastAsia="Calibri" w:hAnsi="Calibri" w:cs="Calibri"/>
      <w:color w:val="000000"/>
    </w:rPr>
  </w:style>
  <w:style w:type="paragraph" w:customStyle="1" w:styleId="paragraph">
    <w:name w:val="paragraph"/>
    <w:basedOn w:val="Normal"/>
    <w:rsid w:val="004F329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4F3293"/>
  </w:style>
  <w:style w:type="character" w:customStyle="1" w:styleId="eop">
    <w:name w:val="eop"/>
    <w:basedOn w:val="DefaultParagraphFont"/>
    <w:rsid w:val="004F3293"/>
  </w:style>
  <w:style w:type="paragraph" w:styleId="Revision">
    <w:name w:val="Revision"/>
    <w:hidden/>
    <w:uiPriority w:val="99"/>
    <w:semiHidden/>
    <w:rsid w:val="0062513F"/>
    <w:pPr>
      <w:spacing w:after="0" w:line="240" w:lineRule="auto"/>
    </w:pPr>
    <w:rPr>
      <w:rFonts w:ascii="Calibri" w:eastAsia="Calibri" w:hAnsi="Calibri" w:cs="Calibri"/>
      <w:color w:val="000000"/>
    </w:rPr>
  </w:style>
  <w:style w:type="paragraph" w:customStyle="1" w:styleId="tv213">
    <w:name w:val="tv213"/>
    <w:basedOn w:val="Normal"/>
    <w:rsid w:val="005A5445"/>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38835">
      <w:bodyDiv w:val="1"/>
      <w:marLeft w:val="0"/>
      <w:marRight w:val="0"/>
      <w:marTop w:val="0"/>
      <w:marBottom w:val="0"/>
      <w:divBdr>
        <w:top w:val="none" w:sz="0" w:space="0" w:color="auto"/>
        <w:left w:val="none" w:sz="0" w:space="0" w:color="auto"/>
        <w:bottom w:val="none" w:sz="0" w:space="0" w:color="auto"/>
        <w:right w:val="none" w:sz="0" w:space="0" w:color="auto"/>
      </w:divBdr>
    </w:div>
    <w:div w:id="175385684">
      <w:bodyDiv w:val="1"/>
      <w:marLeft w:val="0"/>
      <w:marRight w:val="0"/>
      <w:marTop w:val="0"/>
      <w:marBottom w:val="0"/>
      <w:divBdr>
        <w:top w:val="none" w:sz="0" w:space="0" w:color="auto"/>
        <w:left w:val="none" w:sz="0" w:space="0" w:color="auto"/>
        <w:bottom w:val="none" w:sz="0" w:space="0" w:color="auto"/>
        <w:right w:val="none" w:sz="0" w:space="0" w:color="auto"/>
      </w:divBdr>
    </w:div>
    <w:div w:id="416678999">
      <w:bodyDiv w:val="1"/>
      <w:marLeft w:val="0"/>
      <w:marRight w:val="0"/>
      <w:marTop w:val="0"/>
      <w:marBottom w:val="0"/>
      <w:divBdr>
        <w:top w:val="none" w:sz="0" w:space="0" w:color="auto"/>
        <w:left w:val="none" w:sz="0" w:space="0" w:color="auto"/>
        <w:bottom w:val="none" w:sz="0" w:space="0" w:color="auto"/>
        <w:right w:val="none" w:sz="0" w:space="0" w:color="auto"/>
      </w:divBdr>
    </w:div>
    <w:div w:id="434859996">
      <w:bodyDiv w:val="1"/>
      <w:marLeft w:val="0"/>
      <w:marRight w:val="0"/>
      <w:marTop w:val="0"/>
      <w:marBottom w:val="0"/>
      <w:divBdr>
        <w:top w:val="none" w:sz="0" w:space="0" w:color="auto"/>
        <w:left w:val="none" w:sz="0" w:space="0" w:color="auto"/>
        <w:bottom w:val="none" w:sz="0" w:space="0" w:color="auto"/>
        <w:right w:val="none" w:sz="0" w:space="0" w:color="auto"/>
      </w:divBdr>
    </w:div>
    <w:div w:id="442576978">
      <w:bodyDiv w:val="1"/>
      <w:marLeft w:val="0"/>
      <w:marRight w:val="0"/>
      <w:marTop w:val="0"/>
      <w:marBottom w:val="0"/>
      <w:divBdr>
        <w:top w:val="none" w:sz="0" w:space="0" w:color="auto"/>
        <w:left w:val="none" w:sz="0" w:space="0" w:color="auto"/>
        <w:bottom w:val="none" w:sz="0" w:space="0" w:color="auto"/>
        <w:right w:val="none" w:sz="0" w:space="0" w:color="auto"/>
      </w:divBdr>
    </w:div>
    <w:div w:id="602807614">
      <w:bodyDiv w:val="1"/>
      <w:marLeft w:val="0"/>
      <w:marRight w:val="0"/>
      <w:marTop w:val="0"/>
      <w:marBottom w:val="0"/>
      <w:divBdr>
        <w:top w:val="none" w:sz="0" w:space="0" w:color="auto"/>
        <w:left w:val="none" w:sz="0" w:space="0" w:color="auto"/>
        <w:bottom w:val="none" w:sz="0" w:space="0" w:color="auto"/>
        <w:right w:val="none" w:sz="0" w:space="0" w:color="auto"/>
      </w:divBdr>
    </w:div>
    <w:div w:id="668867382">
      <w:bodyDiv w:val="1"/>
      <w:marLeft w:val="0"/>
      <w:marRight w:val="0"/>
      <w:marTop w:val="0"/>
      <w:marBottom w:val="0"/>
      <w:divBdr>
        <w:top w:val="none" w:sz="0" w:space="0" w:color="auto"/>
        <w:left w:val="none" w:sz="0" w:space="0" w:color="auto"/>
        <w:bottom w:val="none" w:sz="0" w:space="0" w:color="auto"/>
        <w:right w:val="none" w:sz="0" w:space="0" w:color="auto"/>
      </w:divBdr>
    </w:div>
    <w:div w:id="715667157">
      <w:bodyDiv w:val="1"/>
      <w:marLeft w:val="0"/>
      <w:marRight w:val="0"/>
      <w:marTop w:val="0"/>
      <w:marBottom w:val="0"/>
      <w:divBdr>
        <w:top w:val="none" w:sz="0" w:space="0" w:color="auto"/>
        <w:left w:val="none" w:sz="0" w:space="0" w:color="auto"/>
        <w:bottom w:val="none" w:sz="0" w:space="0" w:color="auto"/>
        <w:right w:val="none" w:sz="0" w:space="0" w:color="auto"/>
      </w:divBdr>
    </w:div>
    <w:div w:id="891355839">
      <w:bodyDiv w:val="1"/>
      <w:marLeft w:val="0"/>
      <w:marRight w:val="0"/>
      <w:marTop w:val="0"/>
      <w:marBottom w:val="0"/>
      <w:divBdr>
        <w:top w:val="none" w:sz="0" w:space="0" w:color="auto"/>
        <w:left w:val="none" w:sz="0" w:space="0" w:color="auto"/>
        <w:bottom w:val="none" w:sz="0" w:space="0" w:color="auto"/>
        <w:right w:val="none" w:sz="0" w:space="0" w:color="auto"/>
      </w:divBdr>
    </w:div>
    <w:div w:id="1093159617">
      <w:bodyDiv w:val="1"/>
      <w:marLeft w:val="0"/>
      <w:marRight w:val="0"/>
      <w:marTop w:val="0"/>
      <w:marBottom w:val="0"/>
      <w:divBdr>
        <w:top w:val="none" w:sz="0" w:space="0" w:color="auto"/>
        <w:left w:val="none" w:sz="0" w:space="0" w:color="auto"/>
        <w:bottom w:val="none" w:sz="0" w:space="0" w:color="auto"/>
        <w:right w:val="none" w:sz="0" w:space="0" w:color="auto"/>
      </w:divBdr>
      <w:divsChild>
        <w:div w:id="1814522439">
          <w:marLeft w:val="0"/>
          <w:marRight w:val="0"/>
          <w:marTop w:val="0"/>
          <w:marBottom w:val="0"/>
          <w:divBdr>
            <w:top w:val="none" w:sz="0" w:space="0" w:color="auto"/>
            <w:left w:val="none" w:sz="0" w:space="0" w:color="auto"/>
            <w:bottom w:val="none" w:sz="0" w:space="0" w:color="auto"/>
            <w:right w:val="none" w:sz="0" w:space="0" w:color="auto"/>
          </w:divBdr>
        </w:div>
      </w:divsChild>
    </w:div>
    <w:div w:id="1312708985">
      <w:bodyDiv w:val="1"/>
      <w:marLeft w:val="0"/>
      <w:marRight w:val="0"/>
      <w:marTop w:val="0"/>
      <w:marBottom w:val="0"/>
      <w:divBdr>
        <w:top w:val="none" w:sz="0" w:space="0" w:color="auto"/>
        <w:left w:val="none" w:sz="0" w:space="0" w:color="auto"/>
        <w:bottom w:val="none" w:sz="0" w:space="0" w:color="auto"/>
        <w:right w:val="none" w:sz="0" w:space="0" w:color="auto"/>
      </w:divBdr>
    </w:div>
    <w:div w:id="1386953179">
      <w:bodyDiv w:val="1"/>
      <w:marLeft w:val="0"/>
      <w:marRight w:val="0"/>
      <w:marTop w:val="0"/>
      <w:marBottom w:val="0"/>
      <w:divBdr>
        <w:top w:val="none" w:sz="0" w:space="0" w:color="auto"/>
        <w:left w:val="none" w:sz="0" w:space="0" w:color="auto"/>
        <w:bottom w:val="none" w:sz="0" w:space="0" w:color="auto"/>
        <w:right w:val="none" w:sz="0" w:space="0" w:color="auto"/>
      </w:divBdr>
      <w:divsChild>
        <w:div w:id="1418985990">
          <w:marLeft w:val="0"/>
          <w:marRight w:val="0"/>
          <w:marTop w:val="0"/>
          <w:marBottom w:val="0"/>
          <w:divBdr>
            <w:top w:val="none" w:sz="0" w:space="0" w:color="auto"/>
            <w:left w:val="none" w:sz="0" w:space="0" w:color="auto"/>
            <w:bottom w:val="none" w:sz="0" w:space="0" w:color="auto"/>
            <w:right w:val="none" w:sz="0" w:space="0" w:color="auto"/>
          </w:divBdr>
        </w:div>
        <w:div w:id="694581595">
          <w:marLeft w:val="0"/>
          <w:marRight w:val="0"/>
          <w:marTop w:val="0"/>
          <w:marBottom w:val="0"/>
          <w:divBdr>
            <w:top w:val="none" w:sz="0" w:space="0" w:color="auto"/>
            <w:left w:val="none" w:sz="0" w:space="0" w:color="auto"/>
            <w:bottom w:val="none" w:sz="0" w:space="0" w:color="auto"/>
            <w:right w:val="none" w:sz="0" w:space="0" w:color="auto"/>
          </w:divBdr>
        </w:div>
        <w:div w:id="1089543546">
          <w:marLeft w:val="0"/>
          <w:marRight w:val="0"/>
          <w:marTop w:val="0"/>
          <w:marBottom w:val="0"/>
          <w:divBdr>
            <w:top w:val="none" w:sz="0" w:space="0" w:color="auto"/>
            <w:left w:val="none" w:sz="0" w:space="0" w:color="auto"/>
            <w:bottom w:val="none" w:sz="0" w:space="0" w:color="auto"/>
            <w:right w:val="none" w:sz="0" w:space="0" w:color="auto"/>
          </w:divBdr>
        </w:div>
      </w:divsChild>
    </w:div>
    <w:div w:id="1879659857">
      <w:bodyDiv w:val="1"/>
      <w:marLeft w:val="0"/>
      <w:marRight w:val="0"/>
      <w:marTop w:val="0"/>
      <w:marBottom w:val="0"/>
      <w:divBdr>
        <w:top w:val="none" w:sz="0" w:space="0" w:color="auto"/>
        <w:left w:val="none" w:sz="0" w:space="0" w:color="auto"/>
        <w:bottom w:val="none" w:sz="0" w:space="0" w:color="auto"/>
        <w:right w:val="none" w:sz="0" w:space="0" w:color="auto"/>
      </w:divBdr>
    </w:div>
    <w:div w:id="2060667095">
      <w:bodyDiv w:val="1"/>
      <w:marLeft w:val="0"/>
      <w:marRight w:val="0"/>
      <w:marTop w:val="0"/>
      <w:marBottom w:val="0"/>
      <w:divBdr>
        <w:top w:val="none" w:sz="0" w:space="0" w:color="auto"/>
        <w:left w:val="none" w:sz="0" w:space="0" w:color="auto"/>
        <w:bottom w:val="none" w:sz="0" w:space="0" w:color="auto"/>
        <w:right w:val="none" w:sz="0" w:space="0" w:color="auto"/>
      </w:divBdr>
      <w:divsChild>
        <w:div w:id="8997504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248EA917CE45ADAF8E5CCCC10E76" ma:contentTypeVersion="10" ma:contentTypeDescription="Create a new document." ma:contentTypeScope="" ma:versionID="92c6cb60250c17e5a859512a2c4189a7">
  <xsd:schema xmlns:xsd="http://www.w3.org/2001/XMLSchema" xmlns:xs="http://www.w3.org/2001/XMLSchema" xmlns:p="http://schemas.microsoft.com/office/2006/metadata/properties" xmlns:ns2="ce74d0a9-1a79-44a9-a8c7-eadf2a05682b" xmlns:ns3="98b47a1c-124e-446d-b9bd-13ece514fda7" targetNamespace="http://schemas.microsoft.com/office/2006/metadata/properties" ma:root="true" ma:fieldsID="e5b68c3d0c3494fb6c20814ca43879ed" ns2:_="" ns3:_="">
    <xsd:import namespace="ce74d0a9-1a79-44a9-a8c7-eadf2a05682b"/>
    <xsd:import namespace="98b47a1c-124e-446d-b9bd-13ece514fda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4d0a9-1a79-44a9-a8c7-eadf2a0568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b47a1c-124e-446d-b9bd-13ece514fd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69A0C-F957-47A4-88B3-3AE5D1D3C78A}">
  <ds:schemaRefs>
    <ds:schemaRef ds:uri="http://schemas.microsoft.com/sharepoint/v3/contenttype/forms"/>
  </ds:schemaRefs>
</ds:datastoreItem>
</file>

<file path=customXml/itemProps2.xml><?xml version="1.0" encoding="utf-8"?>
<ds:datastoreItem xmlns:ds="http://schemas.openxmlformats.org/officeDocument/2006/customXml" ds:itemID="{511E3708-2B4E-4F74-8082-4EA5A9C32D89}">
  <ds:schemaRefs>
    <ds:schemaRef ds:uri="http://schemas.microsoft.com/office/2006/metadata/properties"/>
    <ds:schemaRef ds:uri="http://schemas.microsoft.com/office/infopath/2007/PartnerControls"/>
    <ds:schemaRef ds:uri="2fb3d52d-3a5d-4c52-b66b-d2cbdb749125"/>
    <ds:schemaRef ds:uri="1b943f11-d361-4164-987f-b296d956e07c"/>
  </ds:schemaRefs>
</ds:datastoreItem>
</file>

<file path=customXml/itemProps3.xml><?xml version="1.0" encoding="utf-8"?>
<ds:datastoreItem xmlns:ds="http://schemas.openxmlformats.org/officeDocument/2006/customXml" ds:itemID="{FF7C88B2-0786-4155-A692-7A4F1796A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4d0a9-1a79-44a9-a8c7-eadf2a05682b"/>
    <ds:schemaRef ds:uri="98b47a1c-124e-446d-b9bd-13ece514f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4773</Words>
  <Characters>2722</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LVC</dc:creator>
  <cp:keywords/>
  <cp:lastModifiedBy>Aleksandrs Margevičs</cp:lastModifiedBy>
  <cp:revision>3</cp:revision>
  <dcterms:created xsi:type="dcterms:W3CDTF">2026-06-30T12:52:00Z</dcterms:created>
  <dcterms:modified xsi:type="dcterms:W3CDTF">2026-06-30T12:58:00Z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0x0101008467248EA917CE45ADAF8E5CCCC10E76</vt:lpwstr>
  </property>
</Properties>
</file>