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8B57C" w14:textId="1210C56A" w:rsidR="001E16F1" w:rsidRPr="00366514" w:rsidRDefault="00BA2709" w:rsidP="00366514">
      <w:pPr>
        <w:jc w:val="center"/>
        <w:rPr>
          <w:rFonts w:ascii="Times New Roman" w:hAnsi="Times New Roman" w:cs="Times New Roman"/>
          <w:b/>
          <w:bCs/>
          <w:sz w:val="28"/>
          <w:szCs w:val="28"/>
        </w:rPr>
      </w:pPr>
      <w:r w:rsidRPr="00366514">
        <w:rPr>
          <w:rFonts w:ascii="Times New Roman" w:hAnsi="Times New Roman" w:cs="Times New Roman"/>
          <w:b/>
          <w:bCs/>
          <w:sz w:val="28"/>
          <w:szCs w:val="28"/>
        </w:rPr>
        <w:t>Atbildes uz uzdotajiem jautājumiem</w:t>
      </w:r>
    </w:p>
    <w:p w14:paraId="4CC2D59B" w14:textId="48BF16C3" w:rsidR="00366514" w:rsidRPr="00366514" w:rsidRDefault="00366514" w:rsidP="00366514">
      <w:pPr>
        <w:jc w:val="center"/>
        <w:rPr>
          <w:rFonts w:ascii="Times New Roman" w:hAnsi="Times New Roman" w:cs="Times New Roman"/>
        </w:rPr>
      </w:pPr>
      <w:r w:rsidRPr="00366514">
        <w:rPr>
          <w:rFonts w:ascii="Times New Roman" w:eastAsia="Times New Roman" w:hAnsi="Times New Roman" w:cs="Times New Roman"/>
          <w:iCs/>
          <w:kern w:val="0"/>
          <w:lang w:eastAsia="ar-SA"/>
          <w14:ligatures w14:val="none"/>
        </w:rPr>
        <w:t>Atklātā konkursā “Vispārīgā vienošanās par dažādu inženiersistēmu skaitītāju un to datu eksporta moduļu piegādi, uzstādīšanu un garantijas nodrošināšanu dažādās profesionālajās izglītības iestādēs un koledžās” ID Nr. VIAA 2026/30 ERAF</w:t>
      </w:r>
    </w:p>
    <w:tbl>
      <w:tblPr>
        <w:tblStyle w:val="TableGrid"/>
        <w:tblW w:w="0" w:type="auto"/>
        <w:tblLook w:val="04A0" w:firstRow="1" w:lastRow="0" w:firstColumn="1" w:lastColumn="0" w:noHBand="0" w:noVBand="1"/>
      </w:tblPr>
      <w:tblGrid>
        <w:gridCol w:w="6658"/>
        <w:gridCol w:w="7229"/>
      </w:tblGrid>
      <w:tr w:rsidR="006A3BA4" w:rsidRPr="00BA2709" w14:paraId="69D62EF4" w14:textId="77777777" w:rsidTr="006A3BA4">
        <w:tc>
          <w:tcPr>
            <w:tcW w:w="6658" w:type="dxa"/>
          </w:tcPr>
          <w:p w14:paraId="276F3A90" w14:textId="308B167F" w:rsidR="006A3BA4" w:rsidRPr="00BA2709" w:rsidRDefault="006A3BA4" w:rsidP="00BA2709">
            <w:pPr>
              <w:jc w:val="center"/>
              <w:rPr>
                <w:rFonts w:ascii="Times New Roman" w:hAnsi="Times New Roman" w:cs="Times New Roman"/>
              </w:rPr>
            </w:pPr>
            <w:r w:rsidRPr="00BA2709">
              <w:rPr>
                <w:rFonts w:ascii="Times New Roman" w:hAnsi="Times New Roman" w:cs="Times New Roman"/>
              </w:rPr>
              <w:t>Jautājums</w:t>
            </w:r>
          </w:p>
        </w:tc>
        <w:tc>
          <w:tcPr>
            <w:tcW w:w="7229" w:type="dxa"/>
          </w:tcPr>
          <w:p w14:paraId="71266AA5" w14:textId="77DA538F" w:rsidR="006A3BA4" w:rsidRPr="00BA2709" w:rsidRDefault="006A3BA4" w:rsidP="00BA2709">
            <w:pPr>
              <w:jc w:val="center"/>
              <w:rPr>
                <w:rFonts w:ascii="Times New Roman" w:hAnsi="Times New Roman" w:cs="Times New Roman"/>
              </w:rPr>
            </w:pPr>
            <w:r w:rsidRPr="00BA2709">
              <w:rPr>
                <w:rFonts w:ascii="Times New Roman" w:hAnsi="Times New Roman" w:cs="Times New Roman"/>
              </w:rPr>
              <w:t>Atbilde</w:t>
            </w:r>
          </w:p>
        </w:tc>
      </w:tr>
      <w:tr w:rsidR="006A3BA4" w:rsidRPr="00BA2709" w14:paraId="3EA79687" w14:textId="77777777" w:rsidTr="006A3BA4">
        <w:tc>
          <w:tcPr>
            <w:tcW w:w="6658" w:type="dxa"/>
          </w:tcPr>
          <w:p w14:paraId="1EDD7D92"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No siltumskaitītāju piegādātāja esam saņēmuši komentāru par tehniskās specifikācijas prasību, lai Siltumapgādes sistēmas enerģijas patēriņa monitorēšanas iekārtas būtu piemērotas glikola siltumnesējam.</w:t>
            </w:r>
          </w:p>
          <w:p w14:paraId="32271D23" w14:textId="77777777" w:rsidR="006A3BA4" w:rsidRPr="00666DC4" w:rsidRDefault="006A3BA4" w:rsidP="00666DC4">
            <w:pPr>
              <w:rPr>
                <w:rFonts w:ascii="Times New Roman" w:hAnsi="Times New Roman" w:cs="Times New Roman"/>
              </w:rPr>
            </w:pPr>
          </w:p>
          <w:p w14:paraId="21958C0D"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Galvenie iemesli kāpēc ultraskaņu nav ieteicams izmantot glikolam:</w:t>
            </w:r>
          </w:p>
          <w:p w14:paraId="012A9B61"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Mainās ultraskaņas izplatīšanās ātrums</w:t>
            </w:r>
          </w:p>
          <w:p w14:paraId="5A9784BF"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*Ultraskaņas plūsmas mērītājs nosaka plūsmu pēc skaņas viļņu izplatīšanās laika.</w:t>
            </w:r>
          </w:p>
          <w:p w14:paraId="01CC692F"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*Glikola maisījumā skaņas ātrums atšķiras no ūdens un ir atkarīgs no glikola koncentrācijas un temperatūras.</w:t>
            </w:r>
          </w:p>
          <w:p w14:paraId="19EBEE31"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*Ja skaitītājs ir kalibrēts tikai ūdenim, plūsmas mērījumā var rasties kļūdas.</w:t>
            </w:r>
          </w:p>
          <w:p w14:paraId="0B1D9789"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 xml:space="preserve"> </w:t>
            </w:r>
          </w:p>
          <w:p w14:paraId="094B2310"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Lielāka viskozitāte</w:t>
            </w:r>
          </w:p>
          <w:p w14:paraId="228CCA72"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*Glikols ir viskozāks nekā ūdens, īpaši zemās temperatūrās.</w:t>
            </w:r>
          </w:p>
          <w:p w14:paraId="0E3F42A5"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*Tas var mainīt plūsmas profilu caurulē, un dažiem ultraskaņas sensoriem tas samazina mērījumu precizitāti.</w:t>
            </w:r>
          </w:p>
          <w:p w14:paraId="2BEC7581"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 xml:space="preserve"> </w:t>
            </w:r>
          </w:p>
          <w:p w14:paraId="2964AD3B"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Siltuma īpašību izmaiņas</w:t>
            </w:r>
          </w:p>
          <w:p w14:paraId="16568255"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*Siltuma skaitītājs enerģiju aprēķina no plūsmas un temperatūras starpības.</w:t>
            </w:r>
          </w:p>
          <w:p w14:paraId="0FD2BED0"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lastRenderedPageBreak/>
              <w:t>*Glikola maisījuma blīvums un siltumietilpība atšķiras no ūdens un mainās atkarībā no koncentrācijas.</w:t>
            </w:r>
          </w:p>
          <w:p w14:paraId="22EEF36D"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*Ja skaitītājs neņem vērā glikola koncentrāciju, enerģijas uzskaite būs neprecīza.</w:t>
            </w:r>
          </w:p>
          <w:p w14:paraId="43FD6979"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 xml:space="preserve"> </w:t>
            </w:r>
          </w:p>
          <w:p w14:paraId="6BC42EBB"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Verifikācijas un MID prasības</w:t>
            </w:r>
          </w:p>
          <w:p w14:paraId="6041ABBA"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*Daudzi sertificēti siltuma skaitītāji ir verificēti tikai darbam ar ūdeni.</w:t>
            </w:r>
          </w:p>
          <w:p w14:paraId="5265D8B5"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*Lietojot glikolu, ražotājs var vairs negarantēt deklarēto precizitātes klasi vai atbilstību normatīvajām prasībām.</w:t>
            </w:r>
          </w:p>
          <w:p w14:paraId="2837854D"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 xml:space="preserve"> </w:t>
            </w:r>
          </w:p>
          <w:p w14:paraId="7501A3E0"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Gaisa burbuļi un piemaisījumi</w:t>
            </w:r>
          </w:p>
          <w:p w14:paraId="5AF8BE76"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*Glikola sistēmās biežāk rodas mikroburbuļi.</w:t>
            </w:r>
          </w:p>
          <w:p w14:paraId="13AF98E6"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*Ultraskaņas signāls ir jutīgs pret gaisu šķidrumā, tāpēc var pasliktināties mērījuma stabilitāte.</w:t>
            </w:r>
          </w:p>
          <w:p w14:paraId="528975D6" w14:textId="77777777" w:rsidR="006A3BA4" w:rsidRPr="00666DC4" w:rsidRDefault="006A3BA4" w:rsidP="00666DC4">
            <w:pPr>
              <w:rPr>
                <w:rFonts w:ascii="Times New Roman" w:hAnsi="Times New Roman" w:cs="Times New Roman"/>
              </w:rPr>
            </w:pPr>
          </w:p>
          <w:p w14:paraId="7E7A7B1D"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Arī citos avotos ir minēts ka, ja glikola koncentrācija siltumnesējā pārsniedz 30%, ražotājs neiesaka izmantot siltuma skaitītājus šajās situācijās.</w:t>
            </w:r>
          </w:p>
          <w:p w14:paraId="3BD208B6" w14:textId="77777777" w:rsidR="006A3BA4" w:rsidRPr="00666DC4" w:rsidRDefault="006A3BA4" w:rsidP="00666DC4">
            <w:pPr>
              <w:rPr>
                <w:rFonts w:ascii="Times New Roman" w:hAnsi="Times New Roman" w:cs="Times New Roman"/>
              </w:rPr>
            </w:pPr>
            <w:r w:rsidRPr="00666DC4">
              <w:rPr>
                <w:rFonts w:ascii="Times New Roman" w:hAnsi="Times New Roman" w:cs="Times New Roman"/>
              </w:rPr>
              <w:t xml:space="preserve">Tas nozīmē, ka piegādātie skaitītāji, kā minimums, var neprecīzi veikt mērījumus. </w:t>
            </w:r>
          </w:p>
          <w:p w14:paraId="03A50DA8" w14:textId="77777777" w:rsidR="006A3BA4" w:rsidRPr="00666DC4" w:rsidRDefault="006A3BA4" w:rsidP="00666DC4">
            <w:pPr>
              <w:rPr>
                <w:rFonts w:ascii="Times New Roman" w:hAnsi="Times New Roman" w:cs="Times New Roman"/>
              </w:rPr>
            </w:pPr>
          </w:p>
          <w:p w14:paraId="58D43FF3" w14:textId="6E0989D8" w:rsidR="006A3BA4" w:rsidRPr="00BA2709" w:rsidRDefault="006A3BA4" w:rsidP="00666DC4">
            <w:pPr>
              <w:rPr>
                <w:rFonts w:ascii="Times New Roman" w:hAnsi="Times New Roman" w:cs="Times New Roman"/>
              </w:rPr>
            </w:pPr>
            <w:r w:rsidRPr="00666DC4">
              <w:rPr>
                <w:rFonts w:ascii="Times New Roman" w:hAnsi="Times New Roman" w:cs="Times New Roman"/>
              </w:rPr>
              <w:t>Vai, ņemot vērā minētos komentārus, plānojat saglabāt minēto prasību?</w:t>
            </w:r>
          </w:p>
        </w:tc>
        <w:tc>
          <w:tcPr>
            <w:tcW w:w="7229" w:type="dxa"/>
          </w:tcPr>
          <w:p w14:paraId="05758913" w14:textId="77777777" w:rsidR="006A3BA4" w:rsidRPr="00666DC4" w:rsidRDefault="006A3BA4" w:rsidP="00666DC4">
            <w:pPr>
              <w:jc w:val="both"/>
              <w:rPr>
                <w:rFonts w:ascii="Times New Roman" w:hAnsi="Times New Roman" w:cs="Times New Roman"/>
              </w:rPr>
            </w:pPr>
            <w:r w:rsidRPr="00666DC4">
              <w:rPr>
                <w:rFonts w:ascii="Times New Roman" w:hAnsi="Times New Roman" w:cs="Times New Roman"/>
              </w:rPr>
              <w:lastRenderedPageBreak/>
              <w:t>Iepirkuma komisija saglabā darba uzdevumā noteiktās prasības.</w:t>
            </w:r>
          </w:p>
          <w:p w14:paraId="09184013" w14:textId="025C1B66" w:rsidR="006A3BA4" w:rsidRPr="00666DC4" w:rsidRDefault="006A3BA4" w:rsidP="00666DC4">
            <w:pPr>
              <w:jc w:val="both"/>
              <w:rPr>
                <w:rFonts w:ascii="Times New Roman" w:hAnsi="Times New Roman" w:cs="Times New Roman"/>
              </w:rPr>
            </w:pPr>
            <w:r w:rsidRPr="00666DC4">
              <w:rPr>
                <w:rFonts w:ascii="Times New Roman" w:hAnsi="Times New Roman" w:cs="Times New Roman"/>
              </w:rPr>
              <w:t>Iepirkuma komisija skaidro, ka iepirkuma ietvaros paredzēts nodrošināt dažādu inženiersistēmu enerģijas patēriņa monitorēšanas iekārtu</w:t>
            </w:r>
            <w:r w:rsidR="006B45A2">
              <w:rPr>
                <w:rFonts w:ascii="Times New Roman" w:hAnsi="Times New Roman" w:cs="Times New Roman"/>
              </w:rPr>
              <w:t xml:space="preserve"> komplektu</w:t>
            </w:r>
            <w:r w:rsidRPr="00666DC4">
              <w:rPr>
                <w:rFonts w:ascii="Times New Roman" w:hAnsi="Times New Roman" w:cs="Times New Roman"/>
              </w:rPr>
              <w:t xml:space="preserve"> piegādi un uzstādīšanu vairākos objektos, kuros var tikt izmantoti dažādi siltumnesēji, tostarp</w:t>
            </w:r>
            <w:r w:rsidR="00276222">
              <w:rPr>
                <w:rFonts w:ascii="Times New Roman" w:hAnsi="Times New Roman" w:cs="Times New Roman"/>
              </w:rPr>
              <w:t xml:space="preserve"> ūdens un</w:t>
            </w:r>
            <w:r w:rsidRPr="00666DC4">
              <w:rPr>
                <w:rFonts w:ascii="Times New Roman" w:hAnsi="Times New Roman" w:cs="Times New Roman"/>
              </w:rPr>
              <w:t xml:space="preserve"> glikola saturoši siltumnesēji.</w:t>
            </w:r>
          </w:p>
          <w:p w14:paraId="025EC5CA" w14:textId="64660365" w:rsidR="006A3BA4" w:rsidRPr="00666DC4" w:rsidRDefault="006A3BA4" w:rsidP="00666DC4">
            <w:pPr>
              <w:jc w:val="both"/>
              <w:rPr>
                <w:rFonts w:ascii="Times New Roman" w:hAnsi="Times New Roman" w:cs="Times New Roman"/>
              </w:rPr>
            </w:pPr>
            <w:r w:rsidRPr="00666DC4">
              <w:rPr>
                <w:rFonts w:ascii="Times New Roman" w:hAnsi="Times New Roman" w:cs="Times New Roman"/>
              </w:rPr>
              <w:t xml:space="preserve">Lai nodrošinātu vienotus un savstarpēji salīdzināmus piedāvājumus, Pretendentiem finanšu piedāvājumā </w:t>
            </w:r>
            <w:r w:rsidR="00F306CE" w:rsidRPr="00F306CE">
              <w:rPr>
                <w:rFonts w:ascii="Times New Roman" w:hAnsi="Times New Roman" w:cs="Times New Roman"/>
              </w:rPr>
              <w:t>ir jānorāda cena par darba uzdevumam atbilstošu siltumapgādes sistēmas enerģijas patēriņa monitorēšanas iekārtu komplektu, kas paredzēts darbam ar glikola saturošu siltumnesēju</w:t>
            </w:r>
            <w:r w:rsidRPr="00666DC4">
              <w:rPr>
                <w:rFonts w:ascii="Times New Roman" w:hAnsi="Times New Roman" w:cs="Times New Roman"/>
              </w:rPr>
              <w:t>. Minētā prasība ir noteikta kā vienots references risinājums piedāvā</w:t>
            </w:r>
            <w:r w:rsidR="00276222">
              <w:rPr>
                <w:rFonts w:ascii="Times New Roman" w:hAnsi="Times New Roman" w:cs="Times New Roman"/>
              </w:rPr>
              <w:t>to</w:t>
            </w:r>
            <w:r w:rsidRPr="00666DC4">
              <w:rPr>
                <w:rFonts w:ascii="Times New Roman" w:hAnsi="Times New Roman" w:cs="Times New Roman"/>
              </w:rPr>
              <w:t xml:space="preserve"> cenu salīdzināšanas vajadzībām.</w:t>
            </w:r>
          </w:p>
          <w:p w14:paraId="08D6824B" w14:textId="49F2EC4A" w:rsidR="006A3BA4" w:rsidRDefault="006A3BA4" w:rsidP="00666DC4">
            <w:pPr>
              <w:jc w:val="both"/>
              <w:rPr>
                <w:rFonts w:ascii="Times New Roman" w:hAnsi="Times New Roman" w:cs="Times New Roman"/>
              </w:rPr>
            </w:pPr>
            <w:r w:rsidRPr="00666DC4">
              <w:rPr>
                <w:rFonts w:ascii="Times New Roman" w:hAnsi="Times New Roman" w:cs="Times New Roman"/>
              </w:rPr>
              <w:t>Vienlaikus Pasūtītājs skaidro, ka ne visi iepirkuma ietvaros piegādājamie siltumskaitītāji tiks uzstādīti sistēmās ar glikola saturošu siltumnesēju</w:t>
            </w:r>
            <w:r w:rsidR="00276222">
              <w:rPr>
                <w:rFonts w:ascii="Times New Roman" w:hAnsi="Times New Roman" w:cs="Times New Roman"/>
              </w:rPr>
              <w:t>, jo būs arī sistēmas ar ūdens siltumnesēju</w:t>
            </w:r>
            <w:r w:rsidRPr="00666DC4">
              <w:rPr>
                <w:rFonts w:ascii="Times New Roman" w:hAnsi="Times New Roman" w:cs="Times New Roman"/>
              </w:rPr>
              <w:t>. Konkrētā objekta vajadzībām nepieciešamais risinājums</w:t>
            </w:r>
            <w:r>
              <w:rPr>
                <w:rFonts w:ascii="Times New Roman" w:hAnsi="Times New Roman" w:cs="Times New Roman"/>
              </w:rPr>
              <w:t xml:space="preserve"> </w:t>
            </w:r>
            <w:r w:rsidR="00F306CE" w:rsidRPr="00F306CE">
              <w:rPr>
                <w:rFonts w:ascii="Times New Roman" w:hAnsi="Times New Roman" w:cs="Times New Roman"/>
              </w:rPr>
              <w:t xml:space="preserve">(tai skaitā konkrētais skaitītāja </w:t>
            </w:r>
            <w:r w:rsidR="00134547">
              <w:rPr>
                <w:rFonts w:ascii="Times New Roman" w:hAnsi="Times New Roman" w:cs="Times New Roman"/>
              </w:rPr>
              <w:t>veida</w:t>
            </w:r>
            <w:r w:rsidR="00F306CE" w:rsidRPr="00F306CE">
              <w:rPr>
                <w:rFonts w:ascii="Times New Roman" w:hAnsi="Times New Roman" w:cs="Times New Roman"/>
              </w:rPr>
              <w:t xml:space="preserve"> un tā konfigurācija darbam ar attiecīgo siltumnesēju)</w:t>
            </w:r>
            <w:r w:rsidRPr="00666DC4">
              <w:rPr>
                <w:rFonts w:ascii="Times New Roman" w:hAnsi="Times New Roman" w:cs="Times New Roman"/>
              </w:rPr>
              <w:t xml:space="preserve"> tiks noteikts pirms cenu aptaujas izsludināšanas, ņemot vērā attiecīgās sistēmas tehniskos parametrus un izmantoto siltumnesēju.</w:t>
            </w:r>
          </w:p>
          <w:p w14:paraId="3A62EEB8" w14:textId="233E317E" w:rsidR="00276222" w:rsidRPr="00666DC4" w:rsidRDefault="00276222" w:rsidP="00666DC4">
            <w:pPr>
              <w:jc w:val="both"/>
              <w:rPr>
                <w:rFonts w:ascii="Times New Roman" w:hAnsi="Times New Roman" w:cs="Times New Roman"/>
              </w:rPr>
            </w:pPr>
            <w:r>
              <w:rPr>
                <w:rFonts w:ascii="Times New Roman" w:hAnsi="Times New Roman" w:cs="Times New Roman"/>
              </w:rPr>
              <w:t>Atbilstoši iepirkuma nolikuma 20.3. punktā noteiktajam, s</w:t>
            </w:r>
            <w:r w:rsidRPr="00276222">
              <w:rPr>
                <w:rFonts w:ascii="Times New Roman" w:hAnsi="Times New Roman" w:cs="Times New Roman"/>
              </w:rPr>
              <w:t xml:space="preserve">agatavojot finanšu piedāvājumu, pretendents norāda katra Preču komplekta maksimāli iespējamo līgumcenu EUR, bez PVN (iekļaujot izmaksas, kas saistītas ar objekta apsekošanu, Preču piegādi, uzstādīšanu, pieslēgšanu, </w:t>
            </w:r>
            <w:r w:rsidRPr="00276222">
              <w:rPr>
                <w:rFonts w:ascii="Times New Roman" w:hAnsi="Times New Roman" w:cs="Times New Roman"/>
              </w:rPr>
              <w:lastRenderedPageBreak/>
              <w:t>nodošanu, garantijas nodrošināšanu un citas saistītās izmaksas un citus ar piegādi un uzstādīšanu saistītos riskus).</w:t>
            </w:r>
          </w:p>
          <w:p w14:paraId="3E42B301" w14:textId="77777777" w:rsidR="006A3BA4" w:rsidRDefault="006A3BA4" w:rsidP="00A84D0F">
            <w:pPr>
              <w:jc w:val="both"/>
              <w:rPr>
                <w:rFonts w:ascii="Times New Roman" w:hAnsi="Times New Roman" w:cs="Times New Roman"/>
              </w:rPr>
            </w:pPr>
            <w:r w:rsidRPr="006A3BA4">
              <w:rPr>
                <w:rFonts w:ascii="Times New Roman" w:hAnsi="Times New Roman" w:cs="Times New Roman"/>
              </w:rPr>
              <w:t>Līdz ar to Pretendentam, sagatavojot piedāvājumu, jāparedz darba uzdevumam atbilstošs risinājums, kas paredzēts darbam ar glikola saturošu siltumnesēju. Šāds references risinājums ir nepieciešams vienotu un savstarpēji salīdzināmu piedāvājumu nodrošināšanai.</w:t>
            </w:r>
          </w:p>
          <w:p w14:paraId="61A62A09" w14:textId="749323C4" w:rsidR="00F306CE" w:rsidRPr="00BA2709" w:rsidRDefault="00F306CE" w:rsidP="00A84D0F">
            <w:pPr>
              <w:jc w:val="both"/>
              <w:rPr>
                <w:rFonts w:ascii="Times New Roman" w:hAnsi="Times New Roman" w:cs="Times New Roman"/>
              </w:rPr>
            </w:pPr>
            <w:r w:rsidRPr="00F306CE">
              <w:rPr>
                <w:rFonts w:ascii="Times New Roman" w:hAnsi="Times New Roman" w:cs="Times New Roman"/>
              </w:rPr>
              <w:t xml:space="preserve">Iepirkuma komisijas ieskatā prasība par piemērotību darbam ar glikola saturošu siltumnesēju nepamatoti neierobežo konkurenci, jo tirgū ir pieejami </w:t>
            </w:r>
            <w:r>
              <w:rPr>
                <w:rFonts w:ascii="Times New Roman" w:hAnsi="Times New Roman" w:cs="Times New Roman"/>
              </w:rPr>
              <w:t>dažādu</w:t>
            </w:r>
            <w:r w:rsidRPr="00F306CE">
              <w:rPr>
                <w:rFonts w:ascii="Times New Roman" w:hAnsi="Times New Roman" w:cs="Times New Roman"/>
              </w:rPr>
              <w:t xml:space="preserve"> ražotāju risinājumi, kas paredzēti šādiem ekspluatācijas apstākļiem un atbilst darba uzdevumā noteiktajām prasībām.</w:t>
            </w:r>
          </w:p>
        </w:tc>
      </w:tr>
    </w:tbl>
    <w:p w14:paraId="0A017CF1" w14:textId="79DD0CC6" w:rsidR="00366514" w:rsidRPr="00366514" w:rsidRDefault="00366514" w:rsidP="00C42209">
      <w:pPr>
        <w:spacing w:after="0" w:line="240" w:lineRule="auto"/>
        <w:rPr>
          <w:rFonts w:ascii="Times New Roman" w:hAnsi="Times New Roman" w:cs="Times New Roman"/>
          <w:color w:val="EE0000"/>
        </w:rPr>
      </w:pPr>
    </w:p>
    <w:sectPr w:rsidR="00366514" w:rsidRPr="00366514" w:rsidSect="00BA2709">
      <w:footerReference w:type="default" r:id="rId7"/>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BB455" w14:textId="77777777" w:rsidR="008C32C0" w:rsidRDefault="008C32C0" w:rsidP="00366514">
      <w:pPr>
        <w:spacing w:after="0" w:line="240" w:lineRule="auto"/>
      </w:pPr>
      <w:r>
        <w:separator/>
      </w:r>
    </w:p>
  </w:endnote>
  <w:endnote w:type="continuationSeparator" w:id="0">
    <w:p w14:paraId="33687498" w14:textId="77777777" w:rsidR="008C32C0" w:rsidRDefault="008C32C0" w:rsidP="0036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6BE4" w14:textId="662141E9" w:rsidR="00366514" w:rsidRPr="00366514" w:rsidRDefault="00366514" w:rsidP="00366514">
    <w:pPr>
      <w:tabs>
        <w:tab w:val="center" w:pos="4153"/>
        <w:tab w:val="right" w:pos="8306"/>
      </w:tabs>
      <w:spacing w:after="0" w:line="240" w:lineRule="auto"/>
      <w:rPr>
        <w:rFonts w:ascii="Times New Roman" w:eastAsia="Calibri" w:hAnsi="Times New Roman" w:cs="Times New Roman"/>
        <w:kern w:val="0"/>
        <w:szCs w:val="22"/>
        <w14:ligatures w14:val="none"/>
      </w:rPr>
    </w:pPr>
    <w:r w:rsidRPr="00366514">
      <w:rPr>
        <w:rFonts w:ascii="Times New Roman" w:eastAsia="Calibri" w:hAnsi="Times New Roman" w:cs="Times New Roman"/>
        <w:i/>
        <w:kern w:val="0"/>
        <w:szCs w:val="22"/>
        <w14:ligatures w14:val="none"/>
      </w:rPr>
      <w:t>Iepirkuma komisijas sniegtās atbildes ir neatņemama atklāta konkursa “Vispārīgā vienošanās par dažādu inženiersistēmu skaitītāju un to datu eksporta moduļu piegādi, uzstādīšanu un garantijas nodrošināšanu dažādās profesionālajās izglītības iestādēs un koledžās” ID Nr. VIAA 2026/30 ERAF, sastāvdaļa.</w:t>
    </w:r>
  </w:p>
  <w:p w14:paraId="3B46D989" w14:textId="77777777" w:rsidR="00366514" w:rsidRDefault="00366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E80D2" w14:textId="77777777" w:rsidR="008C32C0" w:rsidRDefault="008C32C0" w:rsidP="00366514">
      <w:pPr>
        <w:spacing w:after="0" w:line="240" w:lineRule="auto"/>
      </w:pPr>
      <w:r>
        <w:separator/>
      </w:r>
    </w:p>
  </w:footnote>
  <w:footnote w:type="continuationSeparator" w:id="0">
    <w:p w14:paraId="0046D286" w14:textId="77777777" w:rsidR="008C32C0" w:rsidRDefault="008C32C0" w:rsidP="00366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51BE"/>
    <w:multiLevelType w:val="hybridMultilevel"/>
    <w:tmpl w:val="5E52DFF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00761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188"/>
    <w:rsid w:val="000217A0"/>
    <w:rsid w:val="000A4914"/>
    <w:rsid w:val="00134547"/>
    <w:rsid w:val="001E16F1"/>
    <w:rsid w:val="00276222"/>
    <w:rsid w:val="00366514"/>
    <w:rsid w:val="004209B0"/>
    <w:rsid w:val="005309C7"/>
    <w:rsid w:val="00582F2B"/>
    <w:rsid w:val="00666DC4"/>
    <w:rsid w:val="006A3BA4"/>
    <w:rsid w:val="006B45A2"/>
    <w:rsid w:val="006F48E2"/>
    <w:rsid w:val="00734171"/>
    <w:rsid w:val="00854EA8"/>
    <w:rsid w:val="008C32C0"/>
    <w:rsid w:val="008D46E6"/>
    <w:rsid w:val="00A84D0F"/>
    <w:rsid w:val="00BA2709"/>
    <w:rsid w:val="00C42209"/>
    <w:rsid w:val="00CA04E4"/>
    <w:rsid w:val="00D301D1"/>
    <w:rsid w:val="00F306CE"/>
    <w:rsid w:val="00F42C78"/>
    <w:rsid w:val="00F60188"/>
    <w:rsid w:val="00F62F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3DE6"/>
  <w15:chartTrackingRefBased/>
  <w15:docId w15:val="{A9FC03F4-32D1-4430-9011-6F4B00E7B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1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1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01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1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1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1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1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1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1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1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1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01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1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1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1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1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1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188"/>
    <w:rPr>
      <w:rFonts w:eastAsiaTheme="majorEastAsia" w:cstheme="majorBidi"/>
      <w:color w:val="272727" w:themeColor="text1" w:themeTint="D8"/>
    </w:rPr>
  </w:style>
  <w:style w:type="paragraph" w:styleId="Title">
    <w:name w:val="Title"/>
    <w:basedOn w:val="Normal"/>
    <w:next w:val="Normal"/>
    <w:link w:val="TitleChar"/>
    <w:uiPriority w:val="10"/>
    <w:qFormat/>
    <w:rsid w:val="00F601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1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1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1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188"/>
    <w:pPr>
      <w:spacing w:before="160"/>
      <w:jc w:val="center"/>
    </w:pPr>
    <w:rPr>
      <w:i/>
      <w:iCs/>
      <w:color w:val="404040" w:themeColor="text1" w:themeTint="BF"/>
    </w:rPr>
  </w:style>
  <w:style w:type="character" w:customStyle="1" w:styleId="QuoteChar">
    <w:name w:val="Quote Char"/>
    <w:basedOn w:val="DefaultParagraphFont"/>
    <w:link w:val="Quote"/>
    <w:uiPriority w:val="29"/>
    <w:rsid w:val="00F60188"/>
    <w:rPr>
      <w:i/>
      <w:iCs/>
      <w:color w:val="404040" w:themeColor="text1" w:themeTint="BF"/>
    </w:rPr>
  </w:style>
  <w:style w:type="paragraph" w:styleId="ListParagraph">
    <w:name w:val="List Paragraph"/>
    <w:basedOn w:val="Normal"/>
    <w:uiPriority w:val="34"/>
    <w:qFormat/>
    <w:rsid w:val="00F60188"/>
    <w:pPr>
      <w:ind w:left="720"/>
      <w:contextualSpacing/>
    </w:pPr>
  </w:style>
  <w:style w:type="character" w:styleId="IntenseEmphasis">
    <w:name w:val="Intense Emphasis"/>
    <w:basedOn w:val="DefaultParagraphFont"/>
    <w:uiPriority w:val="21"/>
    <w:qFormat/>
    <w:rsid w:val="00F60188"/>
    <w:rPr>
      <w:i/>
      <w:iCs/>
      <w:color w:val="0F4761" w:themeColor="accent1" w:themeShade="BF"/>
    </w:rPr>
  </w:style>
  <w:style w:type="paragraph" w:styleId="IntenseQuote">
    <w:name w:val="Intense Quote"/>
    <w:basedOn w:val="Normal"/>
    <w:next w:val="Normal"/>
    <w:link w:val="IntenseQuoteChar"/>
    <w:uiPriority w:val="30"/>
    <w:qFormat/>
    <w:rsid w:val="00F601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188"/>
    <w:rPr>
      <w:i/>
      <w:iCs/>
      <w:color w:val="0F4761" w:themeColor="accent1" w:themeShade="BF"/>
    </w:rPr>
  </w:style>
  <w:style w:type="character" w:styleId="IntenseReference">
    <w:name w:val="Intense Reference"/>
    <w:basedOn w:val="DefaultParagraphFont"/>
    <w:uiPriority w:val="32"/>
    <w:qFormat/>
    <w:rsid w:val="00F60188"/>
    <w:rPr>
      <w:b/>
      <w:bCs/>
      <w:smallCaps/>
      <w:color w:val="0F4761" w:themeColor="accent1" w:themeShade="BF"/>
      <w:spacing w:val="5"/>
    </w:rPr>
  </w:style>
  <w:style w:type="table" w:styleId="TableGrid">
    <w:name w:val="Table Grid"/>
    <w:basedOn w:val="TableNormal"/>
    <w:uiPriority w:val="39"/>
    <w:rsid w:val="00BA2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651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66514"/>
  </w:style>
  <w:style w:type="paragraph" w:styleId="Footer">
    <w:name w:val="footer"/>
    <w:basedOn w:val="Normal"/>
    <w:link w:val="FooterChar"/>
    <w:uiPriority w:val="99"/>
    <w:unhideWhenUsed/>
    <w:rsid w:val="00366514"/>
    <w:pPr>
      <w:tabs>
        <w:tab w:val="center" w:pos="4153"/>
        <w:tab w:val="right" w:pos="8306"/>
      </w:tabs>
      <w:spacing w:after="0" w:line="240" w:lineRule="auto"/>
    </w:pPr>
  </w:style>
  <w:style w:type="character" w:customStyle="1" w:styleId="FooterChar">
    <w:name w:val="Footer Char"/>
    <w:basedOn w:val="DefaultParagraphFont"/>
    <w:link w:val="Footer"/>
    <w:uiPriority w:val="99"/>
    <w:rsid w:val="00366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2650</Words>
  <Characters>1512</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Valsts izglitibas attistibas agentura</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8</cp:revision>
  <dcterms:created xsi:type="dcterms:W3CDTF">2026-06-15T14:26:00Z</dcterms:created>
  <dcterms:modified xsi:type="dcterms:W3CDTF">2026-06-17T11:16:00Z</dcterms:modified>
</cp:coreProperties>
</file>