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03DA" w:rsidRPr="00C903DA" w:rsidRDefault="00C903DA" w:rsidP="00C903DA">
      <w:pPr>
        <w:pStyle w:val="Default"/>
        <w:jc w:val="center"/>
        <w:rPr>
          <w:b/>
          <w:color w:val="auto"/>
        </w:rPr>
      </w:pPr>
      <w:r w:rsidRPr="00C903DA">
        <w:rPr>
          <w:b/>
          <w:bCs/>
          <w:color w:val="auto"/>
        </w:rPr>
        <w:t>Iepirkum</w:t>
      </w:r>
      <w:r w:rsidR="00F41787">
        <w:rPr>
          <w:b/>
          <w:bCs/>
          <w:color w:val="auto"/>
        </w:rPr>
        <w:t>a</w:t>
      </w:r>
      <w:r w:rsidRPr="00C903DA">
        <w:rPr>
          <w:b/>
          <w:bCs/>
          <w:color w:val="auto"/>
        </w:rPr>
        <w:t xml:space="preserve"> komisijas </w:t>
      </w:r>
    </w:p>
    <w:p w:rsidR="00C903DA" w:rsidRPr="00C903DA" w:rsidRDefault="00C903DA" w:rsidP="00C903DA">
      <w:pPr>
        <w:pStyle w:val="Default"/>
        <w:jc w:val="center"/>
        <w:rPr>
          <w:b/>
          <w:color w:val="auto"/>
        </w:rPr>
      </w:pPr>
      <w:r w:rsidRPr="00C903DA">
        <w:rPr>
          <w:b/>
          <w:bCs/>
          <w:color w:val="auto"/>
        </w:rPr>
        <w:t>sniegt</w:t>
      </w:r>
      <w:r w:rsidR="0037691B">
        <w:rPr>
          <w:b/>
          <w:bCs/>
          <w:color w:val="auto"/>
        </w:rPr>
        <w:t>ā</w:t>
      </w:r>
      <w:r w:rsidRPr="00C903DA">
        <w:rPr>
          <w:b/>
          <w:bCs/>
          <w:color w:val="auto"/>
        </w:rPr>
        <w:t xml:space="preserve"> atbilde uz jautājum</w:t>
      </w:r>
      <w:r w:rsidR="0037691B">
        <w:rPr>
          <w:b/>
          <w:bCs/>
          <w:color w:val="auto"/>
        </w:rPr>
        <w:t>u</w:t>
      </w:r>
    </w:p>
    <w:p w:rsidR="0037691B" w:rsidRPr="0037691B" w:rsidRDefault="00C903DA" w:rsidP="0037691B">
      <w:pPr>
        <w:tabs>
          <w:tab w:val="left" w:pos="840"/>
        </w:tabs>
        <w:spacing w:after="0"/>
        <w:jc w:val="center"/>
        <w:rPr>
          <w:rFonts w:ascii="Times New Roman" w:hAnsi="Times New Roman" w:cs="Times New Roman"/>
          <w:b/>
          <w:bCs/>
          <w:sz w:val="24"/>
          <w:szCs w:val="24"/>
        </w:rPr>
      </w:pPr>
      <w:r w:rsidRPr="00C903DA">
        <w:rPr>
          <w:rFonts w:ascii="Times New Roman" w:hAnsi="Times New Roman" w:cs="Times New Roman"/>
          <w:b/>
          <w:bCs/>
          <w:sz w:val="24"/>
          <w:szCs w:val="24"/>
        </w:rPr>
        <w:t xml:space="preserve">par atklāta konkursa </w:t>
      </w:r>
      <w:r w:rsidRPr="00C903DA">
        <w:rPr>
          <w:rFonts w:ascii="Times New Roman" w:hAnsi="Times New Roman" w:cs="Times New Roman"/>
          <w:b/>
          <w:sz w:val="24"/>
          <w:szCs w:val="24"/>
        </w:rPr>
        <w:t>“</w:t>
      </w:r>
      <w:r w:rsidR="0037691B" w:rsidRPr="0037691B">
        <w:rPr>
          <w:rFonts w:ascii="Times New Roman" w:hAnsi="Times New Roman" w:cs="Times New Roman"/>
          <w:b/>
          <w:bCs/>
          <w:sz w:val="24"/>
          <w:szCs w:val="24"/>
        </w:rPr>
        <w:t xml:space="preserve">Interaktīvo displeju, dublējošo displeju, 3D printera un </w:t>
      </w:r>
    </w:p>
    <w:p w:rsidR="00C903DA" w:rsidRDefault="0037691B" w:rsidP="0037691B">
      <w:pPr>
        <w:tabs>
          <w:tab w:val="left" w:pos="840"/>
        </w:tabs>
        <w:spacing w:after="0"/>
        <w:jc w:val="center"/>
        <w:rPr>
          <w:rFonts w:ascii="Times New Roman" w:hAnsi="Times New Roman" w:cs="Times New Roman"/>
          <w:b/>
          <w:bCs/>
          <w:sz w:val="24"/>
          <w:szCs w:val="24"/>
        </w:rPr>
      </w:pPr>
      <w:r w:rsidRPr="0037691B">
        <w:rPr>
          <w:rFonts w:ascii="Times New Roman" w:hAnsi="Times New Roman" w:cs="Times New Roman"/>
          <w:b/>
          <w:bCs/>
          <w:sz w:val="24"/>
          <w:szCs w:val="24"/>
        </w:rPr>
        <w:t>daudzfunkcionāla printera iegāde un uzstādīšana</w:t>
      </w:r>
      <w:r w:rsidR="00C903DA" w:rsidRPr="00C903DA">
        <w:rPr>
          <w:rFonts w:ascii="Times New Roman" w:hAnsi="Times New Roman" w:cs="Times New Roman"/>
          <w:b/>
          <w:bCs/>
          <w:sz w:val="24"/>
          <w:szCs w:val="24"/>
        </w:rPr>
        <w:t xml:space="preserve">”, </w:t>
      </w:r>
    </w:p>
    <w:p w:rsidR="000154E1" w:rsidRPr="00C903DA" w:rsidRDefault="00C903DA" w:rsidP="00C903DA">
      <w:pPr>
        <w:tabs>
          <w:tab w:val="left" w:pos="840"/>
        </w:tabs>
        <w:spacing w:after="240"/>
        <w:jc w:val="center"/>
        <w:rPr>
          <w:b/>
        </w:rPr>
      </w:pPr>
      <w:r w:rsidRPr="00C903DA">
        <w:rPr>
          <w:rFonts w:ascii="Times New Roman" w:hAnsi="Times New Roman" w:cs="Times New Roman"/>
          <w:b/>
          <w:sz w:val="24"/>
          <w:szCs w:val="24"/>
        </w:rPr>
        <w:t>identifikācijas Nr. </w:t>
      </w:r>
      <w:r w:rsidRPr="00C903DA">
        <w:rPr>
          <w:rFonts w:ascii="Times New Roman" w:eastAsia="Calibri" w:hAnsi="Times New Roman" w:cs="Times New Roman"/>
          <w:b/>
          <w:sz w:val="24"/>
          <w:szCs w:val="24"/>
          <w:lang w:eastAsia="ar-SA"/>
        </w:rPr>
        <w:t>LU RMK 2026/</w:t>
      </w:r>
      <w:r w:rsidR="0037691B">
        <w:rPr>
          <w:rFonts w:ascii="Times New Roman" w:eastAsia="Calibri" w:hAnsi="Times New Roman" w:cs="Times New Roman"/>
          <w:b/>
          <w:sz w:val="24"/>
          <w:szCs w:val="24"/>
          <w:lang w:eastAsia="ar-SA"/>
        </w:rPr>
        <w:t>3</w:t>
      </w:r>
      <w:r w:rsidRPr="00C903DA">
        <w:rPr>
          <w:rFonts w:ascii="Times New Roman" w:eastAsia="Calibri" w:hAnsi="Times New Roman" w:cs="Times New Roman"/>
          <w:b/>
          <w:sz w:val="24"/>
          <w:szCs w:val="24"/>
          <w:lang w:eastAsia="ar-SA"/>
        </w:rPr>
        <w:t xml:space="preserve"> ERAF</w:t>
      </w:r>
      <w:r w:rsidRPr="00C903DA">
        <w:rPr>
          <w:rFonts w:ascii="Times New Roman" w:hAnsi="Times New Roman" w:cs="Times New Roman"/>
          <w:b/>
          <w:sz w:val="24"/>
          <w:szCs w:val="24"/>
        </w:rPr>
        <w:t xml:space="preserve">, </w:t>
      </w:r>
      <w:r w:rsidRPr="00C903DA">
        <w:rPr>
          <w:rFonts w:ascii="Times New Roman" w:hAnsi="Times New Roman" w:cs="Times New Roman"/>
          <w:b/>
          <w:bCs/>
          <w:sz w:val="24"/>
          <w:szCs w:val="24"/>
        </w:rPr>
        <w:t>nolikumu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927"/>
      </w:tblGrid>
      <w:tr w:rsidR="006B22DA" w:rsidRPr="006B22DA" w:rsidTr="001867C6">
        <w:tc>
          <w:tcPr>
            <w:tcW w:w="4928" w:type="dxa"/>
            <w:shd w:val="clear" w:color="auto" w:fill="D9E2F3"/>
          </w:tcPr>
          <w:p w:rsidR="006B22DA" w:rsidRPr="006B22DA" w:rsidRDefault="006B22DA" w:rsidP="006B22DA">
            <w:pPr>
              <w:spacing w:after="0"/>
              <w:jc w:val="center"/>
              <w:rPr>
                <w:rFonts w:ascii="Times New Roman" w:eastAsia="Calibri" w:hAnsi="Times New Roman" w:cs="Times New Roman"/>
                <w:b/>
                <w:sz w:val="24"/>
                <w:szCs w:val="24"/>
              </w:rPr>
            </w:pPr>
            <w:r w:rsidRPr="006B22DA">
              <w:rPr>
                <w:rFonts w:ascii="Times New Roman" w:eastAsia="Calibri" w:hAnsi="Times New Roman" w:cs="Times New Roman"/>
                <w:b/>
                <w:sz w:val="24"/>
                <w:szCs w:val="24"/>
              </w:rPr>
              <w:t xml:space="preserve">Jautājums </w:t>
            </w:r>
          </w:p>
          <w:p w:rsidR="006B22DA" w:rsidRPr="006B22DA" w:rsidRDefault="006B22DA" w:rsidP="006B22DA">
            <w:pPr>
              <w:spacing w:after="0"/>
              <w:jc w:val="center"/>
              <w:rPr>
                <w:rFonts w:ascii="Times New Roman" w:eastAsia="Calibri" w:hAnsi="Times New Roman" w:cs="Times New Roman"/>
                <w:b/>
                <w:sz w:val="24"/>
                <w:szCs w:val="24"/>
              </w:rPr>
            </w:pPr>
            <w:r w:rsidRPr="006B22DA">
              <w:rPr>
                <w:rFonts w:ascii="Times New Roman" w:eastAsia="Calibri" w:hAnsi="Times New Roman" w:cs="Times New Roman"/>
                <w:b/>
                <w:sz w:val="24"/>
                <w:szCs w:val="24"/>
              </w:rPr>
              <w:t xml:space="preserve">par </w:t>
            </w:r>
            <w:r w:rsidRPr="006B22DA">
              <w:rPr>
                <w:rFonts w:ascii="Times New Roman" w:hAnsi="Times New Roman" w:cs="Times New Roman"/>
                <w:b/>
                <w:sz w:val="24"/>
                <w:szCs w:val="24"/>
              </w:rPr>
              <w:t xml:space="preserve">Tehniskās specifikācijas 1. daļu </w:t>
            </w:r>
          </w:p>
        </w:tc>
        <w:tc>
          <w:tcPr>
            <w:tcW w:w="4927" w:type="dxa"/>
            <w:shd w:val="clear" w:color="auto" w:fill="C5E0B3"/>
          </w:tcPr>
          <w:p w:rsidR="006B22DA" w:rsidRPr="006B22DA" w:rsidRDefault="006B22DA" w:rsidP="001867C6">
            <w:pPr>
              <w:jc w:val="center"/>
              <w:rPr>
                <w:rFonts w:ascii="Times New Roman" w:eastAsia="Calibri" w:hAnsi="Times New Roman" w:cs="Times New Roman"/>
                <w:b/>
                <w:sz w:val="24"/>
                <w:szCs w:val="24"/>
              </w:rPr>
            </w:pPr>
            <w:r w:rsidRPr="006B22DA">
              <w:rPr>
                <w:rFonts w:ascii="Times New Roman" w:eastAsia="Calibri" w:hAnsi="Times New Roman" w:cs="Times New Roman"/>
                <w:b/>
                <w:sz w:val="24"/>
                <w:szCs w:val="24"/>
              </w:rPr>
              <w:t>Atbilde</w:t>
            </w:r>
          </w:p>
        </w:tc>
      </w:tr>
      <w:tr w:rsidR="006B22DA" w:rsidRPr="006B22DA" w:rsidTr="001867C6">
        <w:tc>
          <w:tcPr>
            <w:tcW w:w="4928" w:type="dxa"/>
            <w:shd w:val="clear" w:color="auto" w:fill="auto"/>
          </w:tcPr>
          <w:p w:rsidR="006B22DA" w:rsidRPr="006B22DA" w:rsidRDefault="006B22DA" w:rsidP="001867C6">
            <w:pPr>
              <w:shd w:val="clear" w:color="auto" w:fill="FFFFFF"/>
              <w:jc w:val="both"/>
              <w:textAlignment w:val="baseline"/>
              <w:rPr>
                <w:rFonts w:ascii="Times New Roman" w:hAnsi="Times New Roman" w:cs="Times New Roman"/>
                <w:sz w:val="24"/>
                <w:szCs w:val="24"/>
                <w:lang w:eastAsia="lv-LV"/>
              </w:rPr>
            </w:pPr>
            <w:r w:rsidRPr="006B22DA">
              <w:rPr>
                <w:rFonts w:ascii="Times New Roman" w:hAnsi="Times New Roman" w:cs="Times New Roman"/>
                <w:bCs/>
                <w:sz w:val="24"/>
                <w:szCs w:val="24"/>
              </w:rPr>
              <w:t>J</w:t>
            </w:r>
            <w:r w:rsidRPr="006B22DA">
              <w:rPr>
                <w:rFonts w:ascii="Times New Roman" w:hAnsi="Times New Roman" w:cs="Times New Roman"/>
                <w:bCs/>
                <w:sz w:val="24"/>
                <w:szCs w:val="24"/>
                <w:bdr w:val="none" w:sz="0" w:space="0" w:color="auto" w:frame="1"/>
              </w:rPr>
              <w:t>autājums par atklāta konkursa tehnisko specifikāciju Punkts “1.2. Pārvietojams statīvs ar maināmu augstumu”.</w:t>
            </w:r>
          </w:p>
          <w:p w:rsidR="006B22DA" w:rsidRPr="006B22DA" w:rsidRDefault="006B22DA" w:rsidP="001867C6">
            <w:pPr>
              <w:shd w:val="clear" w:color="auto" w:fill="FFFFFF"/>
              <w:jc w:val="both"/>
              <w:textAlignment w:val="baseline"/>
              <w:rPr>
                <w:rFonts w:ascii="Times New Roman" w:eastAsia="Times New Roman" w:hAnsi="Times New Roman" w:cs="Times New Roman"/>
                <w:sz w:val="24"/>
                <w:szCs w:val="24"/>
              </w:rPr>
            </w:pPr>
            <w:r w:rsidRPr="006B22DA">
              <w:rPr>
                <w:rFonts w:ascii="Times New Roman" w:hAnsi="Times New Roman" w:cs="Times New Roman"/>
                <w:sz w:val="24"/>
                <w:szCs w:val="24"/>
                <w:bdr w:val="none" w:sz="0" w:space="0" w:color="auto" w:frame="1"/>
              </w:rPr>
              <w:t>Punkta 1.2 apakšpunktos 1.2.1 l</w:t>
            </w:r>
            <w:bookmarkStart w:id="0" w:name="_GoBack"/>
            <w:bookmarkEnd w:id="0"/>
            <w:r w:rsidRPr="006B22DA">
              <w:rPr>
                <w:rFonts w:ascii="Times New Roman" w:hAnsi="Times New Roman" w:cs="Times New Roman"/>
                <w:sz w:val="24"/>
                <w:szCs w:val="24"/>
                <w:bdr w:val="none" w:sz="0" w:space="0" w:color="auto" w:frame="1"/>
              </w:rPr>
              <w:t>īdz 1.26 nav minēta prasības “statīvs ar maināmu augstumu”, augstuma maiņas funkcionalitāte. Lai Piegādātājs nepārprotami varētu piedāvāt nepieciešamo risinājumu lūdzu precizēt statīva augstuma maiņa funkcionalitāti.</w:t>
            </w:r>
          </w:p>
        </w:tc>
        <w:tc>
          <w:tcPr>
            <w:tcW w:w="4927" w:type="dxa"/>
            <w:shd w:val="clear" w:color="auto" w:fill="auto"/>
          </w:tcPr>
          <w:p w:rsidR="006B22DA" w:rsidRPr="006B22DA" w:rsidRDefault="006B22DA" w:rsidP="001867C6">
            <w:pPr>
              <w:jc w:val="both"/>
              <w:rPr>
                <w:rFonts w:ascii="Times New Roman" w:eastAsia="Calibri" w:hAnsi="Times New Roman" w:cs="Times New Roman"/>
                <w:b/>
                <w:sz w:val="24"/>
                <w:szCs w:val="24"/>
              </w:rPr>
            </w:pPr>
            <w:r w:rsidRPr="006B22DA">
              <w:rPr>
                <w:rFonts w:ascii="Times New Roman" w:hAnsi="Times New Roman" w:cs="Times New Roman"/>
                <w:sz w:val="24"/>
                <w:szCs w:val="24"/>
              </w:rPr>
              <w:t>Iepirkuma komisija skaidro, ka sadaļas 1.2. virsraksts "Pārvietojams statīvs ar maināmu augstumu" pats par sevi norāda uz nepieciešamā risinājuma funkcionālo būtību, proti, piedāvātajam statīvam neatkarīgi no augstuma regulēšanas mehānisma (tas var būt gan manuāli, gan elektriski regulējams) ir jānodrošina iespēja displeja augstumu viegli un stabili pielāgot mācību procesa vajadzībām.</w:t>
            </w:r>
          </w:p>
        </w:tc>
      </w:tr>
    </w:tbl>
    <w:p w:rsidR="00C903DA" w:rsidRDefault="00C903DA"/>
    <w:sectPr w:rsidR="00C903DA" w:rsidSect="00C903DA">
      <w:pgSz w:w="11906" w:h="16838"/>
      <w:pgMar w:top="964" w:right="567" w:bottom="96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3DA"/>
    <w:rsid w:val="000154E1"/>
    <w:rsid w:val="0037691B"/>
    <w:rsid w:val="006B22DA"/>
    <w:rsid w:val="00863A70"/>
    <w:rsid w:val="00C903DA"/>
    <w:rsid w:val="00E15000"/>
    <w:rsid w:val="00EE1C4F"/>
    <w:rsid w:val="00F417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3DD650-4CB8-489C-BF33-4A412FB0B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Default">
    <w:name w:val="Default"/>
    <w:rsid w:val="00C903D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ezatstarpm">
    <w:name w:val="No Spacing"/>
    <w:uiPriority w:val="1"/>
    <w:qFormat/>
    <w:rsid w:val="0037691B"/>
    <w:pPr>
      <w:spacing w:after="0" w:line="240" w:lineRule="auto"/>
    </w:pPr>
    <w:rPr>
      <w:rFonts w:ascii="Calibri" w:eastAsia="Calibri" w:hAnsi="Calibri" w:cs="Times New Roman"/>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381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659</Words>
  <Characters>377</Characters>
  <Application>Microsoft Office Word</Application>
  <DocSecurity>0</DocSecurity>
  <Lines>3</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S</dc:creator>
  <cp:keywords/>
  <dc:description/>
  <cp:lastModifiedBy>D S</cp:lastModifiedBy>
  <cp:revision>2</cp:revision>
  <dcterms:created xsi:type="dcterms:W3CDTF">2026-06-26T13:45:00Z</dcterms:created>
  <dcterms:modified xsi:type="dcterms:W3CDTF">2026-06-26T13:45:00Z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b09ad653-76f1-4996-8f83-2a29882555f7</vt:lpwstr>
  </property>
</Properties>
</file>