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453DA46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951D72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7E7A4B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7E7A4B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7E7A4B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0FEA1691" w:rsidR="004E5554" w:rsidRPr="007E7A4B" w:rsidRDefault="00160BC5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6</w:t>
      </w:r>
      <w:r w:rsidR="00B925ED"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01111A60" w14:textId="77777777" w:rsidR="00160BC5" w:rsidRPr="00160BC5" w:rsidRDefault="00160BC5" w:rsidP="00160BC5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  <w:r w:rsidRPr="00160BC5">
        <w:rPr>
          <w:rFonts w:asciiTheme="majorHAnsi" w:hAnsiTheme="majorHAnsi" w:cstheme="majorHAnsi"/>
          <w:b/>
          <w:bCs/>
          <w:sz w:val="22"/>
          <w:szCs w:val="22"/>
          <w:lang w:val="lv-LV"/>
        </w:rPr>
        <w:t>Laboratorijas svari</w:t>
      </w:r>
    </w:p>
    <w:p w14:paraId="082D7912" w14:textId="77777777" w:rsidR="00160BC5" w:rsidRPr="00160BC5" w:rsidRDefault="00160BC5" w:rsidP="00160BC5">
      <w:pPr>
        <w:rPr>
          <w:rFonts w:asciiTheme="majorHAnsi" w:hAnsiTheme="majorHAnsi" w:cstheme="majorHAnsi"/>
          <w:bCs/>
          <w:caps/>
          <w:lang w:val="lv-LV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9"/>
        <w:gridCol w:w="2707"/>
        <w:gridCol w:w="4079"/>
        <w:gridCol w:w="2970"/>
        <w:gridCol w:w="3420"/>
      </w:tblGrid>
      <w:tr w:rsidR="00160BC5" w:rsidRPr="00836665" w14:paraId="0CAE882F" w14:textId="210281DA" w:rsidTr="00160BC5">
        <w:trPr>
          <w:trHeight w:val="715"/>
        </w:trPr>
        <w:tc>
          <w:tcPr>
            <w:tcW w:w="8185" w:type="dxa"/>
            <w:gridSpan w:val="3"/>
            <w:vAlign w:val="center"/>
          </w:tcPr>
          <w:p w14:paraId="538A50C0" w14:textId="77777777" w:rsidR="00160BC5" w:rsidRPr="00836665" w:rsidRDefault="00160BC5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2970" w:type="dxa"/>
            <w:vAlign w:val="center"/>
          </w:tcPr>
          <w:p w14:paraId="7C48B757" w14:textId="77777777" w:rsidR="00160BC5" w:rsidRPr="00836665" w:rsidRDefault="00160BC5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836665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  <w:tc>
          <w:tcPr>
            <w:tcW w:w="3420" w:type="dxa"/>
          </w:tcPr>
          <w:p w14:paraId="783C5B23" w14:textId="3CF87EC1" w:rsidR="00160BC5" w:rsidRPr="00836665" w:rsidRDefault="00160BC5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160BC5" w:rsidRPr="00836665" w14:paraId="5220AF6E" w14:textId="3E8150D7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 w:val="restart"/>
          </w:tcPr>
          <w:p w14:paraId="1EAB250E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Laboratorijas svari</w:t>
            </w:r>
          </w:p>
        </w:tc>
        <w:tc>
          <w:tcPr>
            <w:tcW w:w="2707" w:type="dxa"/>
          </w:tcPr>
          <w:p w14:paraId="26B9437C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Maksimālā svēršanas slodze</w:t>
            </w:r>
          </w:p>
        </w:tc>
        <w:tc>
          <w:tcPr>
            <w:tcW w:w="4079" w:type="dxa"/>
          </w:tcPr>
          <w:p w14:paraId="2C5EA4C5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Vismaz 500 g</w:t>
            </w:r>
          </w:p>
        </w:tc>
        <w:tc>
          <w:tcPr>
            <w:tcW w:w="2970" w:type="dxa"/>
          </w:tcPr>
          <w:p w14:paraId="45E3E04C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02071D27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7036E603" w14:textId="65F61ADC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4AF6F769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7F7E58EC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Lasāmība</w:t>
            </w:r>
          </w:p>
        </w:tc>
        <w:tc>
          <w:tcPr>
            <w:tcW w:w="4079" w:type="dxa"/>
          </w:tcPr>
          <w:p w14:paraId="2D265783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Vismaz 10 mg</w:t>
            </w:r>
          </w:p>
        </w:tc>
        <w:tc>
          <w:tcPr>
            <w:tcW w:w="2970" w:type="dxa"/>
          </w:tcPr>
          <w:p w14:paraId="32F80725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2D7164E2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762FC9AE" w14:textId="7237FF5A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0522FD8D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2A65B276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Minimālā svēršanas slodze</w:t>
            </w:r>
          </w:p>
        </w:tc>
        <w:tc>
          <w:tcPr>
            <w:tcW w:w="4079" w:type="dxa"/>
          </w:tcPr>
          <w:p w14:paraId="1A7C211A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0,5 g vai mazāk</w:t>
            </w:r>
          </w:p>
        </w:tc>
        <w:tc>
          <w:tcPr>
            <w:tcW w:w="2970" w:type="dxa"/>
          </w:tcPr>
          <w:p w14:paraId="270E99D2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694C03F2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4D2EC487" w14:textId="24405C9E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2259017D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4B9AD3D4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Kalibrēšana</w:t>
            </w:r>
          </w:p>
        </w:tc>
        <w:tc>
          <w:tcPr>
            <w:tcW w:w="4079" w:type="dxa"/>
          </w:tcPr>
          <w:p w14:paraId="0DBD476E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Iekšēja, automātiska</w:t>
            </w:r>
          </w:p>
        </w:tc>
        <w:tc>
          <w:tcPr>
            <w:tcW w:w="2970" w:type="dxa"/>
          </w:tcPr>
          <w:p w14:paraId="316A1184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542DDCFC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0BCEACC2" w14:textId="7E83833D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16364523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3B071E3E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Paplātes izmērs</w:t>
            </w:r>
          </w:p>
        </w:tc>
        <w:tc>
          <w:tcPr>
            <w:tcW w:w="4079" w:type="dxa"/>
          </w:tcPr>
          <w:p w14:paraId="1B1FF1CA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Vismaz 110 mm diametrs (vai 110 mm x 110 mm), nerūsējošais tērauds vai līdzvērtīgs</w:t>
            </w:r>
          </w:p>
        </w:tc>
        <w:tc>
          <w:tcPr>
            <w:tcW w:w="2970" w:type="dxa"/>
          </w:tcPr>
          <w:p w14:paraId="338B8DE1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164EB73F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5E2E2B41" w14:textId="64D89791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12C654EA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5DB43E97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Displejs</w:t>
            </w:r>
          </w:p>
        </w:tc>
        <w:tc>
          <w:tcPr>
            <w:tcW w:w="4079" w:type="dxa"/>
          </w:tcPr>
          <w:p w14:paraId="66D21FCA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LCD vai līdzvērtīgs</w:t>
            </w:r>
          </w:p>
        </w:tc>
        <w:tc>
          <w:tcPr>
            <w:tcW w:w="2970" w:type="dxa"/>
          </w:tcPr>
          <w:p w14:paraId="261A68AB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643B91E8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60BC5" w:rsidRPr="00836665" w14:paraId="20CD5CF8" w14:textId="5C595143" w:rsidTr="00160BC5">
        <w:tblPrEx>
          <w:tblLook w:val="01E0" w:firstRow="1" w:lastRow="1" w:firstColumn="1" w:lastColumn="1" w:noHBand="0" w:noVBand="0"/>
        </w:tblPrEx>
        <w:tc>
          <w:tcPr>
            <w:tcW w:w="1399" w:type="dxa"/>
            <w:vMerge/>
          </w:tcPr>
          <w:p w14:paraId="2C3E533A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707" w:type="dxa"/>
          </w:tcPr>
          <w:p w14:paraId="6E0BA026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Tastatūra</w:t>
            </w:r>
          </w:p>
        </w:tc>
        <w:tc>
          <w:tcPr>
            <w:tcW w:w="4079" w:type="dxa"/>
          </w:tcPr>
          <w:p w14:paraId="4F0BC7F7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836665">
              <w:rPr>
                <w:rFonts w:asciiTheme="majorHAnsi" w:hAnsiTheme="majorHAnsi" w:cstheme="majorHAnsi"/>
                <w:kern w:val="0"/>
                <w:lang w:val="lv-LV"/>
              </w:rPr>
              <w:t>Ķīmiski izturīga</w:t>
            </w:r>
          </w:p>
        </w:tc>
        <w:tc>
          <w:tcPr>
            <w:tcW w:w="2970" w:type="dxa"/>
          </w:tcPr>
          <w:p w14:paraId="120339CE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420" w:type="dxa"/>
          </w:tcPr>
          <w:p w14:paraId="698F6B54" w14:textId="77777777" w:rsidR="00160BC5" w:rsidRPr="00836665" w:rsidRDefault="00160BC5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0174545D" w14:textId="77777777" w:rsidR="00160BC5" w:rsidRPr="00836665" w:rsidRDefault="00160BC5" w:rsidP="00160BC5">
      <w:pPr>
        <w:rPr>
          <w:rFonts w:asciiTheme="majorHAnsi" w:hAnsiTheme="majorHAnsi" w:cstheme="majorHAnsi"/>
          <w:bCs/>
          <w:caps/>
          <w:lang w:val="lv-LV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6752"/>
        <w:gridCol w:w="6417"/>
      </w:tblGrid>
      <w:tr w:rsidR="00277B43" w:rsidRPr="00836665" w14:paraId="670E650C" w14:textId="77777777" w:rsidTr="00160BC5">
        <w:tc>
          <w:tcPr>
            <w:tcW w:w="491" w:type="pct"/>
            <w:vMerge w:val="restart"/>
          </w:tcPr>
          <w:bookmarkEnd w:id="3"/>
          <w:p w14:paraId="4127797B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312" w:type="pct"/>
          </w:tcPr>
          <w:p w14:paraId="226C3296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Garantijas laiks – vismaz 1 (viens) gads</w:t>
            </w:r>
          </w:p>
        </w:tc>
        <w:tc>
          <w:tcPr>
            <w:tcW w:w="2197" w:type="pct"/>
          </w:tcPr>
          <w:p w14:paraId="2BDD623C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072A53C9" w14:textId="77777777" w:rsidTr="00160BC5">
        <w:trPr>
          <w:trHeight w:val="285"/>
        </w:trPr>
        <w:tc>
          <w:tcPr>
            <w:tcW w:w="491" w:type="pct"/>
            <w:vMerge/>
          </w:tcPr>
          <w:p w14:paraId="2E47619D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03789F3A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197" w:type="pct"/>
          </w:tcPr>
          <w:p w14:paraId="458129B8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2FB8D5C6" w14:textId="77777777" w:rsidTr="00160BC5">
        <w:trPr>
          <w:trHeight w:val="270"/>
        </w:trPr>
        <w:tc>
          <w:tcPr>
            <w:tcW w:w="491" w:type="pct"/>
            <w:vMerge/>
          </w:tcPr>
          <w:p w14:paraId="7DDCF49F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20A17738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197" w:type="pct"/>
          </w:tcPr>
          <w:p w14:paraId="6D6751C5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2DFA30BB" w14:textId="77777777" w:rsidTr="00160BC5">
        <w:trPr>
          <w:trHeight w:val="270"/>
        </w:trPr>
        <w:tc>
          <w:tcPr>
            <w:tcW w:w="491" w:type="pct"/>
            <w:vMerge/>
          </w:tcPr>
          <w:p w14:paraId="60EDD349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1ECF86DE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Piegādātājs nodrošina ražotāja sertificētu inženieri, kas kompetents veikt iekārtas regulārās pārbaudes un verifikāciju, un kuram, iekārtas darbības traucējumu gadījumos, jāierodas darba dienās 24 stundu laikā no izsaukuma brīža.</w:t>
            </w:r>
          </w:p>
        </w:tc>
        <w:tc>
          <w:tcPr>
            <w:tcW w:w="2197" w:type="pct"/>
          </w:tcPr>
          <w:p w14:paraId="1A75A2FB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6B45064C" w14:textId="77777777" w:rsidTr="00160BC5">
        <w:trPr>
          <w:trHeight w:val="255"/>
        </w:trPr>
        <w:tc>
          <w:tcPr>
            <w:tcW w:w="491" w:type="pct"/>
            <w:vMerge/>
          </w:tcPr>
          <w:p w14:paraId="722C3C97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261D51B6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Derīgs lietošanai Eiropas voltāžās diapazonā (nomināls 100-240V AC 50Hz) ar Eiropas tipa kontaktdakšu.</w:t>
            </w:r>
          </w:p>
        </w:tc>
        <w:tc>
          <w:tcPr>
            <w:tcW w:w="2197" w:type="pct"/>
          </w:tcPr>
          <w:p w14:paraId="4DD47979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6C96D609" w14:textId="77777777" w:rsidTr="00160BC5">
        <w:trPr>
          <w:trHeight w:val="255"/>
        </w:trPr>
        <w:tc>
          <w:tcPr>
            <w:tcW w:w="491" w:type="pct"/>
            <w:vMerge/>
          </w:tcPr>
          <w:p w14:paraId="520F8EAA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39E0EFBE" w14:textId="2B4A31E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Iekārtas elektroenerģijas patēriņš – ne vairāk kā 0,</w:t>
            </w:r>
            <w:r w:rsidR="00160BC5" w:rsidRPr="00836665">
              <w:rPr>
                <w:rFonts w:asciiTheme="majorHAnsi" w:hAnsiTheme="majorHAnsi" w:cstheme="majorHAnsi"/>
                <w:lang w:val="lv-LV"/>
              </w:rPr>
              <w:t>1</w:t>
            </w:r>
            <w:r w:rsidRPr="00836665">
              <w:rPr>
                <w:rFonts w:asciiTheme="majorHAnsi" w:hAnsiTheme="majorHAnsi" w:cstheme="majorHAnsi"/>
                <w:lang w:val="lv-LV"/>
              </w:rPr>
              <w:t xml:space="preserve"> kW stundā</w:t>
            </w:r>
          </w:p>
        </w:tc>
        <w:tc>
          <w:tcPr>
            <w:tcW w:w="2197" w:type="pct"/>
          </w:tcPr>
          <w:p w14:paraId="055A19A7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836665" w14:paraId="22486882" w14:textId="77777777" w:rsidTr="00160BC5">
        <w:trPr>
          <w:trHeight w:val="255"/>
        </w:trPr>
        <w:tc>
          <w:tcPr>
            <w:tcW w:w="491" w:type="pct"/>
            <w:vMerge/>
          </w:tcPr>
          <w:p w14:paraId="719E0436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12" w:type="pct"/>
          </w:tcPr>
          <w:p w14:paraId="56149004" w14:textId="77777777" w:rsidR="00277B43" w:rsidRPr="00836665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836665">
              <w:rPr>
                <w:rFonts w:asciiTheme="majorHAnsi" w:hAnsiTheme="majorHAnsi" w:cstheme="majorHAnsi"/>
                <w:lang w:val="lv-LV"/>
              </w:rPr>
              <w:t>Instrukcija – angļu vai latviešu valodā</w:t>
            </w:r>
          </w:p>
        </w:tc>
        <w:tc>
          <w:tcPr>
            <w:tcW w:w="2197" w:type="pct"/>
          </w:tcPr>
          <w:p w14:paraId="6DE5C1CB" w14:textId="77777777" w:rsidR="00277B43" w:rsidRPr="00836665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4EDDFC19" w14:textId="77777777" w:rsidR="00277B43" w:rsidRPr="00836665" w:rsidRDefault="00277B43" w:rsidP="00277B43">
      <w:pPr>
        <w:rPr>
          <w:rFonts w:asciiTheme="majorHAnsi" w:hAnsiTheme="majorHAnsi" w:cstheme="majorHAnsi"/>
          <w:bCs/>
          <w:caps/>
          <w:lang w:val="lv-LV"/>
        </w:rPr>
      </w:pPr>
    </w:p>
    <w:p w14:paraId="54A307E9" w14:textId="77777777" w:rsidR="002C113D" w:rsidRPr="00836665" w:rsidRDefault="002C113D" w:rsidP="00277B43">
      <w:pPr>
        <w:rPr>
          <w:rFonts w:asciiTheme="majorHAnsi" w:hAnsiTheme="majorHAnsi" w:cstheme="majorHAnsi"/>
          <w:bCs/>
          <w:caps/>
          <w:lang w:val="lv-LV"/>
        </w:rPr>
      </w:pPr>
    </w:p>
    <w:sectPr w:rsidR="002C113D" w:rsidRPr="00836665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5360"/>
    <w:rsid w:val="00081456"/>
    <w:rsid w:val="000B0CC5"/>
    <w:rsid w:val="000B348E"/>
    <w:rsid w:val="000C6C1E"/>
    <w:rsid w:val="001134FC"/>
    <w:rsid w:val="00152EB6"/>
    <w:rsid w:val="00160BC5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62CC2"/>
    <w:rsid w:val="00274457"/>
    <w:rsid w:val="0027490B"/>
    <w:rsid w:val="00277B43"/>
    <w:rsid w:val="0029583B"/>
    <w:rsid w:val="002C113D"/>
    <w:rsid w:val="002D2183"/>
    <w:rsid w:val="002E698F"/>
    <w:rsid w:val="003122B5"/>
    <w:rsid w:val="00320D21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707715"/>
    <w:rsid w:val="00750865"/>
    <w:rsid w:val="007675D7"/>
    <w:rsid w:val="0079686E"/>
    <w:rsid w:val="007B2FDE"/>
    <w:rsid w:val="007D3D22"/>
    <w:rsid w:val="007E7A4B"/>
    <w:rsid w:val="00805D66"/>
    <w:rsid w:val="00820813"/>
    <w:rsid w:val="00827DEC"/>
    <w:rsid w:val="00827ECA"/>
    <w:rsid w:val="00833D85"/>
    <w:rsid w:val="0083498C"/>
    <w:rsid w:val="00836665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51D72"/>
    <w:rsid w:val="009930E2"/>
    <w:rsid w:val="009968A3"/>
    <w:rsid w:val="009C135B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17B77"/>
    <w:rsid w:val="00F570E7"/>
    <w:rsid w:val="00F61747"/>
    <w:rsid w:val="00F70838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5</cp:revision>
  <dcterms:created xsi:type="dcterms:W3CDTF">2024-01-10T14:31:00Z</dcterms:created>
  <dcterms:modified xsi:type="dcterms:W3CDTF">2024-01-11T13:20:00Z</dcterms:modified>
</cp:coreProperties>
</file>