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7CD9" w14:textId="082269A0" w:rsidR="00FD4874" w:rsidRDefault="00FD4874" w:rsidP="00FD4874">
      <w:pPr>
        <w:jc w:val="center"/>
        <w:rPr>
          <w:rFonts w:ascii="Times New Roman" w:hAnsi="Times New Roman" w:cs="Times New Roman"/>
          <w:b/>
          <w:bCs/>
          <w:sz w:val="24"/>
          <w:szCs w:val="24"/>
        </w:rPr>
      </w:pPr>
    </w:p>
    <w:p w14:paraId="0C157F74" w14:textId="77777777" w:rsidR="00FD4874" w:rsidRPr="00DB6AF5" w:rsidRDefault="00FD4874" w:rsidP="00DB6AF5">
      <w:pPr>
        <w:autoSpaceDE w:val="0"/>
        <w:autoSpaceDN w:val="0"/>
        <w:adjustRightInd w:val="0"/>
        <w:spacing w:after="0" w:line="240" w:lineRule="auto"/>
        <w:jc w:val="right"/>
        <w:rPr>
          <w:rFonts w:ascii="Times New Roman" w:hAnsi="Times New Roman" w:cs="Times New Roman"/>
          <w:b/>
          <w:bCs/>
          <w:color w:val="000000"/>
          <w:sz w:val="24"/>
          <w:szCs w:val="24"/>
        </w:rPr>
      </w:pPr>
      <w:r w:rsidRPr="00DB6AF5">
        <w:rPr>
          <w:rFonts w:ascii="Times New Roman" w:eastAsia="Times New Roman" w:hAnsi="Times New Roman" w:cs="Times New Roman"/>
          <w:b/>
          <w:color w:val="000000"/>
          <w:sz w:val="24"/>
          <w:szCs w:val="24"/>
          <w:lang w:bidi="en-GB"/>
        </w:rPr>
        <w:t xml:space="preserve">Planned Qualification Requirements </w:t>
      </w:r>
    </w:p>
    <w:p w14:paraId="6621DD01" w14:textId="77777777" w:rsidR="00DB6AF5" w:rsidRDefault="00DB6AF5" w:rsidP="00DB6AF5">
      <w:pPr>
        <w:spacing w:after="0" w:line="240" w:lineRule="auto"/>
        <w:jc w:val="right"/>
        <w:rPr>
          <w:rFonts w:ascii="Times New Roman" w:hAnsi="Times New Roman" w:cs="Times New Roman"/>
          <w:sz w:val="24"/>
          <w:szCs w:val="24"/>
        </w:rPr>
      </w:pPr>
      <w:r w:rsidRPr="00B1756F">
        <w:rPr>
          <w:rFonts w:ascii="Times New Roman" w:eastAsia="Times New Roman" w:hAnsi="Times New Roman" w:cs="Times New Roman"/>
          <w:b/>
          <w:sz w:val="24"/>
          <w:szCs w:val="24"/>
          <w:lang w:bidi="en-GB"/>
        </w:rPr>
        <w:t>of the Open Procedure</w:t>
      </w:r>
    </w:p>
    <w:p w14:paraId="2B3ADBF8" w14:textId="0D3FDD85" w:rsidR="00FD4874" w:rsidRDefault="00DB6AF5" w:rsidP="00DB6AF5">
      <w:pPr>
        <w:spacing w:after="0" w:line="240" w:lineRule="auto"/>
        <w:jc w:val="right"/>
        <w:rPr>
          <w:rFonts w:ascii="Times New Roman" w:hAnsi="Times New Roman" w:cs="Times New Roman"/>
          <w:b/>
          <w:bCs/>
          <w:sz w:val="24"/>
          <w:szCs w:val="24"/>
        </w:rPr>
      </w:pPr>
      <w:r w:rsidRPr="00B1756F">
        <w:rPr>
          <w:rFonts w:ascii="Times New Roman" w:eastAsia="Times New Roman" w:hAnsi="Times New Roman" w:cs="Times New Roman"/>
          <w:sz w:val="24"/>
          <w:szCs w:val="24"/>
          <w:lang w:bidi="en-GB"/>
        </w:rPr>
        <w:t xml:space="preserve"> Development, </w:t>
      </w:r>
      <w:proofErr w:type="gramStart"/>
      <w:r w:rsidRPr="00B1756F">
        <w:rPr>
          <w:rFonts w:ascii="Times New Roman" w:eastAsia="Times New Roman" w:hAnsi="Times New Roman" w:cs="Times New Roman"/>
          <w:sz w:val="24"/>
          <w:szCs w:val="24"/>
          <w:lang w:bidi="en-GB"/>
        </w:rPr>
        <w:t>supply</w:t>
      </w:r>
      <w:proofErr w:type="gramEnd"/>
      <w:r w:rsidRPr="00B1756F">
        <w:rPr>
          <w:rFonts w:ascii="Times New Roman" w:eastAsia="Times New Roman" w:hAnsi="Times New Roman" w:cs="Times New Roman"/>
          <w:sz w:val="24"/>
          <w:szCs w:val="24"/>
          <w:lang w:bidi="en-GB"/>
        </w:rPr>
        <w:t xml:space="preserve"> and maintenance of modern and efficient parking systems for Riga Municipality Limited Liability Company (</w:t>
      </w:r>
      <w:r w:rsidRPr="00B1756F">
        <w:rPr>
          <w:rFonts w:ascii="Times New Roman" w:eastAsia="Times New Roman" w:hAnsi="Times New Roman" w:cs="Times New Roman"/>
          <w:i/>
          <w:sz w:val="24"/>
          <w:szCs w:val="24"/>
          <w:lang w:bidi="en-GB"/>
        </w:rPr>
        <w:t>SIA</w:t>
      </w:r>
      <w:r w:rsidRPr="00B1756F">
        <w:rPr>
          <w:rFonts w:ascii="Times New Roman" w:eastAsia="Times New Roman" w:hAnsi="Times New Roman" w:cs="Times New Roman"/>
          <w:sz w:val="24"/>
          <w:szCs w:val="24"/>
          <w:lang w:bidi="en-GB"/>
        </w:rPr>
        <w:t>) Rīgas satiksme</w:t>
      </w:r>
    </w:p>
    <w:p w14:paraId="5A8BD5AC" w14:textId="77777777" w:rsidR="00DB6AF5" w:rsidRDefault="00DB6AF5" w:rsidP="007B694D">
      <w:pPr>
        <w:jc w:val="center"/>
        <w:rPr>
          <w:rFonts w:ascii="Times New Roman" w:hAnsi="Times New Roman" w:cs="Times New Roman"/>
          <w:b/>
          <w:bCs/>
          <w:sz w:val="24"/>
          <w:szCs w:val="24"/>
        </w:rPr>
      </w:pPr>
    </w:p>
    <w:p w14:paraId="46E47E61" w14:textId="55B34C88" w:rsidR="007B694D" w:rsidRPr="007B694D" w:rsidRDefault="007B694D" w:rsidP="007B694D">
      <w:pPr>
        <w:jc w:val="center"/>
        <w:rPr>
          <w:rFonts w:ascii="Times New Roman" w:hAnsi="Times New Roman" w:cs="Times New Roman"/>
          <w:b/>
          <w:bCs/>
          <w:sz w:val="24"/>
          <w:szCs w:val="24"/>
        </w:rPr>
      </w:pPr>
    </w:p>
    <w:p w14:paraId="4C6363ED" w14:textId="464D09F0" w:rsidR="001E512C" w:rsidRPr="00CE4E06" w:rsidRDefault="001E512C" w:rsidP="001E512C">
      <w:pPr>
        <w:pStyle w:val="ListParagraph"/>
        <w:numPr>
          <w:ilvl w:val="0"/>
          <w:numId w:val="1"/>
        </w:numPr>
        <w:spacing w:after="0" w:line="240" w:lineRule="auto"/>
        <w:jc w:val="both"/>
        <w:rPr>
          <w:rFonts w:ascii="Times New Roman" w:hAnsi="Times New Roman" w:cs="Times New Roman"/>
          <w:b/>
          <w:bCs/>
          <w:color w:val="000000" w:themeColor="text1"/>
          <w:sz w:val="24"/>
          <w:szCs w:val="24"/>
        </w:rPr>
      </w:pPr>
      <w:r w:rsidRPr="00CE4E06">
        <w:rPr>
          <w:rFonts w:ascii="Times New Roman" w:eastAsia="Times New Roman" w:hAnsi="Times New Roman" w:cs="Times New Roman"/>
          <w:b/>
          <w:color w:val="000000" w:themeColor="text1"/>
          <w:sz w:val="24"/>
          <w:szCs w:val="24"/>
          <w:lang w:bidi="en-GB"/>
        </w:rPr>
        <w:t>Requirements concerning the economic and financial standing of the tenderer</w:t>
      </w:r>
    </w:p>
    <w:p w14:paraId="1BFD6220" w14:textId="5D7F45F8" w:rsidR="001E512C" w:rsidRPr="00CE4E06" w:rsidRDefault="001E512C" w:rsidP="001E512C">
      <w:pPr>
        <w:pStyle w:val="ListParagraph"/>
        <w:numPr>
          <w:ilvl w:val="1"/>
          <w:numId w:val="1"/>
        </w:numPr>
        <w:spacing w:after="0" w:line="240" w:lineRule="auto"/>
        <w:ind w:left="709"/>
        <w:jc w:val="both"/>
        <w:rPr>
          <w:rFonts w:ascii="Times New Roman" w:hAnsi="Times New Roman"/>
          <w:color w:val="000000" w:themeColor="text1"/>
          <w:sz w:val="24"/>
          <w:szCs w:val="24"/>
        </w:rPr>
      </w:pPr>
      <w:r w:rsidRPr="00CE4E06">
        <w:rPr>
          <w:rFonts w:ascii="Times New Roman" w:eastAsia="Times New Roman" w:hAnsi="Times New Roman" w:cs="Times New Roman"/>
          <w:color w:val="000000" w:themeColor="text1"/>
          <w:spacing w:val="-3"/>
          <w:sz w:val="24"/>
          <w:szCs w:val="24"/>
          <w:lang w:bidi="en-GB"/>
        </w:rPr>
        <w:t xml:space="preserve">The tenderer must have sound financial and economic performance indicators, which are characterised by </w:t>
      </w:r>
      <w:r w:rsidRPr="00CE4E06">
        <w:rPr>
          <w:rFonts w:ascii="Times New Roman" w:eastAsia="Times New Roman" w:hAnsi="Times New Roman" w:cs="Times New Roman"/>
          <w:b/>
          <w:color w:val="000000" w:themeColor="text1"/>
          <w:spacing w:val="-3"/>
          <w:sz w:val="24"/>
          <w:szCs w:val="24"/>
          <w:lang w:bidi="en-GB"/>
        </w:rPr>
        <w:t>positive equity</w:t>
      </w:r>
      <w:r w:rsidRPr="00CE4E06">
        <w:rPr>
          <w:rFonts w:ascii="Times New Roman" w:eastAsia="Times New Roman" w:hAnsi="Times New Roman" w:cs="Times New Roman"/>
          <w:color w:val="000000" w:themeColor="text1"/>
          <w:spacing w:val="-3"/>
          <w:sz w:val="24"/>
          <w:szCs w:val="24"/>
          <w:lang w:bidi="en-GB"/>
        </w:rPr>
        <w:t xml:space="preserve">, applying </w:t>
      </w:r>
      <w:proofErr w:type="gramStart"/>
      <w:r w:rsidRPr="00CE4E06">
        <w:rPr>
          <w:rFonts w:ascii="Times New Roman" w:eastAsia="Times New Roman" w:hAnsi="Times New Roman" w:cs="Times New Roman"/>
          <w:color w:val="000000" w:themeColor="text1"/>
          <w:spacing w:val="-3"/>
          <w:sz w:val="24"/>
          <w:szCs w:val="24"/>
          <w:lang w:bidi="en-GB"/>
        </w:rPr>
        <w:t>generally accepted</w:t>
      </w:r>
      <w:proofErr w:type="gramEnd"/>
      <w:r w:rsidRPr="00CE4E06">
        <w:rPr>
          <w:rFonts w:ascii="Times New Roman" w:eastAsia="Times New Roman" w:hAnsi="Times New Roman" w:cs="Times New Roman"/>
          <w:color w:val="000000" w:themeColor="text1"/>
          <w:spacing w:val="-3"/>
          <w:sz w:val="24"/>
          <w:szCs w:val="24"/>
          <w:lang w:bidi="en-GB"/>
        </w:rPr>
        <w:t xml:space="preserve"> techniques of financial analysis, as well as based on the results of the latest approved annual statement (2022). </w:t>
      </w:r>
      <w:r w:rsidRPr="00CE4E06">
        <w:rPr>
          <w:rFonts w:ascii="Times New Roman" w:eastAsia="Times New Roman" w:hAnsi="Times New Roman" w:cs="Times New Roman"/>
          <w:color w:val="000000" w:themeColor="text1"/>
          <w:sz w:val="24"/>
          <w:szCs w:val="24"/>
          <w:lang w:bidi="en-GB"/>
        </w:rPr>
        <w:t xml:space="preserve">For the tenderers established later, without any approved annual statement approved, the conformity of the financial and economic performance indicators to this Clause of the Regulations shall be determined </w:t>
      </w:r>
      <w:proofErr w:type="gramStart"/>
      <w:r w:rsidRPr="00CE4E06">
        <w:rPr>
          <w:rFonts w:ascii="Times New Roman" w:eastAsia="Times New Roman" w:hAnsi="Times New Roman" w:cs="Times New Roman"/>
          <w:color w:val="000000" w:themeColor="text1"/>
          <w:sz w:val="24"/>
          <w:szCs w:val="24"/>
          <w:lang w:bidi="en-GB"/>
        </w:rPr>
        <w:t>on the basis of</w:t>
      </w:r>
      <w:proofErr w:type="gramEnd"/>
      <w:r w:rsidRPr="00CE4E06">
        <w:rPr>
          <w:rFonts w:ascii="Times New Roman" w:eastAsia="Times New Roman" w:hAnsi="Times New Roman" w:cs="Times New Roman"/>
          <w:color w:val="000000" w:themeColor="text1"/>
          <w:sz w:val="24"/>
          <w:szCs w:val="24"/>
          <w:lang w:bidi="en-GB"/>
        </w:rPr>
        <w:t xml:space="preserve"> the financial and economic activity report of the tenderer.</w:t>
      </w:r>
    </w:p>
    <w:p w14:paraId="62AA3619" w14:textId="25C8B30E" w:rsidR="001E512C" w:rsidRPr="00CE4E06" w:rsidRDefault="001E512C" w:rsidP="001E512C">
      <w:pPr>
        <w:pStyle w:val="ListParagraph"/>
        <w:spacing w:after="0" w:line="240" w:lineRule="auto"/>
        <w:jc w:val="both"/>
        <w:rPr>
          <w:rFonts w:ascii="Times New Roman" w:eastAsia="Times New Roman" w:hAnsi="Times New Roman"/>
          <w:color w:val="000000" w:themeColor="text1"/>
          <w:spacing w:val="-3"/>
          <w:sz w:val="24"/>
          <w:szCs w:val="24"/>
        </w:rPr>
      </w:pPr>
      <w:r w:rsidRPr="00CE4E06">
        <w:rPr>
          <w:rFonts w:ascii="Times New Roman" w:eastAsia="Times New Roman" w:hAnsi="Times New Roman" w:cs="Times New Roman"/>
          <w:color w:val="000000" w:themeColor="text1"/>
          <w:spacing w:val="-3"/>
          <w:sz w:val="24"/>
          <w:szCs w:val="24"/>
          <w:lang w:bidi="en-GB"/>
        </w:rPr>
        <w:t>If the tenderer is an association, each of the participants of the association, whose financial capacities the tenderer relies upon and who will be financially responsible for the fulfilment of the procurement contract must comply with the requirements of this Clause.</w:t>
      </w:r>
    </w:p>
    <w:p w14:paraId="36EA3A12" w14:textId="76AC2471" w:rsidR="001E512C" w:rsidRPr="00CE4E06" w:rsidRDefault="001E512C" w:rsidP="001E512C">
      <w:pPr>
        <w:pStyle w:val="ListParagraph"/>
        <w:numPr>
          <w:ilvl w:val="1"/>
          <w:numId w:val="1"/>
        </w:numPr>
        <w:spacing w:after="0" w:line="240" w:lineRule="auto"/>
        <w:jc w:val="both"/>
        <w:rPr>
          <w:rFonts w:ascii="Times New Roman" w:eastAsia="Times New Roman" w:hAnsi="Times New Roman"/>
          <w:color w:val="000000" w:themeColor="text1"/>
          <w:spacing w:val="-3"/>
          <w:sz w:val="24"/>
          <w:szCs w:val="24"/>
        </w:rPr>
      </w:pPr>
      <w:r w:rsidRPr="00CE4E06">
        <w:rPr>
          <w:rFonts w:ascii="Times New Roman" w:eastAsia="Times New Roman" w:hAnsi="Times New Roman" w:cs="Times New Roman"/>
          <w:color w:val="000000" w:themeColor="text1"/>
          <w:spacing w:val="-3"/>
          <w:sz w:val="24"/>
          <w:szCs w:val="24"/>
          <w:lang w:bidi="en-GB"/>
        </w:rPr>
        <w:t>When confirming the compliance with the requirements of Clause 1.1, the tenderer may rely on the economic and financial capacities of other persons. In such a case the tenderer shall demonstrate to the Contracting Authority that it will have the necessary resources at its disposal by submitting a confirmation of such persons or an agreement on cooperation within the fulfilment of the procurement contract. The tenderer and the person, whose economic and financial capacities the tenderer relies upon, must be jointly and severally liable for the fulfilment of the procurement contract.</w:t>
      </w:r>
    </w:p>
    <w:p w14:paraId="52C287F9" w14:textId="77777777" w:rsidR="001E512C" w:rsidRPr="00CE4E06" w:rsidRDefault="001E512C" w:rsidP="001E512C">
      <w:pPr>
        <w:spacing w:after="0" w:line="240" w:lineRule="auto"/>
        <w:ind w:left="709"/>
        <w:jc w:val="both"/>
        <w:rPr>
          <w:rFonts w:ascii="Times New Roman" w:eastAsia="Times New Roman" w:hAnsi="Times New Roman"/>
          <w:color w:val="000000" w:themeColor="text1"/>
          <w:spacing w:val="-3"/>
          <w:sz w:val="24"/>
          <w:szCs w:val="24"/>
        </w:rPr>
      </w:pPr>
    </w:p>
    <w:p w14:paraId="0BE74795" w14:textId="77777777" w:rsidR="001E512C" w:rsidRPr="00CE4E06" w:rsidRDefault="001E512C" w:rsidP="001E512C">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bookmarkStart w:id="0" w:name="_Hlk502922621"/>
      <w:r w:rsidRPr="00CE4E06">
        <w:rPr>
          <w:rFonts w:ascii="Times New Roman" w:eastAsia="Times New Roman" w:hAnsi="Times New Roman" w:cs="Times New Roman"/>
          <w:b/>
          <w:color w:val="000000" w:themeColor="text1"/>
          <w:spacing w:val="-3"/>
          <w:sz w:val="24"/>
          <w:szCs w:val="24"/>
          <w:lang w:bidi="en-GB"/>
        </w:rPr>
        <w:t xml:space="preserve">Requirements </w:t>
      </w:r>
      <w:r w:rsidRPr="00CE4E06">
        <w:rPr>
          <w:rFonts w:ascii="Times New Roman" w:eastAsia="Times New Roman" w:hAnsi="Times New Roman" w:cs="Times New Roman"/>
          <w:b/>
          <w:color w:val="000000" w:themeColor="text1"/>
          <w:sz w:val="24"/>
          <w:szCs w:val="24"/>
          <w:lang w:bidi="en-GB"/>
        </w:rPr>
        <w:t xml:space="preserve">for performance of professional activity </w:t>
      </w:r>
    </w:p>
    <w:p w14:paraId="42B1D6BA" w14:textId="77777777" w:rsidR="001E512C" w:rsidRDefault="001E512C" w:rsidP="001E512C">
      <w:pPr>
        <w:pStyle w:val="ListParagraph"/>
        <w:numPr>
          <w:ilvl w:val="1"/>
          <w:numId w:val="1"/>
        </w:numPr>
        <w:spacing w:after="0" w:line="240" w:lineRule="auto"/>
        <w:jc w:val="both"/>
        <w:rPr>
          <w:rFonts w:ascii="Times New Roman" w:eastAsia="Times New Roman" w:hAnsi="Times New Roman" w:cs="Times New Roman"/>
          <w:color w:val="000000" w:themeColor="text1"/>
          <w:sz w:val="24"/>
          <w:szCs w:val="24"/>
        </w:rPr>
      </w:pPr>
      <w:r w:rsidRPr="00CE4E06">
        <w:rPr>
          <w:rFonts w:ascii="Times New Roman" w:eastAsia="Times New Roman" w:hAnsi="Times New Roman" w:cs="Times New Roman"/>
          <w:color w:val="000000" w:themeColor="text1"/>
          <w:sz w:val="24"/>
          <w:szCs w:val="24"/>
          <w:lang w:bidi="en-GB"/>
        </w:rPr>
        <w:t xml:space="preserve">The tenderer or, if the tenderer is an association of economic operators, all participants of the association, shall </w:t>
      </w:r>
      <w:proofErr w:type="gramStart"/>
      <w:r w:rsidRPr="00CE4E06">
        <w:rPr>
          <w:rFonts w:ascii="Times New Roman" w:eastAsia="Times New Roman" w:hAnsi="Times New Roman" w:cs="Times New Roman"/>
          <w:color w:val="000000" w:themeColor="text1"/>
          <w:sz w:val="24"/>
          <w:szCs w:val="24"/>
          <w:lang w:bidi="en-GB"/>
        </w:rPr>
        <w:t>be registered</w:t>
      </w:r>
      <w:proofErr w:type="gramEnd"/>
      <w:r w:rsidRPr="00CE4E06">
        <w:rPr>
          <w:rFonts w:ascii="Times New Roman" w:eastAsia="Times New Roman" w:hAnsi="Times New Roman" w:cs="Times New Roman"/>
          <w:color w:val="000000" w:themeColor="text1"/>
          <w:sz w:val="24"/>
          <w:szCs w:val="24"/>
          <w:lang w:bidi="en-GB"/>
        </w:rPr>
        <w:t xml:space="preserve"> in the Commercial Register or, if the tenderer is a foreign person, registered in accordance with the requirements of the laws and regulations of the country concerned. </w:t>
      </w:r>
    </w:p>
    <w:p w14:paraId="1A40EF52" w14:textId="77777777" w:rsidR="004040D6" w:rsidRPr="00CE4E06" w:rsidRDefault="004040D6" w:rsidP="004040D6">
      <w:pPr>
        <w:pStyle w:val="ListParagraph"/>
        <w:spacing w:after="0" w:line="240" w:lineRule="auto"/>
        <w:jc w:val="both"/>
        <w:rPr>
          <w:rFonts w:ascii="Times New Roman" w:eastAsia="Times New Roman" w:hAnsi="Times New Roman" w:cs="Times New Roman"/>
          <w:color w:val="000000" w:themeColor="text1"/>
          <w:sz w:val="24"/>
          <w:szCs w:val="24"/>
        </w:rPr>
      </w:pPr>
    </w:p>
    <w:bookmarkEnd w:id="0"/>
    <w:p w14:paraId="55B5178F" w14:textId="77777777" w:rsidR="001E512C" w:rsidRPr="00CE4E06" w:rsidRDefault="001E512C" w:rsidP="001E512C">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r w:rsidRPr="00CE4E06">
        <w:rPr>
          <w:rFonts w:ascii="Times New Roman" w:eastAsia="Times New Roman" w:hAnsi="Times New Roman" w:cs="Times New Roman"/>
          <w:b/>
          <w:color w:val="000000" w:themeColor="text1"/>
          <w:spacing w:val="-3"/>
          <w:sz w:val="24"/>
          <w:szCs w:val="24"/>
          <w:lang w:bidi="en-GB"/>
        </w:rPr>
        <w:t>Requirements for technical and professional capacities</w:t>
      </w:r>
    </w:p>
    <w:p w14:paraId="56C7211F" w14:textId="77777777" w:rsidR="00D97CFA" w:rsidRDefault="00D97CFA" w:rsidP="00D97CFA">
      <w:pPr>
        <w:pStyle w:val="BodyText2"/>
        <w:numPr>
          <w:ilvl w:val="1"/>
          <w:numId w:val="1"/>
        </w:numPr>
        <w:rPr>
          <w:rFonts w:ascii="Times New Roman" w:hAnsi="Times New Roman"/>
          <w:szCs w:val="24"/>
        </w:rPr>
      </w:pPr>
      <w:r w:rsidRPr="00F469FC">
        <w:rPr>
          <w:rFonts w:ascii="Times New Roman" w:hAnsi="Times New Roman"/>
          <w:szCs w:val="24"/>
          <w:lang w:bidi="en-GB"/>
        </w:rPr>
        <w:t xml:space="preserve">The tenderer has experience in the development and supply of at least one parking management system </w:t>
      </w:r>
      <w:bookmarkStart w:id="1" w:name="_Hlk150504640"/>
      <w:r w:rsidRPr="00F469FC">
        <w:rPr>
          <w:rFonts w:ascii="Times New Roman" w:hAnsi="Times New Roman"/>
          <w:szCs w:val="24"/>
          <w:lang w:bidi="en-GB"/>
        </w:rPr>
        <w:t xml:space="preserve">(i.e., payment, parking lot accounting and control solutions) </w:t>
      </w:r>
      <w:bookmarkEnd w:id="1"/>
      <w:r w:rsidRPr="00F469FC">
        <w:rPr>
          <w:rFonts w:ascii="Times New Roman" w:hAnsi="Times New Roman"/>
          <w:szCs w:val="24"/>
          <w:lang w:bidi="en-GB"/>
        </w:rPr>
        <w:t>during the previous 5 (five) years (2018, 2019, 2020, 2021, 2022 and 2023 until the submission of the tender), provided that the tenderer has been ensuring the maintenance of such system for at least 24 months and the system has been operating in a real environment for at least 24 months.</w:t>
      </w:r>
    </w:p>
    <w:p w14:paraId="0DAD3940" w14:textId="77777777" w:rsidR="00D97CFA" w:rsidRPr="00D97CFA" w:rsidRDefault="00D97CFA" w:rsidP="00D97CFA">
      <w:pPr>
        <w:pStyle w:val="BodyText2"/>
        <w:numPr>
          <w:ilvl w:val="1"/>
          <w:numId w:val="1"/>
        </w:numPr>
        <w:rPr>
          <w:rFonts w:ascii="Times New Roman" w:hAnsi="Times New Roman"/>
          <w:szCs w:val="24"/>
        </w:rPr>
      </w:pPr>
      <w:r w:rsidRPr="00D97CFA">
        <w:rPr>
          <w:rFonts w:ascii="Times New Roman" w:hAnsi="Times New Roman"/>
          <w:color w:val="000000" w:themeColor="text1"/>
          <w:szCs w:val="24"/>
          <w:lang w:bidi="en-GB"/>
        </w:rPr>
        <w:t xml:space="preserve">The tenderer, during the previous 5 (five) years, has experience in at least one project of the development of information system migration, information system add-ons, where the following technologies have </w:t>
      </w:r>
      <w:proofErr w:type="gramStart"/>
      <w:r w:rsidRPr="00D97CFA">
        <w:rPr>
          <w:rFonts w:ascii="Times New Roman" w:hAnsi="Times New Roman"/>
          <w:color w:val="000000" w:themeColor="text1"/>
          <w:szCs w:val="24"/>
          <w:lang w:bidi="en-GB"/>
        </w:rPr>
        <w:t>been used</w:t>
      </w:r>
      <w:proofErr w:type="gramEnd"/>
      <w:r w:rsidRPr="00D97CFA">
        <w:rPr>
          <w:rFonts w:ascii="Times New Roman" w:hAnsi="Times New Roman"/>
          <w:color w:val="000000" w:themeColor="text1"/>
          <w:szCs w:val="24"/>
          <w:lang w:bidi="en-GB"/>
        </w:rPr>
        <w:t xml:space="preserve">: </w:t>
      </w:r>
    </w:p>
    <w:p w14:paraId="51E822AE" w14:textId="30CBCC8D" w:rsidR="00D97CFA" w:rsidRPr="00D97CFA" w:rsidRDefault="00D97CFA" w:rsidP="00D97CFA">
      <w:pPr>
        <w:pStyle w:val="BodyText2"/>
        <w:tabs>
          <w:tab w:val="clear" w:pos="0"/>
        </w:tabs>
        <w:ind w:left="720"/>
        <w:rPr>
          <w:rFonts w:ascii="Times New Roman" w:hAnsi="Times New Roman"/>
          <w:szCs w:val="24"/>
        </w:rPr>
      </w:pPr>
      <w:r>
        <w:rPr>
          <w:rFonts w:ascii="Times New Roman" w:hAnsi="Times New Roman"/>
          <w:color w:val="000000" w:themeColor="text1"/>
          <w:szCs w:val="24"/>
          <w:lang w:bidi="en-GB"/>
        </w:rPr>
        <w:t>3.2.1.</w:t>
      </w:r>
      <w:r w:rsidRPr="00D97CFA">
        <w:rPr>
          <w:i/>
          <w:szCs w:val="24"/>
          <w:lang w:bidi="en-GB"/>
        </w:rPr>
        <w:t>Android</w:t>
      </w:r>
      <w:r w:rsidRPr="00D97CFA">
        <w:rPr>
          <w:szCs w:val="24"/>
          <w:lang w:bidi="en-GB"/>
        </w:rPr>
        <w:t xml:space="preserve"> mobile application operating system;</w:t>
      </w:r>
    </w:p>
    <w:p w14:paraId="383F688B" w14:textId="77777777" w:rsidR="00D97CFA" w:rsidRDefault="00D97CFA" w:rsidP="00D97CFA">
      <w:pPr>
        <w:pStyle w:val="ListBullet4"/>
        <w:numPr>
          <w:ilvl w:val="2"/>
          <w:numId w:val="7"/>
        </w:numPr>
        <w:rPr>
          <w:szCs w:val="24"/>
        </w:rPr>
      </w:pPr>
      <w:r w:rsidRPr="007A72E1">
        <w:rPr>
          <w:szCs w:val="24"/>
          <w:lang w:bidi="en-GB"/>
        </w:rPr>
        <w:t xml:space="preserve"> IT infrastructure environment MS </w:t>
      </w:r>
      <w:r w:rsidRPr="007A72E1">
        <w:rPr>
          <w:i/>
          <w:szCs w:val="24"/>
          <w:lang w:bidi="en-GB"/>
        </w:rPr>
        <w:t>Azure - Kubernetes services, Container Registry, PostgreSQL</w:t>
      </w:r>
      <w:r w:rsidRPr="007A72E1">
        <w:rPr>
          <w:szCs w:val="24"/>
          <w:lang w:bidi="en-GB"/>
        </w:rPr>
        <w:t>;</w:t>
      </w:r>
    </w:p>
    <w:p w14:paraId="2BDB48E7" w14:textId="77777777" w:rsidR="00D97CFA" w:rsidRDefault="00D97CFA" w:rsidP="00D97CFA">
      <w:pPr>
        <w:pStyle w:val="ListBullet4"/>
        <w:numPr>
          <w:ilvl w:val="2"/>
          <w:numId w:val="7"/>
        </w:numPr>
        <w:rPr>
          <w:szCs w:val="24"/>
        </w:rPr>
      </w:pPr>
      <w:r w:rsidRPr="00D97CFA">
        <w:rPr>
          <w:szCs w:val="24"/>
          <w:lang w:bidi="en-GB"/>
        </w:rPr>
        <w:t xml:space="preserve"> software delivery environment - </w:t>
      </w:r>
      <w:r w:rsidRPr="00D97CFA">
        <w:rPr>
          <w:i/>
          <w:szCs w:val="24"/>
          <w:lang w:bidi="en-GB"/>
        </w:rPr>
        <w:t>Git</w:t>
      </w:r>
      <w:r w:rsidRPr="00D97CFA">
        <w:rPr>
          <w:szCs w:val="24"/>
          <w:lang w:bidi="en-GB"/>
        </w:rPr>
        <w:t xml:space="preserve"> and </w:t>
      </w:r>
      <w:r w:rsidRPr="00D97CFA">
        <w:rPr>
          <w:i/>
          <w:szCs w:val="24"/>
          <w:lang w:bidi="en-GB"/>
        </w:rPr>
        <w:t>Docker</w:t>
      </w:r>
      <w:r w:rsidRPr="00D97CFA">
        <w:rPr>
          <w:szCs w:val="24"/>
          <w:lang w:bidi="en-GB"/>
        </w:rPr>
        <w:t>;</w:t>
      </w:r>
    </w:p>
    <w:p w14:paraId="64293DD2" w14:textId="77777777" w:rsidR="00D97CFA" w:rsidRDefault="00D97CFA" w:rsidP="00D97CFA">
      <w:pPr>
        <w:pStyle w:val="ListBullet4"/>
        <w:numPr>
          <w:ilvl w:val="2"/>
          <w:numId w:val="7"/>
        </w:numPr>
        <w:rPr>
          <w:szCs w:val="24"/>
        </w:rPr>
      </w:pPr>
      <w:r w:rsidRPr="00D97CFA">
        <w:rPr>
          <w:szCs w:val="24"/>
          <w:lang w:bidi="en-GB"/>
        </w:rPr>
        <w:t xml:space="preserve">API for </w:t>
      </w:r>
      <w:r w:rsidRPr="00D97CFA">
        <w:rPr>
          <w:i/>
          <w:szCs w:val="24"/>
          <w:lang w:bidi="en-GB"/>
        </w:rPr>
        <w:t>RESTful</w:t>
      </w:r>
      <w:r w:rsidRPr="00D97CFA">
        <w:rPr>
          <w:szCs w:val="24"/>
          <w:lang w:bidi="en-GB"/>
        </w:rPr>
        <w:t xml:space="preserve"> architectural style;</w:t>
      </w:r>
    </w:p>
    <w:p w14:paraId="23A96636" w14:textId="77777777" w:rsidR="00D97CFA" w:rsidRDefault="00D97CFA" w:rsidP="00D97CFA">
      <w:pPr>
        <w:pStyle w:val="ListBullet4"/>
        <w:numPr>
          <w:ilvl w:val="2"/>
          <w:numId w:val="7"/>
        </w:numPr>
        <w:rPr>
          <w:szCs w:val="24"/>
        </w:rPr>
      </w:pPr>
      <w:r w:rsidRPr="00D97CFA">
        <w:rPr>
          <w:szCs w:val="24"/>
          <w:lang w:bidi="en-GB"/>
        </w:rPr>
        <w:lastRenderedPageBreak/>
        <w:t xml:space="preserve">at least in the following technologies: </w:t>
      </w:r>
      <w:r w:rsidRPr="00D97CFA">
        <w:rPr>
          <w:i/>
          <w:szCs w:val="24"/>
          <w:lang w:bidi="en-GB"/>
        </w:rPr>
        <w:t>Scala</w:t>
      </w:r>
      <w:r w:rsidRPr="00D97CFA">
        <w:rPr>
          <w:szCs w:val="24"/>
          <w:lang w:bidi="en-GB"/>
        </w:rPr>
        <w:t xml:space="preserve"> and </w:t>
      </w:r>
      <w:r w:rsidRPr="00D97CFA">
        <w:rPr>
          <w:i/>
          <w:szCs w:val="24"/>
          <w:lang w:bidi="en-GB"/>
        </w:rPr>
        <w:t>C#;</w:t>
      </w:r>
    </w:p>
    <w:p w14:paraId="5B4BB915" w14:textId="77777777" w:rsidR="00D97CFA" w:rsidRDefault="00D97CFA" w:rsidP="00D97CFA">
      <w:pPr>
        <w:pStyle w:val="ListBullet4"/>
        <w:numPr>
          <w:ilvl w:val="2"/>
          <w:numId w:val="7"/>
        </w:numPr>
        <w:rPr>
          <w:szCs w:val="24"/>
        </w:rPr>
      </w:pPr>
      <w:r w:rsidRPr="00D97CFA">
        <w:rPr>
          <w:szCs w:val="24"/>
          <w:lang w:bidi="en-GB"/>
        </w:rPr>
        <w:t xml:space="preserve"> Integration with external information systems;</w:t>
      </w:r>
    </w:p>
    <w:p w14:paraId="2E2A5194" w14:textId="747583BC" w:rsidR="00D97CFA" w:rsidRPr="00D97CFA" w:rsidRDefault="00D97CFA" w:rsidP="00D97CFA">
      <w:pPr>
        <w:pStyle w:val="ListBullet4"/>
        <w:numPr>
          <w:ilvl w:val="2"/>
          <w:numId w:val="7"/>
        </w:numPr>
        <w:rPr>
          <w:szCs w:val="24"/>
        </w:rPr>
      </w:pPr>
      <w:r w:rsidRPr="00D97CFA">
        <w:rPr>
          <w:szCs w:val="24"/>
          <w:lang w:bidi="en-GB"/>
        </w:rPr>
        <w:t>Electronic Control Equipment (ECE).</w:t>
      </w:r>
    </w:p>
    <w:p w14:paraId="2888708F" w14:textId="77777777" w:rsidR="00D97CFA" w:rsidRPr="007A72E1" w:rsidRDefault="00D97CFA" w:rsidP="00D97CFA">
      <w:pPr>
        <w:pStyle w:val="ListBullet4"/>
        <w:numPr>
          <w:ilvl w:val="0"/>
          <w:numId w:val="0"/>
        </w:numPr>
        <w:ind w:left="540"/>
        <w:rPr>
          <w:szCs w:val="24"/>
        </w:rPr>
      </w:pPr>
    </w:p>
    <w:p w14:paraId="4BECC581" w14:textId="2B7D00D8" w:rsidR="00D97CFA" w:rsidRPr="00D97CFA" w:rsidRDefault="00D97CFA" w:rsidP="00D97CFA">
      <w:pPr>
        <w:pStyle w:val="ListParagraph"/>
        <w:numPr>
          <w:ilvl w:val="0"/>
          <w:numId w:val="7"/>
        </w:numPr>
        <w:spacing w:after="0" w:line="240" w:lineRule="auto"/>
        <w:jc w:val="both"/>
        <w:rPr>
          <w:rFonts w:ascii="Times New Roman" w:hAnsi="Times New Roman" w:cs="Times New Roman"/>
          <w:b/>
          <w:color w:val="000000" w:themeColor="text1"/>
          <w:sz w:val="24"/>
          <w:szCs w:val="24"/>
        </w:rPr>
      </w:pPr>
      <w:r w:rsidRPr="00D97CFA">
        <w:rPr>
          <w:rFonts w:ascii="Times New Roman" w:eastAsia="Times New Roman" w:hAnsi="Times New Roman" w:cs="Times New Roman"/>
          <w:color w:val="000000" w:themeColor="text1"/>
          <w:sz w:val="24"/>
          <w:szCs w:val="24"/>
          <w:lang w:bidi="en-GB"/>
        </w:rPr>
        <w:t xml:space="preserve">The tenderer can ensure at least the following specialists: </w:t>
      </w:r>
    </w:p>
    <w:p w14:paraId="04829AC7" w14:textId="77777777" w:rsidR="00D97CFA" w:rsidRDefault="00D97CFA" w:rsidP="00D97CFA">
      <w:pPr>
        <w:pStyle w:val="ListParagraph"/>
        <w:numPr>
          <w:ilvl w:val="1"/>
          <w:numId w:val="8"/>
        </w:numPr>
        <w:suppressAutoHyphens/>
        <w:spacing w:line="276" w:lineRule="auto"/>
        <w:jc w:val="both"/>
        <w:rPr>
          <w:rFonts w:ascii="Times New Roman" w:hAnsi="Times New Roman" w:cs="Times New Roman"/>
          <w:sz w:val="24"/>
          <w:szCs w:val="24"/>
        </w:rPr>
      </w:pPr>
      <w:r w:rsidRPr="00D97CFA">
        <w:rPr>
          <w:rFonts w:ascii="Times New Roman" w:eastAsia="Times New Roman" w:hAnsi="Times New Roman" w:cs="Times New Roman"/>
          <w:sz w:val="24"/>
          <w:szCs w:val="24"/>
          <w:lang w:bidi="en-GB"/>
        </w:rPr>
        <w:t>one (1) programmer who, during the previous 5 (five) years, has performed the development of at least one parking management system (i.e., payment, parking lot accounting and control solutions);</w:t>
      </w:r>
    </w:p>
    <w:p w14:paraId="45431891" w14:textId="77777777" w:rsidR="00D97CFA" w:rsidRDefault="00D97CFA" w:rsidP="00D97CFA">
      <w:pPr>
        <w:pStyle w:val="ListParagraph"/>
        <w:numPr>
          <w:ilvl w:val="1"/>
          <w:numId w:val="8"/>
        </w:numPr>
        <w:suppressAutoHyphens/>
        <w:spacing w:line="276" w:lineRule="auto"/>
        <w:jc w:val="both"/>
        <w:rPr>
          <w:rFonts w:ascii="Times New Roman" w:hAnsi="Times New Roman" w:cs="Times New Roman"/>
          <w:sz w:val="24"/>
          <w:szCs w:val="24"/>
        </w:rPr>
      </w:pPr>
      <w:r w:rsidRPr="00D97CFA">
        <w:rPr>
          <w:rFonts w:ascii="Times New Roman" w:eastAsia="Times New Roman" w:hAnsi="Times New Roman" w:cs="Times New Roman"/>
          <w:sz w:val="24"/>
          <w:szCs w:val="24"/>
          <w:lang w:bidi="en-GB"/>
        </w:rPr>
        <w:t>one (1) system testing specialist who, during the previous 5 (five) years, has had an experience in testing at least one parking management system (i.e., payment, parking lot accounting and control solutions);</w:t>
      </w:r>
    </w:p>
    <w:p w14:paraId="077C2739" w14:textId="6B5BD221" w:rsidR="00D97CFA" w:rsidRPr="00D97CFA" w:rsidRDefault="00D97CFA" w:rsidP="00D97CFA">
      <w:pPr>
        <w:pStyle w:val="ListParagraph"/>
        <w:numPr>
          <w:ilvl w:val="1"/>
          <w:numId w:val="8"/>
        </w:numPr>
        <w:suppressAutoHyphens/>
        <w:spacing w:line="276" w:lineRule="auto"/>
        <w:jc w:val="both"/>
        <w:rPr>
          <w:rFonts w:ascii="Times New Roman" w:hAnsi="Times New Roman" w:cs="Times New Roman"/>
          <w:sz w:val="24"/>
          <w:szCs w:val="24"/>
        </w:rPr>
      </w:pPr>
      <w:r w:rsidRPr="00D97CFA">
        <w:rPr>
          <w:rFonts w:ascii="Times New Roman" w:eastAsia="Times New Roman" w:hAnsi="Times New Roman" w:cs="Times New Roman"/>
          <w:sz w:val="24"/>
          <w:szCs w:val="24"/>
          <w:lang w:bidi="en-GB"/>
        </w:rPr>
        <w:t>one (1) project manager who, during the previous 5 (five) years, has had an experience as a project manager in the project of implementation of the parking management system (i.e., payment, parking lot accounting and control solutions).</w:t>
      </w:r>
    </w:p>
    <w:p w14:paraId="009CE8DB" w14:textId="77777777" w:rsidR="009A4B91" w:rsidRPr="00D8441A" w:rsidRDefault="009A4B91" w:rsidP="00D8441A">
      <w:pPr>
        <w:pStyle w:val="ListParagraph"/>
        <w:tabs>
          <w:tab w:val="left" w:pos="567"/>
        </w:tabs>
        <w:suppressAutoHyphens/>
        <w:spacing w:after="0" w:line="276" w:lineRule="auto"/>
        <w:ind w:left="1430"/>
        <w:jc w:val="both"/>
        <w:rPr>
          <w:rFonts w:ascii="Times New Roman" w:hAnsi="Times New Roman" w:cs="Times New Roman"/>
          <w:sz w:val="24"/>
          <w:szCs w:val="24"/>
        </w:rPr>
      </w:pPr>
    </w:p>
    <w:p w14:paraId="3E84E163" w14:textId="77777777" w:rsidR="003F0836" w:rsidRPr="003F0836" w:rsidRDefault="003F0836" w:rsidP="003F0836">
      <w:pPr>
        <w:widowControl w:val="0"/>
        <w:autoSpaceDE w:val="0"/>
        <w:autoSpaceDN w:val="0"/>
        <w:adjustRightInd w:val="0"/>
        <w:spacing w:after="120" w:line="276" w:lineRule="auto"/>
        <w:jc w:val="both"/>
        <w:rPr>
          <w:rFonts w:ascii="Times New Roman" w:hAnsi="Times New Roman" w:cs="Times New Roman"/>
          <w:sz w:val="24"/>
          <w:szCs w:val="24"/>
        </w:rPr>
      </w:pPr>
    </w:p>
    <w:sectPr w:rsidR="003F0836" w:rsidRPr="003F0836" w:rsidSect="00FD4874">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2629" w14:textId="77777777" w:rsidR="00B00583" w:rsidRDefault="00B00583" w:rsidP="007B694D">
      <w:pPr>
        <w:spacing w:after="0" w:line="240" w:lineRule="auto"/>
      </w:pPr>
      <w:r>
        <w:separator/>
      </w:r>
    </w:p>
  </w:endnote>
  <w:endnote w:type="continuationSeparator" w:id="0">
    <w:p w14:paraId="090F33F3" w14:textId="77777777" w:rsidR="00B00583" w:rsidRDefault="00B00583" w:rsidP="007B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altName w:val="Cambria"/>
    <w:panose1 w:val="02060302050305020504"/>
    <w:charset w:val="00"/>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131F" w14:textId="77777777" w:rsidR="00B00583" w:rsidRDefault="00B00583" w:rsidP="007B694D">
      <w:pPr>
        <w:spacing w:after="0" w:line="240" w:lineRule="auto"/>
      </w:pPr>
      <w:r>
        <w:separator/>
      </w:r>
    </w:p>
  </w:footnote>
  <w:footnote w:type="continuationSeparator" w:id="0">
    <w:p w14:paraId="2E52DBE1" w14:textId="77777777" w:rsidR="00B00583" w:rsidRDefault="00B00583" w:rsidP="007B6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486350A"/>
    <w:multiLevelType w:val="multilevel"/>
    <w:tmpl w:val="66A086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8C561A"/>
    <w:multiLevelType w:val="multilevel"/>
    <w:tmpl w:val="7EB6ACE8"/>
    <w:lvl w:ilvl="0">
      <w:start w:val="1"/>
      <w:numFmt w:val="decimal"/>
      <w:lvlText w:val="%1."/>
      <w:lvlJc w:val="left"/>
      <w:pPr>
        <w:ind w:left="420" w:hanging="420"/>
      </w:pPr>
      <w:rPr>
        <w:b/>
      </w:rPr>
    </w:lvl>
    <w:lvl w:ilvl="1">
      <w:start w:val="1"/>
      <w:numFmt w:val="decimal"/>
      <w:lvlText w:val="%1.%2."/>
      <w:lvlJc w:val="left"/>
      <w:pPr>
        <w:ind w:left="1140" w:hanging="420"/>
      </w:pPr>
      <w:rPr>
        <w:b/>
        <w:sz w:val="24"/>
        <w:szCs w:val="24"/>
      </w:rPr>
    </w:lvl>
    <w:lvl w:ilvl="2">
      <w:start w:val="1"/>
      <w:numFmt w:val="decimal"/>
      <w:lvlText w:val="%1.%2.%3."/>
      <w:lvlJc w:val="left"/>
      <w:pPr>
        <w:ind w:left="2160" w:hanging="720"/>
      </w:pPr>
      <w:rPr>
        <w:b/>
        <w:sz w:val="24"/>
        <w:szCs w:val="24"/>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67A3350C"/>
    <w:multiLevelType w:val="multilevel"/>
    <w:tmpl w:val="921CE5F4"/>
    <w:lvl w:ilvl="0">
      <w:start w:val="3"/>
      <w:numFmt w:val="decimal"/>
      <w:lvlText w:val="%1."/>
      <w:lvlJc w:val="left"/>
      <w:pPr>
        <w:ind w:left="540" w:hanging="540"/>
      </w:pPr>
      <w:rPr>
        <w:rFonts w:hint="default"/>
      </w:rPr>
    </w:lvl>
    <w:lvl w:ilvl="1">
      <w:start w:val="2"/>
      <w:numFmt w:val="decimal"/>
      <w:lvlText w:val="%1.%2."/>
      <w:lvlJc w:val="left"/>
      <w:pPr>
        <w:ind w:left="964" w:hanging="540"/>
      </w:pPr>
      <w:rPr>
        <w:rFonts w:hint="default"/>
      </w:rPr>
    </w:lvl>
    <w:lvl w:ilvl="2">
      <w:start w:val="2"/>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5"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3B2FFC"/>
    <w:multiLevelType w:val="multilevel"/>
    <w:tmpl w:val="00EC9C6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99937039">
    <w:abstractNumId w:val="7"/>
  </w:num>
  <w:num w:numId="2" w16cid:durableId="990905819">
    <w:abstractNumId w:val="0"/>
  </w:num>
  <w:num w:numId="3" w16cid:durableId="211426316">
    <w:abstractNumId w:val="1"/>
  </w:num>
  <w:num w:numId="4" w16cid:durableId="1885556617">
    <w:abstractNumId w:val="5"/>
  </w:num>
  <w:num w:numId="5" w16cid:durableId="785588887">
    <w:abstractNumId w:val="2"/>
  </w:num>
  <w:num w:numId="6" w16cid:durableId="244805863">
    <w:abstractNumId w:val="3"/>
  </w:num>
  <w:num w:numId="7" w16cid:durableId="650018483">
    <w:abstractNumId w:val="4"/>
  </w:num>
  <w:num w:numId="8" w16cid:durableId="150292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74"/>
    <w:rsid w:val="00015A08"/>
    <w:rsid w:val="000222A7"/>
    <w:rsid w:val="001B34E5"/>
    <w:rsid w:val="001D754D"/>
    <w:rsid w:val="001E512C"/>
    <w:rsid w:val="002318A6"/>
    <w:rsid w:val="00276174"/>
    <w:rsid w:val="0030359D"/>
    <w:rsid w:val="00353ED2"/>
    <w:rsid w:val="003F0836"/>
    <w:rsid w:val="003F3480"/>
    <w:rsid w:val="00403D68"/>
    <w:rsid w:val="004040D6"/>
    <w:rsid w:val="004A4835"/>
    <w:rsid w:val="00501486"/>
    <w:rsid w:val="005047FB"/>
    <w:rsid w:val="005447AA"/>
    <w:rsid w:val="0059146D"/>
    <w:rsid w:val="005E25E0"/>
    <w:rsid w:val="006A5824"/>
    <w:rsid w:val="006F11CC"/>
    <w:rsid w:val="007B694D"/>
    <w:rsid w:val="007E0122"/>
    <w:rsid w:val="00883B54"/>
    <w:rsid w:val="0092449D"/>
    <w:rsid w:val="00967A12"/>
    <w:rsid w:val="009A4B91"/>
    <w:rsid w:val="00B00583"/>
    <w:rsid w:val="00BD4EB2"/>
    <w:rsid w:val="00C302C5"/>
    <w:rsid w:val="00C4558A"/>
    <w:rsid w:val="00CB2455"/>
    <w:rsid w:val="00CC5F1E"/>
    <w:rsid w:val="00D367E0"/>
    <w:rsid w:val="00D8441A"/>
    <w:rsid w:val="00D955FB"/>
    <w:rsid w:val="00D97CFA"/>
    <w:rsid w:val="00DB6AF5"/>
    <w:rsid w:val="00E80094"/>
    <w:rsid w:val="00E818DD"/>
    <w:rsid w:val="00ED261B"/>
    <w:rsid w:val="00F02318"/>
    <w:rsid w:val="00F541F4"/>
    <w:rsid w:val="00FC59E3"/>
    <w:rsid w:val="00FD4874"/>
    <w:rsid w:val="00FE1507"/>
    <w:rsid w:val="00FE5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1BD7"/>
  <w15:chartTrackingRefBased/>
  <w15:docId w15:val="{8D16151F-DC65-4AE0-ADAE-33C5DD52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74"/>
  </w:style>
  <w:style w:type="paragraph" w:styleId="Heading1">
    <w:name w:val="heading 1"/>
    <w:basedOn w:val="Normal"/>
    <w:next w:val="Normal"/>
    <w:link w:val="Heading1Char"/>
    <w:qFormat/>
    <w:rsid w:val="0030359D"/>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1B34E5"/>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1B34E5"/>
  </w:style>
  <w:style w:type="character" w:customStyle="1" w:styleId="Heading1Char">
    <w:name w:val="Heading 1 Char"/>
    <w:basedOn w:val="DefaultParagraphFont"/>
    <w:link w:val="Heading1"/>
    <w:rsid w:val="0030359D"/>
    <w:rPr>
      <w:rFonts w:asciiTheme="majorHAnsi" w:eastAsiaTheme="majorEastAsia" w:hAnsiTheme="majorHAnsi" w:cstheme="majorBidi"/>
      <w:b/>
      <w:bCs/>
      <w:color w:val="2F5496" w:themeColor="accent1" w:themeShade="BF"/>
      <w:sz w:val="28"/>
      <w:szCs w:val="28"/>
      <w:lang w:val="en-GB"/>
    </w:rPr>
  </w:style>
  <w:style w:type="paragraph" w:customStyle="1" w:styleId="StyleStyle2Justified">
    <w:name w:val="Style Style2 + Justified"/>
    <w:basedOn w:val="Normal"/>
    <w:rsid w:val="0030359D"/>
    <w:pPr>
      <w:numPr>
        <w:ilvl w:val="1"/>
        <w:numId w:val="2"/>
      </w:numPr>
      <w:spacing w:before="240" w:after="120" w:line="240" w:lineRule="auto"/>
      <w:jc w:val="both"/>
    </w:pPr>
    <w:rPr>
      <w:rFonts w:ascii="Times New Roman" w:eastAsia="Times New Roman" w:hAnsi="Times New Roman" w:cs="Times New Roman"/>
      <w:b/>
      <w:bCs/>
      <w:sz w:val="24"/>
      <w:szCs w:val="20"/>
    </w:rPr>
  </w:style>
  <w:style w:type="paragraph" w:customStyle="1" w:styleId="StyleStyle1Justified">
    <w:name w:val="Style Style1 + Justified"/>
    <w:basedOn w:val="Normal"/>
    <w:rsid w:val="0030359D"/>
    <w:pPr>
      <w:numPr>
        <w:numId w:val="2"/>
      </w:numPr>
      <w:tabs>
        <w:tab w:val="num" w:pos="1134"/>
      </w:tabs>
      <w:spacing w:before="40" w:after="40" w:line="240" w:lineRule="auto"/>
      <w:jc w:val="both"/>
    </w:pPr>
    <w:rPr>
      <w:rFonts w:ascii="Times New Roman" w:eastAsia="Times New Roman" w:hAnsi="Times New Roman" w:cs="Times New Roman"/>
      <w:sz w:val="24"/>
      <w:szCs w:val="20"/>
    </w:rPr>
  </w:style>
  <w:style w:type="table" w:styleId="TableGrid">
    <w:name w:val="Table Grid"/>
    <w:basedOn w:val="TableNormal"/>
    <w:uiPriority w:val="39"/>
    <w:rsid w:val="003F0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B694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B694D"/>
    <w:rPr>
      <w:rFonts w:ascii="Arial" w:eastAsia="Times New Roman" w:hAnsi="Arial" w:cs="Times New Roman"/>
      <w:sz w:val="20"/>
      <w:szCs w:val="20"/>
    </w:rPr>
  </w:style>
  <w:style w:type="character" w:styleId="FootnoteReference">
    <w:name w:val="footnote reference"/>
    <w:uiPriority w:val="99"/>
    <w:rsid w:val="007B694D"/>
    <w:rPr>
      <w:vertAlign w:val="superscript"/>
    </w:rPr>
  </w:style>
  <w:style w:type="character" w:styleId="Hyperlink">
    <w:name w:val="Hyperlink"/>
    <w:uiPriority w:val="99"/>
    <w:rsid w:val="00DB6AF5"/>
    <w:rPr>
      <w:color w:val="0000FF"/>
      <w:u w:val="single"/>
    </w:rPr>
  </w:style>
  <w:style w:type="paragraph" w:styleId="BodyText2">
    <w:name w:val="Body Text 2"/>
    <w:basedOn w:val="Normal"/>
    <w:link w:val="BodyText2Char"/>
    <w:rsid w:val="00DB6AF5"/>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DB6AF5"/>
    <w:rPr>
      <w:rFonts w:ascii="Belwe Lt TL" w:eastAsia="Times New Roman" w:hAnsi="Belwe Lt TL" w:cs="Times New Roman"/>
      <w:sz w:val="24"/>
      <w:szCs w:val="20"/>
    </w:rPr>
  </w:style>
  <w:style w:type="paragraph" w:customStyle="1" w:styleId="Default">
    <w:name w:val="Default"/>
    <w:rsid w:val="00DB6A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CC5F1E"/>
    <w:rPr>
      <w:sz w:val="16"/>
      <w:szCs w:val="16"/>
    </w:rPr>
  </w:style>
  <w:style w:type="paragraph" w:styleId="CommentText">
    <w:name w:val="annotation text"/>
    <w:basedOn w:val="Normal"/>
    <w:link w:val="CommentTextChar"/>
    <w:uiPriority w:val="99"/>
    <w:unhideWhenUsed/>
    <w:rsid w:val="00CC5F1E"/>
    <w:pPr>
      <w:spacing w:line="240" w:lineRule="auto"/>
    </w:pPr>
    <w:rPr>
      <w:sz w:val="20"/>
      <w:szCs w:val="20"/>
    </w:rPr>
  </w:style>
  <w:style w:type="character" w:customStyle="1" w:styleId="CommentTextChar">
    <w:name w:val="Comment Text Char"/>
    <w:basedOn w:val="DefaultParagraphFont"/>
    <w:link w:val="CommentText"/>
    <w:uiPriority w:val="99"/>
    <w:rsid w:val="00CC5F1E"/>
    <w:rPr>
      <w:sz w:val="20"/>
      <w:szCs w:val="20"/>
    </w:rPr>
  </w:style>
  <w:style w:type="paragraph" w:styleId="CommentSubject">
    <w:name w:val="annotation subject"/>
    <w:basedOn w:val="CommentText"/>
    <w:next w:val="CommentText"/>
    <w:link w:val="CommentSubjectChar"/>
    <w:uiPriority w:val="99"/>
    <w:semiHidden/>
    <w:unhideWhenUsed/>
    <w:rsid w:val="00CC5F1E"/>
    <w:rPr>
      <w:b/>
      <w:bCs/>
    </w:rPr>
  </w:style>
  <w:style w:type="character" w:customStyle="1" w:styleId="CommentSubjectChar">
    <w:name w:val="Comment Subject Char"/>
    <w:basedOn w:val="CommentTextChar"/>
    <w:link w:val="CommentSubject"/>
    <w:uiPriority w:val="99"/>
    <w:semiHidden/>
    <w:rsid w:val="00CC5F1E"/>
    <w:rPr>
      <w:b/>
      <w:bCs/>
      <w:sz w:val="20"/>
      <w:szCs w:val="20"/>
    </w:rPr>
  </w:style>
  <w:style w:type="paragraph" w:styleId="ListBullet4">
    <w:name w:val="List Bullet 4"/>
    <w:basedOn w:val="Normal"/>
    <w:uiPriority w:val="99"/>
    <w:rsid w:val="005047FB"/>
    <w:pPr>
      <w:numPr>
        <w:numId w:val="6"/>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3" ma:contentTypeDescription="Izveidot jaunu dokumentu." ma:contentTypeScope="" ma:versionID="f56386f19b4e2b0a64361ea258838940">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7d507d883dbc8676125d9762be56062"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2936B-82F7-4788-8953-AC5FFFB6C266}"/>
</file>

<file path=customXml/itemProps2.xml><?xml version="1.0" encoding="utf-8"?>
<ds:datastoreItem xmlns:ds="http://schemas.openxmlformats.org/officeDocument/2006/customXml" ds:itemID="{61A36D89-1D63-46C6-B6C6-3D268707C770}"/>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Meiberga</dc:creator>
  <cp:keywords/>
  <dc:description/>
  <cp:lastModifiedBy>Ivars Treskovskis</cp:lastModifiedBy>
  <cp:revision>3</cp:revision>
  <dcterms:created xsi:type="dcterms:W3CDTF">2023-11-13T12:04:00Z</dcterms:created>
  <dcterms:modified xsi:type="dcterms:W3CDTF">2023-11-14T07:39:00Z</dcterms:modified>
</cp:coreProperties>
</file>