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6A10D" w14:textId="77777777" w:rsidR="003C1DC5" w:rsidRPr="00B67184" w:rsidRDefault="003C1DC5" w:rsidP="000D7D10">
      <w:pPr>
        <w:jc w:val="center"/>
        <w:rPr>
          <w:sz w:val="24"/>
          <w:szCs w:val="24"/>
        </w:rPr>
      </w:pPr>
      <w:r w:rsidRPr="00B67184">
        <w:rPr>
          <w:sz w:val="24"/>
          <w:szCs w:val="24"/>
        </w:rPr>
        <w:t>Kuldīgā, Kuldīgas novadā</w:t>
      </w:r>
    </w:p>
    <w:p w14:paraId="2A9D4332" w14:textId="77777777" w:rsidR="003C1DC5" w:rsidRPr="00B67184" w:rsidRDefault="003C1DC5" w:rsidP="000D7D10">
      <w:pPr>
        <w:jc w:val="both"/>
        <w:rPr>
          <w:sz w:val="24"/>
          <w:szCs w:val="24"/>
        </w:rPr>
      </w:pPr>
    </w:p>
    <w:p w14:paraId="7FB1763A" w14:textId="483885E9" w:rsidR="003C1DC5" w:rsidRPr="00B67184" w:rsidRDefault="00FE02EF" w:rsidP="000D7D10">
      <w:pPr>
        <w:tabs>
          <w:tab w:val="left" w:pos="6096"/>
        </w:tabs>
        <w:jc w:val="both"/>
        <w:rPr>
          <w:sz w:val="24"/>
          <w:szCs w:val="24"/>
        </w:rPr>
      </w:pPr>
      <w:r w:rsidRPr="00B67184">
        <w:rPr>
          <w:sz w:val="24"/>
          <w:szCs w:val="24"/>
        </w:rPr>
        <w:t xml:space="preserve">2024.gada </w:t>
      </w:r>
      <w:r w:rsidR="000C5E0F">
        <w:rPr>
          <w:sz w:val="24"/>
          <w:szCs w:val="24"/>
        </w:rPr>
        <w:t>2</w:t>
      </w:r>
      <w:r w:rsidR="00400354">
        <w:rPr>
          <w:sz w:val="24"/>
          <w:szCs w:val="24"/>
        </w:rPr>
        <w:t>6</w:t>
      </w:r>
      <w:r w:rsidR="00555867" w:rsidRPr="00B67184">
        <w:rPr>
          <w:sz w:val="24"/>
          <w:szCs w:val="24"/>
        </w:rPr>
        <w:t>.novembrī</w:t>
      </w:r>
      <w:r w:rsidRPr="00B67184">
        <w:rPr>
          <w:sz w:val="24"/>
          <w:szCs w:val="24"/>
        </w:rPr>
        <w:t xml:space="preserve"> Nr.1.38/24/</w:t>
      </w:r>
      <w:r w:rsidR="00517041">
        <w:rPr>
          <w:sz w:val="24"/>
          <w:szCs w:val="24"/>
        </w:rPr>
        <w:t>24</w:t>
      </w:r>
      <w:r w:rsidR="00EA2B1A">
        <w:rPr>
          <w:sz w:val="24"/>
          <w:szCs w:val="24"/>
        </w:rPr>
        <w:t>5</w:t>
      </w:r>
    </w:p>
    <w:p w14:paraId="7F3891F7" w14:textId="77777777" w:rsidR="00FE02EF" w:rsidRPr="00B67184" w:rsidRDefault="00FE02EF" w:rsidP="000D7D10">
      <w:pPr>
        <w:tabs>
          <w:tab w:val="left" w:pos="6096"/>
        </w:tabs>
        <w:jc w:val="both"/>
        <w:rPr>
          <w:i/>
          <w:sz w:val="24"/>
          <w:szCs w:val="24"/>
        </w:rPr>
      </w:pPr>
    </w:p>
    <w:p w14:paraId="56118A2D" w14:textId="77777777" w:rsidR="003C1DC5" w:rsidRPr="00B67184" w:rsidRDefault="003C1DC5" w:rsidP="000D7D10">
      <w:pPr>
        <w:tabs>
          <w:tab w:val="left" w:pos="6096"/>
        </w:tabs>
        <w:jc w:val="right"/>
        <w:rPr>
          <w:b/>
          <w:bCs/>
          <w:i/>
          <w:sz w:val="24"/>
          <w:szCs w:val="24"/>
        </w:rPr>
      </w:pPr>
      <w:r w:rsidRPr="00B67184">
        <w:rPr>
          <w:b/>
          <w:bCs/>
          <w:i/>
          <w:sz w:val="24"/>
          <w:szCs w:val="24"/>
        </w:rPr>
        <w:t>Ieinteresētajiem piegādātājiem</w:t>
      </w:r>
    </w:p>
    <w:p w14:paraId="79EECAF8" w14:textId="77777777" w:rsidR="003C1DC5" w:rsidRPr="00B67184" w:rsidRDefault="003C1DC5" w:rsidP="000D7D10">
      <w:pPr>
        <w:suppressAutoHyphens/>
        <w:ind w:firstLine="567"/>
        <w:jc w:val="both"/>
        <w:rPr>
          <w:sz w:val="24"/>
          <w:szCs w:val="24"/>
        </w:rPr>
      </w:pPr>
    </w:p>
    <w:p w14:paraId="58ED7824" w14:textId="3C6DC45B" w:rsidR="003C1DC5" w:rsidRDefault="00EB44AD" w:rsidP="000D7D10">
      <w:pPr>
        <w:jc w:val="both"/>
        <w:rPr>
          <w:sz w:val="24"/>
          <w:szCs w:val="24"/>
        </w:rPr>
      </w:pPr>
      <w:r w:rsidRPr="00B67184">
        <w:rPr>
          <w:sz w:val="24"/>
          <w:szCs w:val="24"/>
        </w:rPr>
        <w:tab/>
      </w:r>
      <w:r w:rsidR="003C1DC5" w:rsidRPr="00B67184">
        <w:rPr>
          <w:sz w:val="24"/>
          <w:szCs w:val="24"/>
        </w:rPr>
        <w:t xml:space="preserve">Kuldīgas novada domes Publisko iepirkumu komisija ir </w:t>
      </w:r>
      <w:r w:rsidRPr="00B67184">
        <w:rPr>
          <w:sz w:val="24"/>
          <w:szCs w:val="24"/>
        </w:rPr>
        <w:t>saņēmusi</w:t>
      </w:r>
      <w:r w:rsidRPr="00B67184">
        <w:rPr>
          <w:b/>
          <w:bCs/>
          <w:i/>
          <w:sz w:val="24"/>
          <w:szCs w:val="24"/>
        </w:rPr>
        <w:t xml:space="preserve"> </w:t>
      </w:r>
      <w:r w:rsidRPr="00B67184">
        <w:rPr>
          <w:iCs/>
          <w:sz w:val="24"/>
          <w:szCs w:val="24"/>
        </w:rPr>
        <w:t>ieinteresēto piegādātāju</w:t>
      </w:r>
      <w:r w:rsidRPr="00B67184">
        <w:rPr>
          <w:b/>
          <w:bCs/>
          <w:iCs/>
          <w:sz w:val="24"/>
          <w:szCs w:val="24"/>
          <w:u w:val="single"/>
        </w:rPr>
        <w:t xml:space="preserve"> </w:t>
      </w:r>
      <w:r w:rsidRPr="00B67184">
        <w:rPr>
          <w:iCs/>
          <w:sz w:val="24"/>
          <w:szCs w:val="24"/>
        </w:rPr>
        <w:t xml:space="preserve">jautājumu iepirkumā </w:t>
      </w:r>
      <w:r w:rsidR="008765A2" w:rsidRPr="00B67184">
        <w:rPr>
          <w:b/>
          <w:bCs/>
          <w:sz w:val="24"/>
          <w:szCs w:val="24"/>
        </w:rPr>
        <w:t>"</w:t>
      </w:r>
      <w:bookmarkStart w:id="0" w:name="_Hlk179984434"/>
      <w:r w:rsidR="00B67184" w:rsidRPr="00B67184">
        <w:rPr>
          <w:b/>
          <w:bCs/>
          <w:sz w:val="24"/>
          <w:szCs w:val="24"/>
        </w:rPr>
        <w:t xml:space="preserve">Ielu apgaismojuma nomaiņa uz LED gaismekļiem Kuldīgas novadā </w:t>
      </w:r>
      <w:r w:rsidR="00EA2B1A">
        <w:rPr>
          <w:b/>
          <w:bCs/>
          <w:sz w:val="24"/>
          <w:szCs w:val="24"/>
        </w:rPr>
        <w:t>2</w:t>
      </w:r>
      <w:r w:rsidR="00B67184" w:rsidRPr="00B67184">
        <w:rPr>
          <w:b/>
          <w:bCs/>
          <w:sz w:val="24"/>
          <w:szCs w:val="24"/>
        </w:rPr>
        <w:t>.kārta</w:t>
      </w:r>
      <w:bookmarkEnd w:id="0"/>
      <w:r w:rsidRPr="00B67184">
        <w:rPr>
          <w:b/>
          <w:bCs/>
          <w:sz w:val="24"/>
          <w:szCs w:val="24"/>
        </w:rPr>
        <w:t>” ID Nr. KNP 2024/</w:t>
      </w:r>
      <w:r w:rsidR="00EA2B1A">
        <w:rPr>
          <w:b/>
          <w:bCs/>
          <w:sz w:val="24"/>
          <w:szCs w:val="24"/>
        </w:rPr>
        <w:t>5</w:t>
      </w:r>
      <w:r w:rsidRPr="00B67184">
        <w:rPr>
          <w:b/>
          <w:bCs/>
          <w:sz w:val="24"/>
          <w:szCs w:val="24"/>
        </w:rPr>
        <w:t>9-EK/EKII</w:t>
      </w:r>
      <w:r w:rsidR="003C1DC5" w:rsidRPr="00B67184">
        <w:rPr>
          <w:b/>
          <w:bCs/>
          <w:sz w:val="24"/>
          <w:szCs w:val="24"/>
        </w:rPr>
        <w:t>,</w:t>
      </w:r>
      <w:r w:rsidR="003C1DC5" w:rsidRPr="00B67184">
        <w:rPr>
          <w:sz w:val="24"/>
          <w:szCs w:val="24"/>
        </w:rPr>
        <w:t xml:space="preserve"> turpmāk - Iepirkums, </w:t>
      </w:r>
      <w:r w:rsidRPr="00B67184">
        <w:rPr>
          <w:sz w:val="24"/>
          <w:szCs w:val="24"/>
        </w:rPr>
        <w:t>un sniedz šādus skaidrojumus:</w:t>
      </w:r>
    </w:p>
    <w:p w14:paraId="31730FAB" w14:textId="77777777" w:rsidR="009C104F" w:rsidRDefault="009C104F" w:rsidP="000D7D10">
      <w:pPr>
        <w:suppressAutoHyphens/>
        <w:jc w:val="both"/>
        <w:rPr>
          <w:color w:val="FF0000"/>
          <w:sz w:val="24"/>
          <w:szCs w:val="24"/>
          <w:lang w:eastAsia="zh-CN"/>
        </w:rPr>
      </w:pPr>
    </w:p>
    <w:p w14:paraId="5E1EA2B1" w14:textId="58545902" w:rsidR="00400354" w:rsidRPr="00400354" w:rsidRDefault="00400354" w:rsidP="00400354">
      <w:pPr>
        <w:pStyle w:val="ListParagraph"/>
        <w:numPr>
          <w:ilvl w:val="0"/>
          <w:numId w:val="13"/>
        </w:numPr>
        <w:jc w:val="both"/>
        <w:rPr>
          <w:b/>
          <w:bCs/>
          <w:sz w:val="24"/>
          <w:szCs w:val="24"/>
        </w:rPr>
      </w:pPr>
      <w:r w:rsidRPr="00400354">
        <w:rPr>
          <w:b/>
          <w:bCs/>
          <w:sz w:val="24"/>
          <w:szCs w:val="24"/>
        </w:rPr>
        <w:t>jautājums:</w:t>
      </w:r>
    </w:p>
    <w:p w14:paraId="758FBCFB" w14:textId="77777777" w:rsidR="00EA2B1A" w:rsidRPr="00EA2B1A" w:rsidRDefault="00EA2B1A" w:rsidP="00EA2B1A">
      <w:pPr>
        <w:pStyle w:val="BodyText"/>
        <w:ind w:left="720"/>
        <w:jc w:val="both"/>
        <w:rPr>
          <w:rFonts w:ascii="Times New Roman" w:hAnsi="Times New Roman" w:cs="Times New Roman"/>
          <w:i/>
          <w:iCs/>
          <w:sz w:val="20"/>
          <w:szCs w:val="20"/>
          <w:lang w:val="lv-LV"/>
        </w:rPr>
      </w:pPr>
      <w:r w:rsidRPr="00EA2B1A">
        <w:rPr>
          <w:rFonts w:ascii="Times New Roman" w:hAnsi="Times New Roman" w:cs="Times New Roman"/>
          <w:i/>
          <w:iCs/>
          <w:sz w:val="20"/>
          <w:szCs w:val="20"/>
          <w:lang w:val="lv-LV"/>
        </w:rPr>
        <w:t xml:space="preserve">Atklātā konkursa “Ielu apgaismojuma nomaiņa uz LED gaismekļiem Kuldīgas novadā 2.kārta” ID Nr. KNP 2024/59-EK/EKII (turpmāk – Konkurss) Pielikumā “Tehniskā specifikācija / Tehniskais piedāvājums Kopējās prasības visiem LED gaismekļu tipiem” (faila nosaukums “6_2_tehnpied_prasibas </w:t>
      </w:r>
      <w:proofErr w:type="spellStart"/>
      <w:r w:rsidRPr="00EA2B1A">
        <w:rPr>
          <w:rFonts w:ascii="Times New Roman" w:hAnsi="Times New Roman" w:cs="Times New Roman"/>
          <w:i/>
          <w:iCs/>
          <w:sz w:val="20"/>
          <w:szCs w:val="20"/>
          <w:lang w:val="lv-LV"/>
        </w:rPr>
        <w:t>gaismekl</w:t>
      </w:r>
      <w:proofErr w:type="spellEnd"/>
      <w:r w:rsidRPr="00EA2B1A">
        <w:rPr>
          <w:rFonts w:ascii="Times New Roman" w:hAnsi="Times New Roman" w:cs="Times New Roman"/>
          <w:i/>
          <w:iCs/>
          <w:sz w:val="20"/>
          <w:szCs w:val="20"/>
          <w:lang w:val="lv-LV"/>
        </w:rPr>
        <w:t xml:space="preserve">_”) (turpmāk – TS)  ir noteikts: </w:t>
      </w:r>
    </w:p>
    <w:tbl>
      <w:tblPr>
        <w:tblW w:w="8828" w:type="dxa"/>
        <w:tblInd w:w="93" w:type="dxa"/>
        <w:tblLayout w:type="fixed"/>
        <w:tblLook w:val="04A0" w:firstRow="1" w:lastRow="0" w:firstColumn="1" w:lastColumn="0" w:noHBand="0" w:noVBand="1"/>
      </w:tblPr>
      <w:tblGrid>
        <w:gridCol w:w="868"/>
        <w:gridCol w:w="4138"/>
        <w:gridCol w:w="2270"/>
        <w:gridCol w:w="1552"/>
      </w:tblGrid>
      <w:tr w:rsidR="00EA2B1A" w:rsidRPr="00EA2B1A" w14:paraId="2AEC01F6" w14:textId="77777777" w:rsidTr="00EA2B1A">
        <w:trPr>
          <w:trHeight w:val="330"/>
        </w:trPr>
        <w:tc>
          <w:tcPr>
            <w:tcW w:w="868" w:type="dxa"/>
            <w:tcBorders>
              <w:top w:val="single" w:sz="8" w:space="0" w:color="000000"/>
              <w:left w:val="single" w:sz="8" w:space="0" w:color="000000"/>
              <w:bottom w:val="single" w:sz="8" w:space="0" w:color="000000"/>
              <w:right w:val="single" w:sz="8" w:space="0" w:color="000000"/>
            </w:tcBorders>
            <w:vAlign w:val="center"/>
            <w:hideMark/>
          </w:tcPr>
          <w:p w14:paraId="2651ECAF" w14:textId="77777777" w:rsidR="00EA2B1A" w:rsidRPr="00EA2B1A" w:rsidRDefault="00EA2B1A" w:rsidP="00CF0171">
            <w:pPr>
              <w:pStyle w:val="BodyText"/>
              <w:spacing w:after="0"/>
              <w:jc w:val="both"/>
              <w:rPr>
                <w:rFonts w:ascii="Times New Roman" w:hAnsi="Times New Roman" w:cs="Times New Roman"/>
                <w:i/>
                <w:iCs/>
                <w:sz w:val="20"/>
                <w:szCs w:val="20"/>
                <w:lang w:val="lv-LV"/>
              </w:rPr>
            </w:pPr>
            <w:proofErr w:type="spellStart"/>
            <w:r w:rsidRPr="00EA2B1A">
              <w:rPr>
                <w:rFonts w:ascii="Times New Roman" w:hAnsi="Times New Roman" w:cs="Times New Roman"/>
                <w:i/>
                <w:iCs/>
                <w:sz w:val="20"/>
                <w:szCs w:val="20"/>
                <w:lang w:val="lv-LV"/>
              </w:rPr>
              <w:t>N.p.k</w:t>
            </w:r>
            <w:proofErr w:type="spellEnd"/>
            <w:r w:rsidRPr="00EA2B1A">
              <w:rPr>
                <w:rFonts w:ascii="Times New Roman" w:hAnsi="Times New Roman" w:cs="Times New Roman"/>
                <w:i/>
                <w:iCs/>
                <w:sz w:val="20"/>
                <w:szCs w:val="20"/>
                <w:lang w:val="lv-LV"/>
              </w:rPr>
              <w:t>.</w:t>
            </w:r>
          </w:p>
        </w:tc>
        <w:tc>
          <w:tcPr>
            <w:tcW w:w="4138" w:type="dxa"/>
            <w:tcBorders>
              <w:top w:val="single" w:sz="8" w:space="0" w:color="000000"/>
              <w:left w:val="nil"/>
              <w:bottom w:val="single" w:sz="8" w:space="0" w:color="000000"/>
              <w:right w:val="single" w:sz="8" w:space="0" w:color="000000"/>
            </w:tcBorders>
            <w:vAlign w:val="center"/>
            <w:hideMark/>
          </w:tcPr>
          <w:p w14:paraId="2FF1C706" w14:textId="77777777" w:rsidR="00EA2B1A" w:rsidRPr="00EA2B1A" w:rsidRDefault="00EA2B1A" w:rsidP="00CF0171">
            <w:pPr>
              <w:pStyle w:val="BodyText"/>
              <w:spacing w:after="0"/>
              <w:jc w:val="both"/>
              <w:rPr>
                <w:rFonts w:ascii="Times New Roman" w:hAnsi="Times New Roman" w:cs="Times New Roman"/>
                <w:i/>
                <w:iCs/>
                <w:sz w:val="20"/>
                <w:szCs w:val="20"/>
                <w:lang w:val="lv-LV"/>
              </w:rPr>
            </w:pPr>
            <w:r w:rsidRPr="00EA2B1A">
              <w:rPr>
                <w:rFonts w:ascii="Times New Roman" w:hAnsi="Times New Roman" w:cs="Times New Roman"/>
                <w:i/>
                <w:iCs/>
                <w:sz w:val="20"/>
                <w:szCs w:val="20"/>
                <w:lang w:val="lv-LV"/>
              </w:rPr>
              <w:t>Parametrs</w:t>
            </w:r>
          </w:p>
        </w:tc>
        <w:tc>
          <w:tcPr>
            <w:tcW w:w="2270" w:type="dxa"/>
            <w:tcBorders>
              <w:top w:val="single" w:sz="8" w:space="0" w:color="000000"/>
              <w:left w:val="nil"/>
              <w:bottom w:val="single" w:sz="8" w:space="0" w:color="000000"/>
              <w:right w:val="single" w:sz="8" w:space="0" w:color="000000"/>
            </w:tcBorders>
            <w:vAlign w:val="center"/>
            <w:hideMark/>
          </w:tcPr>
          <w:p w14:paraId="696CF5A9" w14:textId="77777777" w:rsidR="00EA2B1A" w:rsidRPr="00EA2B1A" w:rsidRDefault="00EA2B1A" w:rsidP="00CF0171">
            <w:pPr>
              <w:pStyle w:val="BodyText"/>
              <w:spacing w:after="0"/>
              <w:jc w:val="both"/>
              <w:rPr>
                <w:rFonts w:ascii="Times New Roman" w:hAnsi="Times New Roman" w:cs="Times New Roman"/>
                <w:i/>
                <w:iCs/>
                <w:sz w:val="20"/>
                <w:szCs w:val="20"/>
                <w:lang w:val="lv-LV"/>
              </w:rPr>
            </w:pPr>
            <w:r w:rsidRPr="00EA2B1A">
              <w:rPr>
                <w:rFonts w:ascii="Times New Roman" w:hAnsi="Times New Roman" w:cs="Times New Roman"/>
                <w:i/>
                <w:iCs/>
                <w:sz w:val="20"/>
                <w:szCs w:val="20"/>
                <w:lang w:val="lv-LV"/>
              </w:rPr>
              <w:t>Pieprasīts</w:t>
            </w:r>
          </w:p>
        </w:tc>
        <w:tc>
          <w:tcPr>
            <w:tcW w:w="1552" w:type="dxa"/>
            <w:tcBorders>
              <w:top w:val="single" w:sz="8" w:space="0" w:color="000000"/>
              <w:left w:val="nil"/>
              <w:bottom w:val="single" w:sz="8" w:space="0" w:color="000000"/>
              <w:right w:val="single" w:sz="8" w:space="0" w:color="000000"/>
            </w:tcBorders>
            <w:vAlign w:val="center"/>
            <w:hideMark/>
          </w:tcPr>
          <w:p w14:paraId="14195559" w14:textId="77777777" w:rsidR="00EA2B1A" w:rsidRPr="00EA2B1A" w:rsidRDefault="00EA2B1A" w:rsidP="00CF0171">
            <w:pPr>
              <w:pStyle w:val="BodyText"/>
              <w:spacing w:after="0"/>
              <w:jc w:val="both"/>
              <w:rPr>
                <w:rFonts w:ascii="Times New Roman" w:hAnsi="Times New Roman" w:cs="Times New Roman"/>
                <w:i/>
                <w:iCs/>
                <w:sz w:val="20"/>
                <w:szCs w:val="20"/>
                <w:lang w:val="lv-LV"/>
              </w:rPr>
            </w:pPr>
            <w:r w:rsidRPr="00EA2B1A">
              <w:rPr>
                <w:rFonts w:ascii="Times New Roman" w:hAnsi="Times New Roman" w:cs="Times New Roman"/>
                <w:i/>
                <w:iCs/>
                <w:sz w:val="20"/>
                <w:szCs w:val="20"/>
                <w:lang w:val="lv-LV"/>
              </w:rPr>
              <w:t>Piedāvātais</w:t>
            </w:r>
          </w:p>
        </w:tc>
      </w:tr>
      <w:tr w:rsidR="00EA2B1A" w:rsidRPr="00EA2B1A" w14:paraId="65551CBB" w14:textId="77777777" w:rsidTr="00EA2B1A">
        <w:trPr>
          <w:trHeight w:val="330"/>
        </w:trPr>
        <w:tc>
          <w:tcPr>
            <w:tcW w:w="868" w:type="dxa"/>
            <w:tcBorders>
              <w:top w:val="single" w:sz="8" w:space="0" w:color="000000"/>
              <w:left w:val="single" w:sz="8" w:space="0" w:color="000000"/>
              <w:bottom w:val="single" w:sz="8" w:space="0" w:color="000000"/>
              <w:right w:val="single" w:sz="8" w:space="0" w:color="000000"/>
            </w:tcBorders>
            <w:vAlign w:val="center"/>
          </w:tcPr>
          <w:p w14:paraId="3B1410E9" w14:textId="77777777" w:rsidR="00EA2B1A" w:rsidRPr="00EA2B1A" w:rsidRDefault="00EA2B1A" w:rsidP="00CF0171">
            <w:pPr>
              <w:jc w:val="center"/>
              <w:rPr>
                <w:i/>
                <w:iCs/>
                <w:color w:val="000000"/>
                <w:sz w:val="20"/>
                <w:szCs w:val="20"/>
                <w:lang w:eastAsia="lv-LV"/>
              </w:rPr>
            </w:pPr>
            <w:r w:rsidRPr="00EA2B1A">
              <w:rPr>
                <w:i/>
                <w:iCs/>
                <w:color w:val="000000"/>
                <w:sz w:val="20"/>
                <w:szCs w:val="20"/>
                <w:lang w:eastAsia="lv-LV"/>
              </w:rPr>
              <w:t>[..]</w:t>
            </w:r>
          </w:p>
        </w:tc>
        <w:tc>
          <w:tcPr>
            <w:tcW w:w="4138" w:type="dxa"/>
            <w:tcBorders>
              <w:top w:val="single" w:sz="8" w:space="0" w:color="000000"/>
              <w:left w:val="nil"/>
              <w:bottom w:val="single" w:sz="8" w:space="0" w:color="000000"/>
              <w:right w:val="single" w:sz="8" w:space="0" w:color="000000"/>
            </w:tcBorders>
            <w:vAlign w:val="center"/>
          </w:tcPr>
          <w:p w14:paraId="0BD98C9F" w14:textId="77777777" w:rsidR="00EA2B1A" w:rsidRPr="00EA2B1A" w:rsidRDefault="00EA2B1A" w:rsidP="00CF0171">
            <w:pPr>
              <w:jc w:val="center"/>
              <w:rPr>
                <w:i/>
                <w:iCs/>
                <w:color w:val="000000"/>
                <w:sz w:val="20"/>
                <w:szCs w:val="20"/>
                <w:lang w:eastAsia="lv-LV"/>
              </w:rPr>
            </w:pPr>
          </w:p>
        </w:tc>
        <w:tc>
          <w:tcPr>
            <w:tcW w:w="2270" w:type="dxa"/>
            <w:tcBorders>
              <w:top w:val="single" w:sz="8" w:space="0" w:color="000000"/>
              <w:left w:val="nil"/>
              <w:bottom w:val="single" w:sz="8" w:space="0" w:color="000000"/>
              <w:right w:val="single" w:sz="8" w:space="0" w:color="000000"/>
            </w:tcBorders>
            <w:vAlign w:val="center"/>
          </w:tcPr>
          <w:p w14:paraId="33F4584D" w14:textId="77777777" w:rsidR="00EA2B1A" w:rsidRPr="00EA2B1A" w:rsidRDefault="00EA2B1A" w:rsidP="00CF0171">
            <w:pPr>
              <w:jc w:val="center"/>
              <w:rPr>
                <w:i/>
                <w:iCs/>
                <w:color w:val="000000"/>
                <w:sz w:val="20"/>
                <w:szCs w:val="20"/>
                <w:lang w:eastAsia="lv-LV"/>
              </w:rPr>
            </w:pPr>
          </w:p>
        </w:tc>
        <w:tc>
          <w:tcPr>
            <w:tcW w:w="1552" w:type="dxa"/>
            <w:tcBorders>
              <w:top w:val="single" w:sz="8" w:space="0" w:color="000000"/>
              <w:left w:val="nil"/>
              <w:bottom w:val="single" w:sz="8" w:space="0" w:color="000000"/>
              <w:right w:val="single" w:sz="8" w:space="0" w:color="000000"/>
            </w:tcBorders>
            <w:vAlign w:val="center"/>
          </w:tcPr>
          <w:p w14:paraId="3FEC3FB7" w14:textId="77777777" w:rsidR="00EA2B1A" w:rsidRPr="00EA2B1A" w:rsidRDefault="00EA2B1A" w:rsidP="00CF0171">
            <w:pPr>
              <w:jc w:val="center"/>
              <w:rPr>
                <w:i/>
                <w:iCs/>
                <w:color w:val="000000"/>
                <w:sz w:val="20"/>
                <w:szCs w:val="20"/>
                <w:lang w:eastAsia="lv-LV"/>
              </w:rPr>
            </w:pPr>
          </w:p>
        </w:tc>
      </w:tr>
      <w:tr w:rsidR="00EA2B1A" w:rsidRPr="00EA2B1A" w14:paraId="1C2B85A4" w14:textId="77777777" w:rsidTr="00EA2B1A">
        <w:trPr>
          <w:trHeight w:val="330"/>
        </w:trPr>
        <w:tc>
          <w:tcPr>
            <w:tcW w:w="868" w:type="dxa"/>
            <w:tcBorders>
              <w:top w:val="single" w:sz="8" w:space="0" w:color="000000"/>
              <w:left w:val="single" w:sz="8" w:space="0" w:color="000000"/>
              <w:bottom w:val="single" w:sz="4" w:space="0" w:color="auto"/>
              <w:right w:val="single" w:sz="8" w:space="0" w:color="000000"/>
            </w:tcBorders>
            <w:vAlign w:val="center"/>
          </w:tcPr>
          <w:p w14:paraId="0D3C1631" w14:textId="77777777" w:rsidR="00EA2B1A" w:rsidRPr="00EA2B1A" w:rsidRDefault="00EA2B1A" w:rsidP="00CF0171">
            <w:pPr>
              <w:jc w:val="center"/>
              <w:rPr>
                <w:i/>
                <w:iCs/>
                <w:color w:val="000000"/>
                <w:sz w:val="20"/>
                <w:szCs w:val="20"/>
                <w:lang w:eastAsia="lv-LV"/>
              </w:rPr>
            </w:pPr>
            <w:r w:rsidRPr="00EA2B1A">
              <w:rPr>
                <w:i/>
                <w:iCs/>
                <w:color w:val="000000"/>
                <w:sz w:val="20"/>
                <w:szCs w:val="20"/>
                <w:lang w:eastAsia="lv-LV"/>
              </w:rPr>
              <w:t>2.3.6.</w:t>
            </w:r>
          </w:p>
        </w:tc>
        <w:tc>
          <w:tcPr>
            <w:tcW w:w="4138" w:type="dxa"/>
            <w:tcBorders>
              <w:top w:val="single" w:sz="8" w:space="0" w:color="000000"/>
              <w:left w:val="nil"/>
              <w:bottom w:val="single" w:sz="8" w:space="0" w:color="000000"/>
              <w:right w:val="single" w:sz="8" w:space="0" w:color="000000"/>
            </w:tcBorders>
            <w:vAlign w:val="center"/>
          </w:tcPr>
          <w:p w14:paraId="552C0AA0" w14:textId="77777777" w:rsidR="00EA2B1A" w:rsidRPr="00EA2B1A" w:rsidRDefault="00EA2B1A" w:rsidP="00CF0171">
            <w:pPr>
              <w:rPr>
                <w:i/>
                <w:iCs/>
                <w:color w:val="000000"/>
                <w:sz w:val="20"/>
                <w:szCs w:val="20"/>
                <w:lang w:eastAsia="lv-LV"/>
              </w:rPr>
            </w:pPr>
            <w:r w:rsidRPr="00EA2B1A">
              <w:rPr>
                <w:i/>
                <w:iCs/>
                <w:color w:val="000000"/>
                <w:sz w:val="20"/>
                <w:szCs w:val="20"/>
                <w:lang w:eastAsia="lv-LV"/>
              </w:rPr>
              <w:t>LVS EN 61547:2010</w:t>
            </w:r>
          </w:p>
        </w:tc>
        <w:tc>
          <w:tcPr>
            <w:tcW w:w="2270" w:type="dxa"/>
            <w:tcBorders>
              <w:top w:val="single" w:sz="8" w:space="0" w:color="000000"/>
              <w:left w:val="nil"/>
              <w:bottom w:val="single" w:sz="8" w:space="0" w:color="000000"/>
              <w:right w:val="single" w:sz="8" w:space="0" w:color="000000"/>
            </w:tcBorders>
            <w:vAlign w:val="center"/>
          </w:tcPr>
          <w:p w14:paraId="15A07824" w14:textId="77777777" w:rsidR="00EA2B1A" w:rsidRPr="00EA2B1A" w:rsidRDefault="00EA2B1A" w:rsidP="00CF0171">
            <w:pPr>
              <w:rPr>
                <w:i/>
                <w:iCs/>
                <w:color w:val="000000"/>
                <w:sz w:val="20"/>
                <w:szCs w:val="20"/>
                <w:lang w:eastAsia="lv-LV"/>
              </w:rPr>
            </w:pPr>
            <w:r w:rsidRPr="00EA2B1A">
              <w:rPr>
                <w:i/>
                <w:iCs/>
                <w:color w:val="000000"/>
                <w:sz w:val="20"/>
                <w:szCs w:val="20"/>
                <w:lang w:eastAsia="lv-LV"/>
              </w:rPr>
              <w:t>Jā</w:t>
            </w:r>
          </w:p>
        </w:tc>
        <w:tc>
          <w:tcPr>
            <w:tcW w:w="1552" w:type="dxa"/>
            <w:tcBorders>
              <w:top w:val="single" w:sz="8" w:space="0" w:color="000000"/>
              <w:left w:val="nil"/>
              <w:bottom w:val="single" w:sz="8" w:space="0" w:color="000000"/>
              <w:right w:val="single" w:sz="8" w:space="0" w:color="000000"/>
            </w:tcBorders>
            <w:vAlign w:val="center"/>
          </w:tcPr>
          <w:p w14:paraId="482DB2A7" w14:textId="77777777" w:rsidR="00EA2B1A" w:rsidRPr="00EA2B1A" w:rsidRDefault="00EA2B1A" w:rsidP="00CF0171">
            <w:pPr>
              <w:jc w:val="center"/>
              <w:rPr>
                <w:i/>
                <w:iCs/>
                <w:color w:val="000000"/>
                <w:sz w:val="20"/>
                <w:szCs w:val="20"/>
                <w:lang w:eastAsia="lv-LV"/>
              </w:rPr>
            </w:pPr>
          </w:p>
        </w:tc>
      </w:tr>
      <w:tr w:rsidR="00EA2B1A" w:rsidRPr="00EA2B1A" w14:paraId="2FCA8A4F" w14:textId="77777777" w:rsidTr="00EA2B1A">
        <w:trPr>
          <w:trHeight w:val="330"/>
        </w:trPr>
        <w:tc>
          <w:tcPr>
            <w:tcW w:w="868" w:type="dxa"/>
            <w:tcBorders>
              <w:top w:val="single" w:sz="8" w:space="0" w:color="000000"/>
              <w:left w:val="single" w:sz="8" w:space="0" w:color="000000"/>
              <w:bottom w:val="single" w:sz="4" w:space="0" w:color="auto"/>
              <w:right w:val="single" w:sz="8" w:space="0" w:color="000000"/>
            </w:tcBorders>
            <w:vAlign w:val="center"/>
          </w:tcPr>
          <w:p w14:paraId="4CB2974E" w14:textId="77777777" w:rsidR="00EA2B1A" w:rsidRPr="00EA2B1A" w:rsidRDefault="00EA2B1A" w:rsidP="00CF0171">
            <w:pPr>
              <w:jc w:val="center"/>
              <w:rPr>
                <w:i/>
                <w:iCs/>
                <w:color w:val="000000"/>
                <w:sz w:val="20"/>
                <w:szCs w:val="20"/>
                <w:lang w:eastAsia="lv-LV"/>
              </w:rPr>
            </w:pPr>
            <w:r w:rsidRPr="00EA2B1A">
              <w:rPr>
                <w:i/>
                <w:iCs/>
                <w:color w:val="000000"/>
                <w:sz w:val="20"/>
                <w:szCs w:val="20"/>
                <w:lang w:eastAsia="lv-LV"/>
              </w:rPr>
              <w:t>2.3.7.</w:t>
            </w:r>
          </w:p>
        </w:tc>
        <w:tc>
          <w:tcPr>
            <w:tcW w:w="4138" w:type="dxa"/>
            <w:tcBorders>
              <w:top w:val="single" w:sz="8" w:space="0" w:color="000000"/>
              <w:left w:val="nil"/>
              <w:bottom w:val="single" w:sz="8" w:space="0" w:color="000000"/>
              <w:right w:val="single" w:sz="8" w:space="0" w:color="000000"/>
            </w:tcBorders>
            <w:vAlign w:val="center"/>
          </w:tcPr>
          <w:p w14:paraId="7A63640C" w14:textId="77777777" w:rsidR="00EA2B1A" w:rsidRPr="00EA2B1A" w:rsidRDefault="00EA2B1A" w:rsidP="00CF0171">
            <w:pPr>
              <w:rPr>
                <w:i/>
                <w:iCs/>
                <w:color w:val="000000"/>
                <w:sz w:val="20"/>
                <w:szCs w:val="20"/>
                <w:lang w:eastAsia="lv-LV"/>
              </w:rPr>
            </w:pPr>
            <w:r w:rsidRPr="00EA2B1A">
              <w:rPr>
                <w:i/>
                <w:iCs/>
                <w:color w:val="000000"/>
                <w:sz w:val="20"/>
                <w:szCs w:val="20"/>
                <w:lang w:eastAsia="lv-LV"/>
              </w:rPr>
              <w:t>LVS EN 55015:2013</w:t>
            </w:r>
          </w:p>
        </w:tc>
        <w:tc>
          <w:tcPr>
            <w:tcW w:w="2270" w:type="dxa"/>
            <w:tcBorders>
              <w:top w:val="single" w:sz="8" w:space="0" w:color="000000"/>
              <w:left w:val="nil"/>
              <w:bottom w:val="single" w:sz="8" w:space="0" w:color="000000"/>
              <w:right w:val="single" w:sz="8" w:space="0" w:color="000000"/>
            </w:tcBorders>
          </w:tcPr>
          <w:p w14:paraId="520222F5" w14:textId="77777777" w:rsidR="00EA2B1A" w:rsidRPr="00EA2B1A" w:rsidRDefault="00EA2B1A" w:rsidP="00CF0171">
            <w:pPr>
              <w:rPr>
                <w:i/>
                <w:iCs/>
                <w:color w:val="000000"/>
                <w:sz w:val="20"/>
                <w:szCs w:val="20"/>
                <w:lang w:eastAsia="lv-LV"/>
              </w:rPr>
            </w:pPr>
            <w:r w:rsidRPr="00EA2B1A">
              <w:rPr>
                <w:i/>
                <w:iCs/>
                <w:color w:val="000000"/>
                <w:sz w:val="20"/>
                <w:szCs w:val="20"/>
                <w:lang w:eastAsia="lv-LV"/>
              </w:rPr>
              <w:t>Jā</w:t>
            </w:r>
          </w:p>
        </w:tc>
        <w:tc>
          <w:tcPr>
            <w:tcW w:w="1552" w:type="dxa"/>
            <w:tcBorders>
              <w:top w:val="single" w:sz="8" w:space="0" w:color="000000"/>
              <w:left w:val="nil"/>
              <w:bottom w:val="single" w:sz="8" w:space="0" w:color="000000"/>
              <w:right w:val="single" w:sz="8" w:space="0" w:color="000000"/>
            </w:tcBorders>
            <w:vAlign w:val="center"/>
          </w:tcPr>
          <w:p w14:paraId="370401EC" w14:textId="77777777" w:rsidR="00EA2B1A" w:rsidRPr="00EA2B1A" w:rsidRDefault="00EA2B1A" w:rsidP="00CF0171">
            <w:pPr>
              <w:jc w:val="center"/>
              <w:rPr>
                <w:i/>
                <w:iCs/>
                <w:color w:val="000000"/>
                <w:sz w:val="20"/>
                <w:szCs w:val="20"/>
                <w:lang w:eastAsia="lv-LV"/>
              </w:rPr>
            </w:pPr>
          </w:p>
        </w:tc>
      </w:tr>
      <w:tr w:rsidR="00EA2B1A" w:rsidRPr="00EA2B1A" w14:paraId="7133A6E9" w14:textId="77777777" w:rsidTr="00EA2B1A">
        <w:trPr>
          <w:trHeight w:val="330"/>
        </w:trPr>
        <w:tc>
          <w:tcPr>
            <w:tcW w:w="868" w:type="dxa"/>
            <w:tcBorders>
              <w:top w:val="single" w:sz="8" w:space="0" w:color="000000"/>
              <w:left w:val="single" w:sz="8" w:space="0" w:color="000000"/>
              <w:bottom w:val="single" w:sz="4" w:space="0" w:color="auto"/>
              <w:right w:val="single" w:sz="8" w:space="0" w:color="000000"/>
            </w:tcBorders>
            <w:vAlign w:val="center"/>
          </w:tcPr>
          <w:p w14:paraId="0828CECC" w14:textId="77777777" w:rsidR="00EA2B1A" w:rsidRPr="00EA2B1A" w:rsidRDefault="00EA2B1A" w:rsidP="00CF0171">
            <w:pPr>
              <w:jc w:val="center"/>
              <w:rPr>
                <w:i/>
                <w:iCs/>
                <w:color w:val="000000"/>
                <w:sz w:val="20"/>
                <w:szCs w:val="20"/>
                <w:lang w:eastAsia="lv-LV"/>
              </w:rPr>
            </w:pPr>
            <w:r w:rsidRPr="00EA2B1A">
              <w:rPr>
                <w:i/>
                <w:iCs/>
                <w:color w:val="000000"/>
                <w:sz w:val="20"/>
                <w:szCs w:val="20"/>
                <w:lang w:eastAsia="lv-LV"/>
              </w:rPr>
              <w:t>2.3.8.</w:t>
            </w:r>
          </w:p>
        </w:tc>
        <w:tc>
          <w:tcPr>
            <w:tcW w:w="4138" w:type="dxa"/>
            <w:tcBorders>
              <w:top w:val="single" w:sz="8" w:space="0" w:color="000000"/>
              <w:left w:val="nil"/>
              <w:bottom w:val="single" w:sz="8" w:space="0" w:color="000000"/>
              <w:right w:val="single" w:sz="8" w:space="0" w:color="000000"/>
            </w:tcBorders>
            <w:vAlign w:val="center"/>
          </w:tcPr>
          <w:p w14:paraId="20921046" w14:textId="77777777" w:rsidR="00EA2B1A" w:rsidRPr="00EA2B1A" w:rsidRDefault="00EA2B1A" w:rsidP="00CF0171">
            <w:pPr>
              <w:rPr>
                <w:i/>
                <w:iCs/>
                <w:color w:val="000000"/>
                <w:sz w:val="20"/>
                <w:szCs w:val="20"/>
                <w:lang w:eastAsia="lv-LV"/>
              </w:rPr>
            </w:pPr>
            <w:r w:rsidRPr="00EA2B1A">
              <w:rPr>
                <w:i/>
                <w:iCs/>
                <w:color w:val="000000"/>
                <w:sz w:val="20"/>
                <w:szCs w:val="20"/>
                <w:lang w:eastAsia="lv-LV"/>
              </w:rPr>
              <w:t>LVS EN 61000-3-2:2015</w:t>
            </w:r>
          </w:p>
        </w:tc>
        <w:tc>
          <w:tcPr>
            <w:tcW w:w="2270" w:type="dxa"/>
            <w:tcBorders>
              <w:top w:val="single" w:sz="8" w:space="0" w:color="000000"/>
              <w:left w:val="nil"/>
              <w:bottom w:val="single" w:sz="8" w:space="0" w:color="000000"/>
              <w:right w:val="single" w:sz="8" w:space="0" w:color="000000"/>
            </w:tcBorders>
          </w:tcPr>
          <w:p w14:paraId="1E870EB2" w14:textId="77777777" w:rsidR="00EA2B1A" w:rsidRPr="00EA2B1A" w:rsidRDefault="00EA2B1A" w:rsidP="00CF0171">
            <w:pPr>
              <w:rPr>
                <w:i/>
                <w:iCs/>
                <w:color w:val="000000"/>
                <w:sz w:val="20"/>
                <w:szCs w:val="20"/>
                <w:lang w:eastAsia="lv-LV"/>
              </w:rPr>
            </w:pPr>
            <w:r w:rsidRPr="00EA2B1A">
              <w:rPr>
                <w:i/>
                <w:iCs/>
                <w:color w:val="000000"/>
                <w:sz w:val="20"/>
                <w:szCs w:val="20"/>
                <w:lang w:eastAsia="lv-LV"/>
              </w:rPr>
              <w:t>Jā</w:t>
            </w:r>
          </w:p>
        </w:tc>
        <w:tc>
          <w:tcPr>
            <w:tcW w:w="1552" w:type="dxa"/>
            <w:tcBorders>
              <w:top w:val="single" w:sz="8" w:space="0" w:color="000000"/>
              <w:left w:val="nil"/>
              <w:bottom w:val="single" w:sz="8" w:space="0" w:color="000000"/>
              <w:right w:val="single" w:sz="8" w:space="0" w:color="000000"/>
            </w:tcBorders>
            <w:vAlign w:val="center"/>
          </w:tcPr>
          <w:p w14:paraId="3E4B7E28" w14:textId="77777777" w:rsidR="00EA2B1A" w:rsidRPr="00EA2B1A" w:rsidRDefault="00EA2B1A" w:rsidP="00CF0171">
            <w:pPr>
              <w:jc w:val="center"/>
              <w:rPr>
                <w:i/>
                <w:iCs/>
                <w:color w:val="000000"/>
                <w:sz w:val="20"/>
                <w:szCs w:val="20"/>
                <w:lang w:eastAsia="lv-LV"/>
              </w:rPr>
            </w:pPr>
          </w:p>
        </w:tc>
      </w:tr>
      <w:tr w:rsidR="00EA2B1A" w:rsidRPr="00EA2B1A" w14:paraId="1394E208" w14:textId="77777777" w:rsidTr="00EA2B1A">
        <w:trPr>
          <w:trHeight w:val="330"/>
        </w:trPr>
        <w:tc>
          <w:tcPr>
            <w:tcW w:w="868" w:type="dxa"/>
            <w:tcBorders>
              <w:top w:val="single" w:sz="8" w:space="0" w:color="000000"/>
              <w:left w:val="single" w:sz="8" w:space="0" w:color="000000"/>
              <w:bottom w:val="single" w:sz="8" w:space="0" w:color="000000"/>
              <w:right w:val="single" w:sz="8" w:space="0" w:color="000000"/>
            </w:tcBorders>
            <w:vAlign w:val="center"/>
          </w:tcPr>
          <w:p w14:paraId="65972570" w14:textId="77777777" w:rsidR="00EA2B1A" w:rsidRPr="00EA2B1A" w:rsidRDefault="00EA2B1A" w:rsidP="00CF0171">
            <w:pPr>
              <w:jc w:val="center"/>
              <w:rPr>
                <w:i/>
                <w:iCs/>
                <w:color w:val="000000"/>
                <w:sz w:val="20"/>
                <w:szCs w:val="20"/>
                <w:lang w:eastAsia="lv-LV"/>
              </w:rPr>
            </w:pPr>
            <w:r w:rsidRPr="00EA2B1A">
              <w:rPr>
                <w:i/>
                <w:iCs/>
                <w:color w:val="000000"/>
                <w:sz w:val="20"/>
                <w:szCs w:val="20"/>
                <w:lang w:eastAsia="lv-LV"/>
              </w:rPr>
              <w:t>2.3.9.</w:t>
            </w:r>
          </w:p>
        </w:tc>
        <w:tc>
          <w:tcPr>
            <w:tcW w:w="4138" w:type="dxa"/>
            <w:tcBorders>
              <w:top w:val="single" w:sz="8" w:space="0" w:color="000000"/>
              <w:left w:val="nil"/>
              <w:bottom w:val="single" w:sz="8" w:space="0" w:color="000000"/>
              <w:right w:val="single" w:sz="8" w:space="0" w:color="000000"/>
            </w:tcBorders>
            <w:vAlign w:val="center"/>
          </w:tcPr>
          <w:p w14:paraId="72842FFF" w14:textId="77777777" w:rsidR="00EA2B1A" w:rsidRPr="00EA2B1A" w:rsidRDefault="00EA2B1A" w:rsidP="00CF0171">
            <w:pPr>
              <w:rPr>
                <w:i/>
                <w:iCs/>
                <w:color w:val="000000"/>
                <w:sz w:val="20"/>
                <w:szCs w:val="20"/>
                <w:lang w:eastAsia="lv-LV"/>
              </w:rPr>
            </w:pPr>
            <w:r w:rsidRPr="00EA2B1A">
              <w:rPr>
                <w:i/>
                <w:iCs/>
                <w:color w:val="000000"/>
                <w:sz w:val="20"/>
                <w:szCs w:val="20"/>
                <w:lang w:eastAsia="lv-LV"/>
              </w:rPr>
              <w:t>LVS EN 61000-3-3:2013</w:t>
            </w:r>
          </w:p>
        </w:tc>
        <w:tc>
          <w:tcPr>
            <w:tcW w:w="2270" w:type="dxa"/>
            <w:tcBorders>
              <w:top w:val="single" w:sz="8" w:space="0" w:color="000000"/>
              <w:left w:val="nil"/>
              <w:bottom w:val="single" w:sz="8" w:space="0" w:color="000000"/>
              <w:right w:val="single" w:sz="8" w:space="0" w:color="000000"/>
            </w:tcBorders>
          </w:tcPr>
          <w:p w14:paraId="54324292" w14:textId="77777777" w:rsidR="00EA2B1A" w:rsidRPr="00EA2B1A" w:rsidRDefault="00EA2B1A" w:rsidP="00CF0171">
            <w:pPr>
              <w:rPr>
                <w:i/>
                <w:iCs/>
                <w:color w:val="000000"/>
                <w:sz w:val="20"/>
                <w:szCs w:val="20"/>
                <w:lang w:eastAsia="lv-LV"/>
              </w:rPr>
            </w:pPr>
            <w:r w:rsidRPr="00EA2B1A">
              <w:rPr>
                <w:i/>
                <w:iCs/>
                <w:color w:val="000000"/>
                <w:sz w:val="20"/>
                <w:szCs w:val="20"/>
                <w:lang w:eastAsia="lv-LV"/>
              </w:rPr>
              <w:t>Jā</w:t>
            </w:r>
          </w:p>
        </w:tc>
        <w:tc>
          <w:tcPr>
            <w:tcW w:w="1552" w:type="dxa"/>
            <w:tcBorders>
              <w:top w:val="single" w:sz="8" w:space="0" w:color="000000"/>
              <w:left w:val="nil"/>
              <w:bottom w:val="single" w:sz="8" w:space="0" w:color="000000"/>
              <w:right w:val="single" w:sz="8" w:space="0" w:color="000000"/>
            </w:tcBorders>
            <w:vAlign w:val="center"/>
          </w:tcPr>
          <w:p w14:paraId="2730BB79" w14:textId="77777777" w:rsidR="00EA2B1A" w:rsidRPr="00EA2B1A" w:rsidRDefault="00EA2B1A" w:rsidP="00CF0171">
            <w:pPr>
              <w:jc w:val="center"/>
              <w:rPr>
                <w:i/>
                <w:iCs/>
                <w:color w:val="000000"/>
                <w:sz w:val="20"/>
                <w:szCs w:val="20"/>
                <w:lang w:eastAsia="lv-LV"/>
              </w:rPr>
            </w:pPr>
          </w:p>
        </w:tc>
      </w:tr>
      <w:tr w:rsidR="00EA2B1A" w:rsidRPr="00EA2B1A" w14:paraId="26956FAF" w14:textId="77777777" w:rsidTr="00EA2B1A">
        <w:trPr>
          <w:trHeight w:val="330"/>
        </w:trPr>
        <w:tc>
          <w:tcPr>
            <w:tcW w:w="868" w:type="dxa"/>
            <w:tcBorders>
              <w:top w:val="single" w:sz="8" w:space="0" w:color="000000"/>
              <w:left w:val="single" w:sz="8" w:space="0" w:color="000000"/>
              <w:bottom w:val="single" w:sz="8" w:space="0" w:color="000000"/>
              <w:right w:val="single" w:sz="8" w:space="0" w:color="000000"/>
            </w:tcBorders>
            <w:vAlign w:val="center"/>
          </w:tcPr>
          <w:p w14:paraId="51B014E9" w14:textId="77777777" w:rsidR="00EA2B1A" w:rsidRPr="00EA2B1A" w:rsidRDefault="00EA2B1A" w:rsidP="00CF0171">
            <w:pPr>
              <w:jc w:val="center"/>
              <w:rPr>
                <w:i/>
                <w:iCs/>
                <w:color w:val="000000"/>
                <w:sz w:val="20"/>
                <w:szCs w:val="20"/>
                <w:lang w:eastAsia="lv-LV"/>
              </w:rPr>
            </w:pPr>
            <w:r w:rsidRPr="00EA2B1A">
              <w:rPr>
                <w:i/>
                <w:iCs/>
                <w:color w:val="000000"/>
                <w:sz w:val="20"/>
                <w:szCs w:val="20"/>
                <w:lang w:eastAsia="lv-LV"/>
              </w:rPr>
              <w:t>[..]</w:t>
            </w:r>
          </w:p>
        </w:tc>
        <w:tc>
          <w:tcPr>
            <w:tcW w:w="4138" w:type="dxa"/>
            <w:tcBorders>
              <w:top w:val="single" w:sz="8" w:space="0" w:color="000000"/>
              <w:left w:val="nil"/>
              <w:bottom w:val="single" w:sz="8" w:space="0" w:color="000000"/>
              <w:right w:val="single" w:sz="8" w:space="0" w:color="000000"/>
            </w:tcBorders>
            <w:vAlign w:val="center"/>
          </w:tcPr>
          <w:p w14:paraId="6B1F1DD6" w14:textId="77777777" w:rsidR="00EA2B1A" w:rsidRPr="00EA2B1A" w:rsidRDefault="00EA2B1A" w:rsidP="00CF0171">
            <w:pPr>
              <w:jc w:val="center"/>
              <w:rPr>
                <w:i/>
                <w:iCs/>
                <w:color w:val="000000"/>
                <w:sz w:val="20"/>
                <w:szCs w:val="20"/>
                <w:lang w:eastAsia="lv-LV"/>
              </w:rPr>
            </w:pPr>
          </w:p>
        </w:tc>
        <w:tc>
          <w:tcPr>
            <w:tcW w:w="2270" w:type="dxa"/>
            <w:tcBorders>
              <w:top w:val="single" w:sz="8" w:space="0" w:color="000000"/>
              <w:left w:val="nil"/>
              <w:bottom w:val="single" w:sz="8" w:space="0" w:color="000000"/>
              <w:right w:val="single" w:sz="8" w:space="0" w:color="000000"/>
            </w:tcBorders>
            <w:vAlign w:val="center"/>
          </w:tcPr>
          <w:p w14:paraId="23C889DD" w14:textId="77777777" w:rsidR="00EA2B1A" w:rsidRPr="00EA2B1A" w:rsidRDefault="00EA2B1A" w:rsidP="00CF0171">
            <w:pPr>
              <w:jc w:val="center"/>
              <w:rPr>
                <w:i/>
                <w:iCs/>
                <w:color w:val="000000"/>
                <w:sz w:val="20"/>
                <w:szCs w:val="20"/>
                <w:lang w:eastAsia="lv-LV"/>
              </w:rPr>
            </w:pPr>
          </w:p>
        </w:tc>
        <w:tc>
          <w:tcPr>
            <w:tcW w:w="1552" w:type="dxa"/>
            <w:tcBorders>
              <w:top w:val="single" w:sz="8" w:space="0" w:color="000000"/>
              <w:left w:val="nil"/>
              <w:bottom w:val="single" w:sz="8" w:space="0" w:color="000000"/>
              <w:right w:val="single" w:sz="8" w:space="0" w:color="000000"/>
            </w:tcBorders>
            <w:vAlign w:val="center"/>
          </w:tcPr>
          <w:p w14:paraId="5F5DA525" w14:textId="77777777" w:rsidR="00EA2B1A" w:rsidRPr="00EA2B1A" w:rsidRDefault="00EA2B1A" w:rsidP="00CF0171">
            <w:pPr>
              <w:jc w:val="center"/>
              <w:rPr>
                <w:i/>
                <w:iCs/>
                <w:color w:val="000000"/>
                <w:sz w:val="20"/>
                <w:szCs w:val="20"/>
                <w:lang w:eastAsia="lv-LV"/>
              </w:rPr>
            </w:pPr>
          </w:p>
        </w:tc>
      </w:tr>
    </w:tbl>
    <w:p w14:paraId="30BEAC57" w14:textId="77777777" w:rsidR="00EA2B1A" w:rsidRPr="00EA2B1A" w:rsidRDefault="00EA2B1A" w:rsidP="00EA2B1A">
      <w:pPr>
        <w:pStyle w:val="Default"/>
        <w:spacing w:before="120"/>
        <w:ind w:left="720"/>
        <w:jc w:val="both"/>
        <w:rPr>
          <w:rFonts w:ascii="Times New Roman" w:hAnsi="Times New Roman" w:cs="Times New Roman"/>
          <w:i/>
          <w:iCs/>
          <w:sz w:val="20"/>
          <w:szCs w:val="20"/>
        </w:rPr>
      </w:pPr>
      <w:r w:rsidRPr="00EA2B1A">
        <w:rPr>
          <w:rFonts w:ascii="Times New Roman" w:hAnsi="Times New Roman" w:cs="Times New Roman"/>
          <w:i/>
          <w:iCs/>
          <w:sz w:val="20"/>
          <w:szCs w:val="20"/>
        </w:rPr>
        <w:t>Paskaidrojam, ka starptautiskās atbilstības novērtēšanas institūcijas, kas ir akreditētas atbilstoši augstāk minētiem  standartiem (LVS EN [..]) un var veikt produktu testēšanu atbilstoši šiem standartiem, ir tiesīgas atsaukties tikai uz starptautiskiem (ISO/IEC) vai Eiropas (EN) standartiem, bet ne nacionāliem (piem. LVS) standartiem, līdz ar ko gan ENEC sertifikātā, gan, attiecīgi, CE deklarācijā, var tikt iekļauta atsauce tikai uz EN [..]  standartu. Līdz ar to lūdzam Pasūtītāju veikt grozījumus augstāk minētajos punktos, svītrojot apzīmējumu “LVS”.</w:t>
      </w:r>
    </w:p>
    <w:p w14:paraId="41BF9BCE" w14:textId="40DFE1F3" w:rsidR="00814461" w:rsidRPr="00814461" w:rsidRDefault="00400354" w:rsidP="00814461">
      <w:pPr>
        <w:suppressAutoHyphens/>
        <w:jc w:val="both"/>
        <w:rPr>
          <w:color w:val="FF0000"/>
          <w:sz w:val="24"/>
          <w:szCs w:val="24"/>
          <w:lang w:val="en-GB" w:eastAsia="zh-CN"/>
        </w:rPr>
      </w:pPr>
      <w:r w:rsidRPr="00814461">
        <w:rPr>
          <w:b/>
          <w:bCs/>
          <w:color w:val="FF0000"/>
          <w:sz w:val="24"/>
          <w:szCs w:val="24"/>
          <w:lang w:eastAsia="zh-CN"/>
        </w:rPr>
        <w:t>Atbilde:</w:t>
      </w:r>
      <w:r w:rsidR="00814461" w:rsidRPr="00814461">
        <w:rPr>
          <w:rFonts w:ascii="Aptos" w:eastAsia="Times New Roman" w:hAnsi="Aptos" w:cs="Calibri"/>
          <w:color w:val="FF0000"/>
          <w:sz w:val="24"/>
          <w:szCs w:val="24"/>
        </w:rPr>
        <w:t xml:space="preserve"> </w:t>
      </w:r>
      <w:proofErr w:type="spellStart"/>
      <w:r w:rsidR="00814461" w:rsidRPr="00814461">
        <w:rPr>
          <w:color w:val="FF0000"/>
          <w:sz w:val="24"/>
          <w:szCs w:val="24"/>
          <w:lang w:val="en-GB" w:eastAsia="zh-CN"/>
        </w:rPr>
        <w:t>Šie</w:t>
      </w:r>
      <w:proofErr w:type="spellEnd"/>
      <w:r w:rsidR="00814461" w:rsidRPr="00814461">
        <w:rPr>
          <w:color w:val="FF0000"/>
          <w:sz w:val="24"/>
          <w:szCs w:val="24"/>
          <w:lang w:val="en-GB" w:eastAsia="zh-CN"/>
        </w:rPr>
        <w:t xml:space="preserve"> </w:t>
      </w:r>
      <w:proofErr w:type="spellStart"/>
      <w:r w:rsidR="00814461" w:rsidRPr="00814461">
        <w:rPr>
          <w:color w:val="FF0000"/>
          <w:sz w:val="24"/>
          <w:szCs w:val="24"/>
          <w:lang w:val="en-GB" w:eastAsia="zh-CN"/>
        </w:rPr>
        <w:t>standarti</w:t>
      </w:r>
      <w:proofErr w:type="spellEnd"/>
      <w:r w:rsidR="00814461" w:rsidRPr="00814461">
        <w:rPr>
          <w:color w:val="FF0000"/>
          <w:sz w:val="24"/>
          <w:szCs w:val="24"/>
          <w:lang w:val="en-GB" w:eastAsia="zh-CN"/>
        </w:rPr>
        <w:t xml:space="preserve">, </w:t>
      </w:r>
      <w:proofErr w:type="spellStart"/>
      <w:r w:rsidR="00814461" w:rsidRPr="00814461">
        <w:rPr>
          <w:color w:val="FF0000"/>
          <w:sz w:val="24"/>
          <w:szCs w:val="24"/>
          <w:lang w:val="en-GB" w:eastAsia="zh-CN"/>
        </w:rPr>
        <w:t>kuriem</w:t>
      </w:r>
      <w:proofErr w:type="spellEnd"/>
      <w:r w:rsidR="00814461" w:rsidRPr="00814461">
        <w:rPr>
          <w:color w:val="FF0000"/>
          <w:sz w:val="24"/>
          <w:szCs w:val="24"/>
          <w:lang w:val="en-GB" w:eastAsia="zh-CN"/>
        </w:rPr>
        <w:t xml:space="preserve"> </w:t>
      </w:r>
      <w:proofErr w:type="spellStart"/>
      <w:r w:rsidR="00814461" w:rsidRPr="00814461">
        <w:rPr>
          <w:color w:val="FF0000"/>
          <w:sz w:val="24"/>
          <w:szCs w:val="24"/>
          <w:lang w:val="en-GB" w:eastAsia="zh-CN"/>
        </w:rPr>
        <w:t>ir</w:t>
      </w:r>
      <w:proofErr w:type="spellEnd"/>
      <w:r w:rsidR="00814461" w:rsidRPr="00814461">
        <w:rPr>
          <w:color w:val="FF0000"/>
          <w:sz w:val="24"/>
          <w:szCs w:val="24"/>
          <w:lang w:val="en-GB" w:eastAsia="zh-CN"/>
        </w:rPr>
        <w:t xml:space="preserve"> "LVS EN" </w:t>
      </w:r>
      <w:proofErr w:type="spellStart"/>
      <w:r w:rsidR="00814461" w:rsidRPr="00814461">
        <w:rPr>
          <w:color w:val="FF0000"/>
          <w:sz w:val="24"/>
          <w:szCs w:val="24"/>
          <w:lang w:val="en-GB" w:eastAsia="zh-CN"/>
        </w:rPr>
        <w:t>prefikss</w:t>
      </w:r>
      <w:proofErr w:type="spellEnd"/>
      <w:r w:rsidR="00814461" w:rsidRPr="00814461">
        <w:rPr>
          <w:color w:val="FF0000"/>
          <w:sz w:val="24"/>
          <w:szCs w:val="24"/>
          <w:lang w:val="en-GB" w:eastAsia="zh-CN"/>
        </w:rPr>
        <w:t xml:space="preserve">, </w:t>
      </w:r>
      <w:proofErr w:type="spellStart"/>
      <w:r w:rsidR="00814461" w:rsidRPr="00814461">
        <w:rPr>
          <w:color w:val="FF0000"/>
          <w:sz w:val="24"/>
          <w:szCs w:val="24"/>
          <w:lang w:val="en-GB" w:eastAsia="zh-CN"/>
        </w:rPr>
        <w:t>ir</w:t>
      </w:r>
      <w:proofErr w:type="spellEnd"/>
      <w:r w:rsidR="00814461" w:rsidRPr="00814461">
        <w:rPr>
          <w:color w:val="FF0000"/>
          <w:sz w:val="24"/>
          <w:szCs w:val="24"/>
          <w:lang w:val="en-GB" w:eastAsia="zh-CN"/>
        </w:rPr>
        <w:t xml:space="preserve"> Latvijas </w:t>
      </w:r>
      <w:proofErr w:type="spellStart"/>
      <w:r w:rsidR="00814461" w:rsidRPr="00814461">
        <w:rPr>
          <w:color w:val="FF0000"/>
          <w:sz w:val="24"/>
          <w:szCs w:val="24"/>
          <w:lang w:val="en-GB" w:eastAsia="zh-CN"/>
        </w:rPr>
        <w:t>standarti</w:t>
      </w:r>
      <w:proofErr w:type="spellEnd"/>
      <w:r w:rsidR="00814461" w:rsidRPr="00814461">
        <w:rPr>
          <w:color w:val="FF0000"/>
          <w:sz w:val="24"/>
          <w:szCs w:val="24"/>
          <w:lang w:val="en-GB" w:eastAsia="zh-CN"/>
        </w:rPr>
        <w:t xml:space="preserve">, kas </w:t>
      </w:r>
      <w:proofErr w:type="spellStart"/>
      <w:r w:rsidR="00814461" w:rsidRPr="00814461">
        <w:rPr>
          <w:color w:val="FF0000"/>
          <w:sz w:val="24"/>
          <w:szCs w:val="24"/>
          <w:lang w:val="en-GB" w:eastAsia="zh-CN"/>
        </w:rPr>
        <w:t>ir</w:t>
      </w:r>
      <w:proofErr w:type="spellEnd"/>
      <w:r w:rsidR="00814461" w:rsidRPr="00814461">
        <w:rPr>
          <w:color w:val="FF0000"/>
          <w:sz w:val="24"/>
          <w:szCs w:val="24"/>
          <w:lang w:val="en-GB" w:eastAsia="zh-CN"/>
        </w:rPr>
        <w:t xml:space="preserve"> </w:t>
      </w:r>
      <w:proofErr w:type="spellStart"/>
      <w:r w:rsidR="00814461" w:rsidRPr="00814461">
        <w:rPr>
          <w:color w:val="FF0000"/>
          <w:sz w:val="24"/>
          <w:szCs w:val="24"/>
          <w:lang w:val="en-GB" w:eastAsia="zh-CN"/>
        </w:rPr>
        <w:t>ekvivalenti</w:t>
      </w:r>
      <w:proofErr w:type="spellEnd"/>
      <w:r w:rsidR="00814461" w:rsidRPr="00814461">
        <w:rPr>
          <w:color w:val="FF0000"/>
          <w:sz w:val="24"/>
          <w:szCs w:val="24"/>
          <w:lang w:val="en-GB" w:eastAsia="zh-CN"/>
        </w:rPr>
        <w:t xml:space="preserve"> </w:t>
      </w:r>
      <w:proofErr w:type="spellStart"/>
      <w:r w:rsidR="00814461" w:rsidRPr="00814461">
        <w:rPr>
          <w:color w:val="FF0000"/>
          <w:sz w:val="24"/>
          <w:szCs w:val="24"/>
          <w:lang w:val="en-GB" w:eastAsia="zh-CN"/>
        </w:rPr>
        <w:t>Eiropas</w:t>
      </w:r>
      <w:proofErr w:type="spellEnd"/>
      <w:r w:rsidR="00814461" w:rsidRPr="00814461">
        <w:rPr>
          <w:color w:val="FF0000"/>
          <w:sz w:val="24"/>
          <w:szCs w:val="24"/>
          <w:lang w:val="en-GB" w:eastAsia="zh-CN"/>
        </w:rPr>
        <w:t xml:space="preserve"> </w:t>
      </w:r>
      <w:proofErr w:type="spellStart"/>
      <w:r w:rsidR="00814461" w:rsidRPr="00814461">
        <w:rPr>
          <w:color w:val="FF0000"/>
          <w:sz w:val="24"/>
          <w:szCs w:val="24"/>
          <w:lang w:val="en-GB" w:eastAsia="zh-CN"/>
        </w:rPr>
        <w:t>standartiem</w:t>
      </w:r>
      <w:proofErr w:type="spellEnd"/>
      <w:r w:rsidR="00814461" w:rsidRPr="00814461">
        <w:rPr>
          <w:color w:val="FF0000"/>
          <w:sz w:val="24"/>
          <w:szCs w:val="24"/>
          <w:lang w:val="en-GB" w:eastAsia="zh-CN"/>
        </w:rPr>
        <w:t xml:space="preserve"> (EN). LVS </w:t>
      </w:r>
      <w:proofErr w:type="spellStart"/>
      <w:r w:rsidR="00814461" w:rsidRPr="00814461">
        <w:rPr>
          <w:color w:val="FF0000"/>
          <w:sz w:val="24"/>
          <w:szCs w:val="24"/>
          <w:lang w:val="en-GB" w:eastAsia="zh-CN"/>
        </w:rPr>
        <w:t>norāda</w:t>
      </w:r>
      <w:proofErr w:type="spellEnd"/>
      <w:r w:rsidR="00814461" w:rsidRPr="00814461">
        <w:rPr>
          <w:color w:val="FF0000"/>
          <w:sz w:val="24"/>
          <w:szCs w:val="24"/>
          <w:lang w:val="en-GB" w:eastAsia="zh-CN"/>
        </w:rPr>
        <w:t xml:space="preserve"> </w:t>
      </w:r>
      <w:proofErr w:type="spellStart"/>
      <w:r w:rsidR="00814461" w:rsidRPr="00814461">
        <w:rPr>
          <w:color w:val="FF0000"/>
          <w:sz w:val="24"/>
          <w:szCs w:val="24"/>
          <w:lang w:val="en-GB" w:eastAsia="zh-CN"/>
        </w:rPr>
        <w:t>uz</w:t>
      </w:r>
      <w:proofErr w:type="spellEnd"/>
      <w:r w:rsidR="00814461" w:rsidRPr="00814461">
        <w:rPr>
          <w:color w:val="FF0000"/>
          <w:sz w:val="24"/>
          <w:szCs w:val="24"/>
          <w:lang w:val="en-GB" w:eastAsia="zh-CN"/>
        </w:rPr>
        <w:t xml:space="preserve"> Latvijas </w:t>
      </w:r>
      <w:proofErr w:type="spellStart"/>
      <w:r w:rsidR="00814461" w:rsidRPr="00814461">
        <w:rPr>
          <w:color w:val="FF0000"/>
          <w:sz w:val="24"/>
          <w:szCs w:val="24"/>
          <w:lang w:val="en-GB" w:eastAsia="zh-CN"/>
        </w:rPr>
        <w:t>valsts</w:t>
      </w:r>
      <w:proofErr w:type="spellEnd"/>
      <w:r w:rsidR="00814461" w:rsidRPr="00814461">
        <w:rPr>
          <w:color w:val="FF0000"/>
          <w:sz w:val="24"/>
          <w:szCs w:val="24"/>
          <w:lang w:val="en-GB" w:eastAsia="zh-CN"/>
        </w:rPr>
        <w:t xml:space="preserve"> </w:t>
      </w:r>
      <w:proofErr w:type="spellStart"/>
      <w:r w:rsidR="00814461" w:rsidRPr="00814461">
        <w:rPr>
          <w:color w:val="FF0000"/>
          <w:sz w:val="24"/>
          <w:szCs w:val="24"/>
          <w:lang w:val="en-GB" w:eastAsia="zh-CN"/>
        </w:rPr>
        <w:t>standartiem</w:t>
      </w:r>
      <w:proofErr w:type="spellEnd"/>
      <w:r w:rsidR="00814461" w:rsidRPr="00814461">
        <w:rPr>
          <w:color w:val="FF0000"/>
          <w:sz w:val="24"/>
          <w:szCs w:val="24"/>
          <w:lang w:val="en-GB" w:eastAsia="zh-CN"/>
        </w:rPr>
        <w:t xml:space="preserve">, bet "EN" </w:t>
      </w:r>
      <w:proofErr w:type="spellStart"/>
      <w:r w:rsidR="00814461" w:rsidRPr="00814461">
        <w:rPr>
          <w:color w:val="FF0000"/>
          <w:sz w:val="24"/>
          <w:szCs w:val="24"/>
          <w:lang w:val="en-GB" w:eastAsia="zh-CN"/>
        </w:rPr>
        <w:t>apzīmē</w:t>
      </w:r>
      <w:proofErr w:type="spellEnd"/>
      <w:r w:rsidR="00814461" w:rsidRPr="00814461">
        <w:rPr>
          <w:color w:val="FF0000"/>
          <w:sz w:val="24"/>
          <w:szCs w:val="24"/>
          <w:lang w:val="en-GB" w:eastAsia="zh-CN"/>
        </w:rPr>
        <w:t xml:space="preserve">, ka tie </w:t>
      </w:r>
      <w:proofErr w:type="spellStart"/>
      <w:r w:rsidR="00814461" w:rsidRPr="00814461">
        <w:rPr>
          <w:color w:val="FF0000"/>
          <w:sz w:val="24"/>
          <w:szCs w:val="24"/>
          <w:lang w:val="en-GB" w:eastAsia="zh-CN"/>
        </w:rPr>
        <w:t>ir</w:t>
      </w:r>
      <w:proofErr w:type="spellEnd"/>
      <w:r w:rsidR="00814461" w:rsidRPr="00814461">
        <w:rPr>
          <w:color w:val="FF0000"/>
          <w:sz w:val="24"/>
          <w:szCs w:val="24"/>
          <w:lang w:val="en-GB" w:eastAsia="zh-CN"/>
        </w:rPr>
        <w:t xml:space="preserve"> </w:t>
      </w:r>
      <w:proofErr w:type="spellStart"/>
      <w:r w:rsidR="00814461" w:rsidRPr="00814461">
        <w:rPr>
          <w:color w:val="FF0000"/>
          <w:sz w:val="24"/>
          <w:szCs w:val="24"/>
          <w:lang w:val="en-GB" w:eastAsia="zh-CN"/>
        </w:rPr>
        <w:t>Eiropas</w:t>
      </w:r>
      <w:proofErr w:type="spellEnd"/>
      <w:r w:rsidR="00814461" w:rsidRPr="00814461">
        <w:rPr>
          <w:color w:val="FF0000"/>
          <w:sz w:val="24"/>
          <w:szCs w:val="24"/>
          <w:lang w:val="en-GB" w:eastAsia="zh-CN"/>
        </w:rPr>
        <w:t xml:space="preserve"> </w:t>
      </w:r>
      <w:proofErr w:type="spellStart"/>
      <w:r w:rsidR="00814461" w:rsidRPr="00814461">
        <w:rPr>
          <w:color w:val="FF0000"/>
          <w:sz w:val="24"/>
          <w:szCs w:val="24"/>
          <w:lang w:val="en-GB" w:eastAsia="zh-CN"/>
        </w:rPr>
        <w:t>standarti</w:t>
      </w:r>
      <w:proofErr w:type="spellEnd"/>
      <w:r w:rsidR="00814461" w:rsidRPr="00814461">
        <w:rPr>
          <w:color w:val="FF0000"/>
          <w:sz w:val="24"/>
          <w:szCs w:val="24"/>
          <w:lang w:val="en-GB" w:eastAsia="zh-CN"/>
        </w:rPr>
        <w:t>.</w:t>
      </w:r>
    </w:p>
    <w:p w14:paraId="6EC8FE4E" w14:textId="77777777" w:rsidR="00814461" w:rsidRPr="00814461" w:rsidRDefault="00814461" w:rsidP="00814461">
      <w:pPr>
        <w:suppressAutoHyphens/>
        <w:jc w:val="both"/>
        <w:rPr>
          <w:color w:val="FF0000"/>
          <w:sz w:val="24"/>
          <w:szCs w:val="24"/>
          <w:lang w:eastAsia="zh-CN"/>
        </w:rPr>
      </w:pPr>
      <w:r w:rsidRPr="00814461">
        <w:rPr>
          <w:color w:val="FF0000"/>
          <w:sz w:val="24"/>
          <w:szCs w:val="24"/>
          <w:lang w:eastAsia="zh-CN"/>
        </w:rPr>
        <w:t>Šie standarti tiek pieņemti, lai tie būtu identiski Eiropas standartiem, nodrošinot vienotu pieeju normatīvajai bāzei visā Eiropas Savienībā un Eiropas Ekonomiskās zonas valstīs. Tātad:</w:t>
      </w:r>
    </w:p>
    <w:p w14:paraId="2FD0F9B0" w14:textId="77777777" w:rsidR="00814461" w:rsidRPr="00814461" w:rsidRDefault="00814461" w:rsidP="00814461">
      <w:pPr>
        <w:suppressAutoHyphens/>
        <w:jc w:val="both"/>
        <w:rPr>
          <w:color w:val="FF0000"/>
          <w:sz w:val="24"/>
          <w:szCs w:val="24"/>
          <w:lang w:eastAsia="zh-CN"/>
        </w:rPr>
      </w:pPr>
      <w:r w:rsidRPr="00814461">
        <w:rPr>
          <w:color w:val="FF0000"/>
          <w:sz w:val="24"/>
          <w:szCs w:val="24"/>
          <w:lang w:eastAsia="zh-CN"/>
        </w:rPr>
        <w:t>LVS EN 61547:2010 - Ekvivalents Eiropas standartam EN 61547:2010.</w:t>
      </w:r>
    </w:p>
    <w:p w14:paraId="7F079872" w14:textId="77777777" w:rsidR="00814461" w:rsidRPr="00814461" w:rsidRDefault="00814461" w:rsidP="00814461">
      <w:pPr>
        <w:suppressAutoHyphens/>
        <w:jc w:val="both"/>
        <w:rPr>
          <w:color w:val="FF0000"/>
          <w:sz w:val="24"/>
          <w:szCs w:val="24"/>
          <w:lang w:eastAsia="zh-CN"/>
        </w:rPr>
      </w:pPr>
      <w:r w:rsidRPr="00814461">
        <w:rPr>
          <w:color w:val="FF0000"/>
          <w:sz w:val="24"/>
          <w:szCs w:val="24"/>
          <w:lang w:eastAsia="zh-CN"/>
        </w:rPr>
        <w:t>LVS EN 55015:2013 - Ekvivalents Eiropas standartam EN 55015:2013.</w:t>
      </w:r>
    </w:p>
    <w:p w14:paraId="61704081" w14:textId="77777777" w:rsidR="00814461" w:rsidRPr="00814461" w:rsidRDefault="00814461" w:rsidP="00814461">
      <w:pPr>
        <w:suppressAutoHyphens/>
        <w:jc w:val="both"/>
        <w:rPr>
          <w:color w:val="FF0000"/>
          <w:sz w:val="24"/>
          <w:szCs w:val="24"/>
          <w:lang w:eastAsia="zh-CN"/>
        </w:rPr>
      </w:pPr>
      <w:r w:rsidRPr="00814461">
        <w:rPr>
          <w:color w:val="FF0000"/>
          <w:sz w:val="24"/>
          <w:szCs w:val="24"/>
          <w:lang w:eastAsia="zh-CN"/>
        </w:rPr>
        <w:t>LVS EN 61000-3-2:2015 - Ekvivalents Eiropas standartam EN 61000-3-2:2015.</w:t>
      </w:r>
    </w:p>
    <w:p w14:paraId="2A676EB4" w14:textId="77777777" w:rsidR="00814461" w:rsidRPr="00814461" w:rsidRDefault="00814461" w:rsidP="00814461">
      <w:pPr>
        <w:suppressAutoHyphens/>
        <w:jc w:val="both"/>
        <w:rPr>
          <w:color w:val="FF0000"/>
          <w:sz w:val="24"/>
          <w:szCs w:val="24"/>
          <w:lang w:eastAsia="zh-CN"/>
        </w:rPr>
      </w:pPr>
      <w:r w:rsidRPr="00814461">
        <w:rPr>
          <w:color w:val="FF0000"/>
          <w:sz w:val="24"/>
          <w:szCs w:val="24"/>
          <w:lang w:eastAsia="zh-CN"/>
        </w:rPr>
        <w:t>LVS EN 61000-3-3:2013 - Ekvivalents Eiropas standartam EN 61000-3-3:2013.</w:t>
      </w:r>
    </w:p>
    <w:p w14:paraId="5D0EC110" w14:textId="3D7D42AB" w:rsidR="00814461" w:rsidRPr="00814461" w:rsidRDefault="00814461" w:rsidP="00814461">
      <w:pPr>
        <w:suppressAutoHyphens/>
        <w:jc w:val="both"/>
        <w:rPr>
          <w:color w:val="FF0000"/>
          <w:sz w:val="24"/>
          <w:szCs w:val="24"/>
          <w:lang w:eastAsia="zh-CN"/>
        </w:rPr>
      </w:pPr>
      <w:r w:rsidRPr="00814461">
        <w:rPr>
          <w:color w:val="FF0000"/>
          <w:sz w:val="24"/>
          <w:szCs w:val="24"/>
          <w:lang w:eastAsia="zh-CN"/>
        </w:rPr>
        <w:t>Standarti tiek nacionāli pārņemti bez izmaiņām, ja tie norādīti ar šo apzīmējumu.</w:t>
      </w:r>
    </w:p>
    <w:p w14:paraId="1A115C34" w14:textId="77777777" w:rsidR="00814461" w:rsidRPr="00814461" w:rsidRDefault="00814461" w:rsidP="00814461">
      <w:pPr>
        <w:suppressAutoHyphens/>
        <w:jc w:val="both"/>
        <w:rPr>
          <w:color w:val="FF0000"/>
          <w:sz w:val="24"/>
          <w:szCs w:val="24"/>
          <w:lang w:eastAsia="zh-CN"/>
        </w:rPr>
      </w:pPr>
      <w:r w:rsidRPr="00814461">
        <w:rPr>
          <w:color w:val="FF0000"/>
          <w:sz w:val="24"/>
          <w:szCs w:val="24"/>
          <w:lang w:eastAsia="zh-CN"/>
        </w:rPr>
        <w:t xml:space="preserve">Attiecīgi pretendenti var iesniegt standartu </w:t>
      </w:r>
      <w:r w:rsidRPr="00814461">
        <w:rPr>
          <w:i/>
          <w:iCs/>
          <w:color w:val="FF0000"/>
          <w:sz w:val="24"/>
          <w:szCs w:val="24"/>
          <w:lang w:eastAsia="zh-CN"/>
        </w:rPr>
        <w:t>LVS EN 61547:2010</w:t>
      </w:r>
      <w:r w:rsidRPr="00814461">
        <w:rPr>
          <w:color w:val="FF0000"/>
          <w:sz w:val="24"/>
          <w:szCs w:val="24"/>
          <w:lang w:eastAsia="zh-CN"/>
        </w:rPr>
        <w:t xml:space="preserve"> vai </w:t>
      </w:r>
      <w:r w:rsidRPr="00814461">
        <w:rPr>
          <w:i/>
          <w:iCs/>
          <w:color w:val="FF0000"/>
          <w:sz w:val="24"/>
          <w:szCs w:val="24"/>
          <w:lang w:eastAsia="zh-CN"/>
        </w:rPr>
        <w:t>EN 61547:2010</w:t>
      </w:r>
      <w:r w:rsidRPr="00814461">
        <w:rPr>
          <w:color w:val="FF0000"/>
          <w:sz w:val="24"/>
          <w:szCs w:val="24"/>
          <w:lang w:eastAsia="zh-CN"/>
        </w:rPr>
        <w:t>.</w:t>
      </w:r>
    </w:p>
    <w:p w14:paraId="4F590AEF" w14:textId="77777777" w:rsidR="00400354" w:rsidRDefault="00400354" w:rsidP="000D7D10">
      <w:pPr>
        <w:suppressAutoHyphens/>
        <w:jc w:val="both"/>
        <w:rPr>
          <w:color w:val="FF0000"/>
          <w:sz w:val="24"/>
          <w:szCs w:val="24"/>
          <w:lang w:eastAsia="zh-CN"/>
        </w:rPr>
      </w:pPr>
    </w:p>
    <w:p w14:paraId="3D1A64AB" w14:textId="5B5641BF" w:rsidR="00400354" w:rsidRDefault="00400354" w:rsidP="000D7D10">
      <w:pPr>
        <w:suppressAutoHyphens/>
        <w:jc w:val="both"/>
        <w:rPr>
          <w:b/>
          <w:bCs/>
          <w:sz w:val="24"/>
          <w:szCs w:val="24"/>
          <w:lang w:eastAsia="zh-CN"/>
        </w:rPr>
      </w:pPr>
      <w:r w:rsidRPr="00400354">
        <w:rPr>
          <w:b/>
          <w:bCs/>
          <w:sz w:val="24"/>
          <w:szCs w:val="24"/>
          <w:lang w:eastAsia="zh-CN"/>
        </w:rPr>
        <w:t>2.jautājums:</w:t>
      </w:r>
    </w:p>
    <w:p w14:paraId="33AC5E35" w14:textId="77777777" w:rsidR="00EA2B1A" w:rsidRPr="00EA2B1A" w:rsidRDefault="00EA2B1A" w:rsidP="00EA2B1A">
      <w:pPr>
        <w:suppressAutoHyphens/>
        <w:jc w:val="both"/>
        <w:rPr>
          <w:i/>
          <w:iCs/>
          <w:sz w:val="20"/>
          <w:szCs w:val="20"/>
          <w:lang w:eastAsia="zh-CN"/>
        </w:rPr>
      </w:pPr>
      <w:r w:rsidRPr="00EA2B1A">
        <w:rPr>
          <w:i/>
          <w:iCs/>
          <w:sz w:val="20"/>
          <w:szCs w:val="20"/>
          <w:lang w:eastAsia="zh-CN"/>
        </w:rPr>
        <w:t xml:space="preserve">Atklātā konkursa “Ielu apgaismojuma nomaiņa uz LED gaismekļiem Kuldīgas novadā 2.kārta” ID Nr. KNP 2024/59-EK/EKII (turpmāk – Konkurss) nolikuma pielikumā “Tehniskā specifikācija / Tehniskais piedāvājums (turpmāk – TS) (faila nosaukums “6_3_Tehnpied_prasibas_kontrolieri_vadibas sist”) 1.tabulā “Kopējās prasības visām apgaismojuma līmeņa regulēšanas ierīcēm (kontrolieriem)” ir noteikts: </w:t>
      </w:r>
    </w:p>
    <w:tbl>
      <w:tblPr>
        <w:tblStyle w:val="TableGrid"/>
        <w:tblW w:w="9351" w:type="dxa"/>
        <w:tblLayout w:type="fixed"/>
        <w:tblLook w:val="04A0" w:firstRow="1" w:lastRow="0" w:firstColumn="1" w:lastColumn="0" w:noHBand="0" w:noVBand="1"/>
      </w:tblPr>
      <w:tblGrid>
        <w:gridCol w:w="846"/>
        <w:gridCol w:w="4961"/>
        <w:gridCol w:w="1872"/>
        <w:gridCol w:w="1672"/>
      </w:tblGrid>
      <w:tr w:rsidR="00EA2B1A" w:rsidRPr="00EA2B1A" w14:paraId="0ED756D0" w14:textId="77777777" w:rsidTr="00EA2B1A">
        <w:trPr>
          <w:trHeight w:val="330"/>
        </w:trPr>
        <w:tc>
          <w:tcPr>
            <w:tcW w:w="846" w:type="dxa"/>
            <w:hideMark/>
          </w:tcPr>
          <w:p w14:paraId="76A6E926" w14:textId="77777777" w:rsidR="00EA2B1A" w:rsidRPr="00EA2B1A" w:rsidRDefault="00EA2B1A" w:rsidP="00EA2B1A">
            <w:pPr>
              <w:suppressAutoHyphens/>
              <w:jc w:val="both"/>
              <w:rPr>
                <w:i/>
                <w:iCs/>
                <w:sz w:val="20"/>
                <w:szCs w:val="20"/>
                <w:lang w:eastAsia="zh-CN"/>
              </w:rPr>
            </w:pPr>
            <w:proofErr w:type="spellStart"/>
            <w:r w:rsidRPr="00EA2B1A">
              <w:rPr>
                <w:i/>
                <w:iCs/>
                <w:sz w:val="20"/>
                <w:szCs w:val="20"/>
                <w:lang w:eastAsia="zh-CN"/>
              </w:rPr>
              <w:t>N.p.k</w:t>
            </w:r>
            <w:proofErr w:type="spellEnd"/>
            <w:r w:rsidRPr="00EA2B1A">
              <w:rPr>
                <w:i/>
                <w:iCs/>
                <w:sz w:val="20"/>
                <w:szCs w:val="20"/>
                <w:lang w:eastAsia="zh-CN"/>
              </w:rPr>
              <w:t>.</w:t>
            </w:r>
          </w:p>
        </w:tc>
        <w:tc>
          <w:tcPr>
            <w:tcW w:w="4961" w:type="dxa"/>
            <w:hideMark/>
          </w:tcPr>
          <w:p w14:paraId="7C4B52BC" w14:textId="77777777" w:rsidR="00EA2B1A" w:rsidRPr="00EA2B1A" w:rsidRDefault="00EA2B1A" w:rsidP="00EA2B1A">
            <w:pPr>
              <w:suppressAutoHyphens/>
              <w:jc w:val="both"/>
              <w:rPr>
                <w:i/>
                <w:iCs/>
                <w:sz w:val="20"/>
                <w:szCs w:val="20"/>
                <w:lang w:eastAsia="zh-CN"/>
              </w:rPr>
            </w:pPr>
            <w:r w:rsidRPr="00EA2B1A">
              <w:rPr>
                <w:i/>
                <w:iCs/>
                <w:sz w:val="20"/>
                <w:szCs w:val="20"/>
                <w:lang w:eastAsia="zh-CN"/>
              </w:rPr>
              <w:t>Parametrs</w:t>
            </w:r>
          </w:p>
        </w:tc>
        <w:tc>
          <w:tcPr>
            <w:tcW w:w="1872" w:type="dxa"/>
            <w:hideMark/>
          </w:tcPr>
          <w:p w14:paraId="70B1E0EB" w14:textId="77777777" w:rsidR="00EA2B1A" w:rsidRPr="00EA2B1A" w:rsidRDefault="00EA2B1A" w:rsidP="00EA2B1A">
            <w:pPr>
              <w:suppressAutoHyphens/>
              <w:jc w:val="both"/>
              <w:rPr>
                <w:i/>
                <w:iCs/>
                <w:sz w:val="20"/>
                <w:szCs w:val="20"/>
                <w:lang w:eastAsia="zh-CN"/>
              </w:rPr>
            </w:pPr>
            <w:r w:rsidRPr="00EA2B1A">
              <w:rPr>
                <w:i/>
                <w:iCs/>
                <w:sz w:val="20"/>
                <w:szCs w:val="20"/>
                <w:lang w:eastAsia="zh-CN"/>
              </w:rPr>
              <w:t>Pieprasīts</w:t>
            </w:r>
          </w:p>
        </w:tc>
        <w:tc>
          <w:tcPr>
            <w:tcW w:w="1672" w:type="dxa"/>
            <w:hideMark/>
          </w:tcPr>
          <w:p w14:paraId="730E837D" w14:textId="77777777" w:rsidR="00EA2B1A" w:rsidRPr="00EA2B1A" w:rsidRDefault="00EA2B1A" w:rsidP="00EA2B1A">
            <w:pPr>
              <w:suppressAutoHyphens/>
              <w:jc w:val="both"/>
              <w:rPr>
                <w:i/>
                <w:iCs/>
                <w:sz w:val="20"/>
                <w:szCs w:val="20"/>
                <w:lang w:eastAsia="zh-CN"/>
              </w:rPr>
            </w:pPr>
            <w:r w:rsidRPr="00EA2B1A">
              <w:rPr>
                <w:i/>
                <w:iCs/>
                <w:sz w:val="20"/>
                <w:szCs w:val="20"/>
                <w:lang w:eastAsia="zh-CN"/>
              </w:rPr>
              <w:t>Piedāvātais</w:t>
            </w:r>
          </w:p>
        </w:tc>
      </w:tr>
      <w:tr w:rsidR="00EA2B1A" w:rsidRPr="00EA2B1A" w14:paraId="78A10A69" w14:textId="77777777" w:rsidTr="00EA2B1A">
        <w:trPr>
          <w:trHeight w:val="111"/>
        </w:trPr>
        <w:tc>
          <w:tcPr>
            <w:tcW w:w="846" w:type="dxa"/>
            <w:vAlign w:val="center"/>
            <w:hideMark/>
          </w:tcPr>
          <w:p w14:paraId="762A1B89" w14:textId="77777777" w:rsidR="00EA2B1A" w:rsidRPr="00EA2B1A" w:rsidRDefault="00EA2B1A" w:rsidP="00EA2B1A">
            <w:pPr>
              <w:suppressAutoHyphens/>
              <w:jc w:val="both"/>
              <w:rPr>
                <w:i/>
                <w:iCs/>
                <w:sz w:val="20"/>
                <w:szCs w:val="20"/>
                <w:lang w:eastAsia="zh-CN"/>
              </w:rPr>
            </w:pPr>
            <w:r w:rsidRPr="00EA2B1A">
              <w:rPr>
                <w:i/>
                <w:iCs/>
                <w:sz w:val="20"/>
                <w:szCs w:val="20"/>
                <w:lang w:eastAsia="zh-CN"/>
              </w:rPr>
              <w:t>4</w:t>
            </w:r>
          </w:p>
        </w:tc>
        <w:tc>
          <w:tcPr>
            <w:tcW w:w="4961" w:type="dxa"/>
            <w:vAlign w:val="center"/>
            <w:hideMark/>
          </w:tcPr>
          <w:p w14:paraId="486F5CE4" w14:textId="77777777" w:rsidR="00EA2B1A" w:rsidRPr="00EA2B1A" w:rsidRDefault="00EA2B1A" w:rsidP="00EA2B1A">
            <w:pPr>
              <w:suppressAutoHyphens/>
              <w:jc w:val="both"/>
              <w:rPr>
                <w:i/>
                <w:iCs/>
                <w:sz w:val="20"/>
                <w:szCs w:val="20"/>
                <w:lang w:eastAsia="zh-CN"/>
              </w:rPr>
            </w:pPr>
            <w:r w:rsidRPr="00EA2B1A">
              <w:rPr>
                <w:i/>
                <w:iCs/>
                <w:sz w:val="20"/>
                <w:szCs w:val="20"/>
                <w:lang w:eastAsia="zh-CN"/>
              </w:rPr>
              <w:t xml:space="preserve">Jāapliecina darbības saderība ar esošo apgaismojuma vadības sistēmu citylight.net vai ekvivalents*. Kontrolieriem jādarbojas tīklā (2G/3G/LTE-M). </w:t>
            </w:r>
          </w:p>
        </w:tc>
        <w:tc>
          <w:tcPr>
            <w:tcW w:w="1872" w:type="dxa"/>
            <w:vAlign w:val="center"/>
            <w:hideMark/>
          </w:tcPr>
          <w:p w14:paraId="734B760F" w14:textId="77777777" w:rsidR="00EA2B1A" w:rsidRPr="00EA2B1A" w:rsidRDefault="00EA2B1A" w:rsidP="00EA2B1A">
            <w:pPr>
              <w:suppressAutoHyphens/>
              <w:jc w:val="both"/>
              <w:rPr>
                <w:i/>
                <w:iCs/>
                <w:sz w:val="20"/>
                <w:szCs w:val="20"/>
                <w:lang w:eastAsia="zh-CN"/>
              </w:rPr>
            </w:pPr>
          </w:p>
        </w:tc>
        <w:tc>
          <w:tcPr>
            <w:tcW w:w="1672" w:type="dxa"/>
            <w:vAlign w:val="center"/>
          </w:tcPr>
          <w:p w14:paraId="30FD187C" w14:textId="77777777" w:rsidR="00EA2B1A" w:rsidRPr="00EA2B1A" w:rsidRDefault="00EA2B1A" w:rsidP="00EA2B1A">
            <w:pPr>
              <w:suppressAutoHyphens/>
              <w:jc w:val="both"/>
              <w:rPr>
                <w:i/>
                <w:iCs/>
                <w:sz w:val="20"/>
                <w:szCs w:val="20"/>
                <w:lang w:eastAsia="zh-CN"/>
              </w:rPr>
            </w:pPr>
          </w:p>
        </w:tc>
      </w:tr>
    </w:tbl>
    <w:p w14:paraId="55195548" w14:textId="77777777" w:rsidR="00EA2B1A" w:rsidRPr="00EA2B1A" w:rsidRDefault="00EA2B1A" w:rsidP="00EA2B1A">
      <w:pPr>
        <w:suppressAutoHyphens/>
        <w:jc w:val="both"/>
        <w:rPr>
          <w:i/>
          <w:iCs/>
          <w:sz w:val="20"/>
          <w:szCs w:val="20"/>
          <w:lang w:eastAsia="zh-CN"/>
        </w:rPr>
      </w:pPr>
      <w:r w:rsidRPr="00EA2B1A">
        <w:rPr>
          <w:i/>
          <w:iCs/>
          <w:sz w:val="20"/>
          <w:szCs w:val="20"/>
          <w:lang w:eastAsia="zh-CN"/>
        </w:rPr>
        <w:t xml:space="preserve"> </w:t>
      </w:r>
    </w:p>
    <w:p w14:paraId="47E97DCD" w14:textId="77777777" w:rsidR="00EA2B1A" w:rsidRPr="00EA2B1A" w:rsidRDefault="00EA2B1A" w:rsidP="00EA2B1A">
      <w:pPr>
        <w:suppressAutoHyphens/>
        <w:jc w:val="both"/>
        <w:rPr>
          <w:i/>
          <w:iCs/>
          <w:sz w:val="20"/>
          <w:szCs w:val="20"/>
          <w:lang w:eastAsia="zh-CN"/>
        </w:rPr>
      </w:pPr>
      <w:r w:rsidRPr="00EA2B1A">
        <w:rPr>
          <w:i/>
          <w:iCs/>
          <w:sz w:val="20"/>
          <w:szCs w:val="20"/>
          <w:lang w:eastAsia="zh-CN"/>
        </w:rPr>
        <w:t>Piezīme * nosaka, ka, ja netiek piedāvāta esošā apgaismojuma sistēma, tad Pretendents nodrošina ekvivalentās sistēmas atbilstību 2.punktā “Apgaismes kontroles un vadības sistēmas prasības” minētajām prasībām.</w:t>
      </w:r>
    </w:p>
    <w:p w14:paraId="638C08B9" w14:textId="77777777" w:rsidR="00EA2B1A" w:rsidRPr="00EA2B1A" w:rsidRDefault="00EA2B1A" w:rsidP="00EA2B1A">
      <w:pPr>
        <w:suppressAutoHyphens/>
        <w:jc w:val="both"/>
        <w:rPr>
          <w:i/>
          <w:iCs/>
          <w:sz w:val="20"/>
          <w:szCs w:val="20"/>
          <w:lang w:eastAsia="zh-CN"/>
        </w:rPr>
      </w:pPr>
    </w:p>
    <w:p w14:paraId="0E378697" w14:textId="77777777" w:rsidR="00EA2B1A" w:rsidRPr="00EA2B1A" w:rsidRDefault="00EA2B1A" w:rsidP="00EA2B1A">
      <w:pPr>
        <w:suppressAutoHyphens/>
        <w:jc w:val="both"/>
        <w:rPr>
          <w:i/>
          <w:iCs/>
          <w:sz w:val="20"/>
          <w:szCs w:val="20"/>
          <w:lang w:eastAsia="zh-CN"/>
        </w:rPr>
      </w:pPr>
      <w:r w:rsidRPr="00EA2B1A">
        <w:rPr>
          <w:i/>
          <w:iCs/>
          <w:sz w:val="20"/>
          <w:szCs w:val="20"/>
          <w:lang w:eastAsia="zh-CN"/>
        </w:rPr>
        <w:t>Ņemot vērā TS 1.tabulas “Kopējās prasības visām apgaismojuma līmeņa regulēšanas ierīcēm (kontrolieriem)” 4.punktā un tās piezīmē norādītās prasības, Pretendenti piedāvātajām apgaismojuma līmeņa regulēšanas ierīcēm (kontrolieriem) var nodrošināt darbības saderību ar esošo apgaismojuma vadības sistēmu citylight.net vai piedāvāt alternatīvu apgaismes kontroles un vadības sistēmu, kas atbilst TS 2.tabulā “Apgaismes kontroles un vadības sistēmas prasības” prasībām. Līdz ar to, prasība, ka Kontrolieriem (konkrētāk, gaismekļu kontrolieriem) jādarbojas tīklā (2G/3G/LTE-M) ir konkurenci ierobežojoša, kā arī pretrunā ar TS 2.tabulā “Apgaismes kontroles un vadības sistēmas prasības” izvirzītajām prasībām.</w:t>
      </w:r>
    </w:p>
    <w:p w14:paraId="0332F91E" w14:textId="77777777" w:rsidR="00EA2B1A" w:rsidRPr="00EA2B1A" w:rsidRDefault="00EA2B1A" w:rsidP="00EA2B1A">
      <w:pPr>
        <w:suppressAutoHyphens/>
        <w:jc w:val="both"/>
        <w:rPr>
          <w:i/>
          <w:iCs/>
          <w:sz w:val="20"/>
          <w:szCs w:val="20"/>
          <w:lang w:eastAsia="zh-CN"/>
        </w:rPr>
      </w:pPr>
      <w:r w:rsidRPr="00EA2B1A">
        <w:rPr>
          <w:i/>
          <w:iCs/>
          <w:sz w:val="20"/>
          <w:szCs w:val="20"/>
          <w:lang w:eastAsia="zh-CN"/>
        </w:rPr>
        <w:t>T.i., TS 2.tabulā “Apgaismes kontroles un vadības sistēmas prasības” norādītās prasības nenosaka kontrolieru darbību, līdz ar to lūdzam Pasūtītāju precizēt TS prasības, ļaujot piedāvāt alternatīvu risinājumu, kur kontrolieri izmanto brīvi pieejamu zem-</w:t>
      </w:r>
      <w:proofErr w:type="spellStart"/>
      <w:r w:rsidRPr="00EA2B1A">
        <w:rPr>
          <w:i/>
          <w:iCs/>
          <w:sz w:val="20"/>
          <w:szCs w:val="20"/>
          <w:lang w:eastAsia="zh-CN"/>
        </w:rPr>
        <w:t>gigahercu</w:t>
      </w:r>
      <w:proofErr w:type="spellEnd"/>
      <w:r w:rsidRPr="00EA2B1A">
        <w:rPr>
          <w:i/>
          <w:iCs/>
          <w:sz w:val="20"/>
          <w:szCs w:val="20"/>
          <w:lang w:eastAsia="zh-CN"/>
        </w:rPr>
        <w:t xml:space="preserve"> frekvenci Eiropas ISM frekvenču joslā (frekvenču josla &lt; 1 GHz), vai bezvadu RF (Radio </w:t>
      </w:r>
      <w:proofErr w:type="spellStart"/>
      <w:r w:rsidRPr="00EA2B1A">
        <w:rPr>
          <w:i/>
          <w:iCs/>
          <w:sz w:val="20"/>
          <w:szCs w:val="20"/>
          <w:lang w:eastAsia="zh-CN"/>
        </w:rPr>
        <w:t>Frequency</w:t>
      </w:r>
      <w:proofErr w:type="spellEnd"/>
      <w:r w:rsidRPr="00EA2B1A">
        <w:rPr>
          <w:i/>
          <w:iCs/>
          <w:sz w:val="20"/>
          <w:szCs w:val="20"/>
          <w:lang w:eastAsia="zh-CN"/>
        </w:rPr>
        <w:t>) tehnoloģiju, sazinoties ar vārteju (</w:t>
      </w:r>
      <w:proofErr w:type="spellStart"/>
      <w:r w:rsidRPr="00EA2B1A">
        <w:rPr>
          <w:i/>
          <w:iCs/>
          <w:sz w:val="20"/>
          <w:szCs w:val="20"/>
          <w:lang w:eastAsia="zh-CN"/>
        </w:rPr>
        <w:t>gateway</w:t>
      </w:r>
      <w:proofErr w:type="spellEnd"/>
      <w:r w:rsidRPr="00EA2B1A">
        <w:rPr>
          <w:i/>
          <w:iCs/>
          <w:sz w:val="20"/>
          <w:szCs w:val="20"/>
          <w:lang w:eastAsia="zh-CN"/>
        </w:rPr>
        <w:t xml:space="preserve">). Minētās tehnoloģijas nodrošina līdzvērtīgu (ekvivalentu) apgaismojuma vadības sistēmas savietojamību un funkcionalitāti, neietekmējot iekārtas darbību, kas ir būtiski efektīvam un kvalitatīvam sniegumam, turklāt  paplašina konkurentu loku, veicina inovācijas un ekonomiski izdevīgākus risinājumus. </w:t>
      </w:r>
    </w:p>
    <w:p w14:paraId="558BB875" w14:textId="77777777" w:rsidR="00EA2B1A" w:rsidRPr="00EA2B1A" w:rsidRDefault="00EA2B1A" w:rsidP="00EA2B1A">
      <w:pPr>
        <w:suppressAutoHyphens/>
        <w:jc w:val="both"/>
        <w:rPr>
          <w:i/>
          <w:iCs/>
          <w:sz w:val="20"/>
          <w:szCs w:val="20"/>
          <w:lang w:eastAsia="zh-CN"/>
        </w:rPr>
      </w:pPr>
      <w:r w:rsidRPr="00EA2B1A">
        <w:rPr>
          <w:i/>
          <w:iCs/>
          <w:sz w:val="20"/>
          <w:szCs w:val="20"/>
          <w:lang w:eastAsia="zh-CN"/>
        </w:rPr>
        <w:t xml:space="preserve">Ņemot vērā minēto un lai nodrošinātu Pašvaldības līdzekļu efektīvāku izlietošanu un plānošanu turpmākajiem periodiem, lūdzam Pasūtītāju veikt TS 1.tabulas “Kopējās prasības visām apgaismojuma līmeņa regulēšanas ierīcēm (kontrolieriem)” 4.punkta grozījumus, izsakot to redakcijā, kādu izmanto citi Latvijas pašvaldību pasūtītāji, piemēram, Gulbenes  novada pašvaldība iepirkumā </w:t>
      </w:r>
      <w:hyperlink r:id="rId7" w:history="1">
        <w:r w:rsidRPr="00EA2B1A">
          <w:rPr>
            <w:rStyle w:val="Hyperlink"/>
            <w:i/>
            <w:iCs/>
            <w:sz w:val="20"/>
            <w:szCs w:val="20"/>
            <w:lang w:eastAsia="zh-CN"/>
          </w:rPr>
          <w:t>https://www.eis.gov.lv/EKEIS/Supplier/Procurement/119144</w:t>
        </w:r>
      </w:hyperlink>
      <w:r w:rsidRPr="00EA2B1A">
        <w:rPr>
          <w:i/>
          <w:iCs/>
          <w:sz w:val="20"/>
          <w:szCs w:val="20"/>
          <w:lang w:eastAsia="zh-CN"/>
        </w:rPr>
        <w:t xml:space="preserve">:  </w:t>
      </w:r>
    </w:p>
    <w:tbl>
      <w:tblPr>
        <w:tblStyle w:val="TableGrid"/>
        <w:tblW w:w="9067" w:type="dxa"/>
        <w:tblLayout w:type="fixed"/>
        <w:tblLook w:val="04A0" w:firstRow="1" w:lastRow="0" w:firstColumn="1" w:lastColumn="0" w:noHBand="0" w:noVBand="1"/>
      </w:tblPr>
      <w:tblGrid>
        <w:gridCol w:w="846"/>
        <w:gridCol w:w="5245"/>
        <w:gridCol w:w="1588"/>
        <w:gridCol w:w="1388"/>
      </w:tblGrid>
      <w:tr w:rsidR="00EA2B1A" w:rsidRPr="00EA2B1A" w14:paraId="31682DCC" w14:textId="77777777" w:rsidTr="00EA2B1A">
        <w:trPr>
          <w:trHeight w:val="330"/>
        </w:trPr>
        <w:tc>
          <w:tcPr>
            <w:tcW w:w="846" w:type="dxa"/>
            <w:hideMark/>
          </w:tcPr>
          <w:p w14:paraId="6C30420F" w14:textId="77777777" w:rsidR="00EA2B1A" w:rsidRPr="00EA2B1A" w:rsidRDefault="00EA2B1A" w:rsidP="00EA2B1A">
            <w:pPr>
              <w:suppressAutoHyphens/>
              <w:jc w:val="both"/>
              <w:rPr>
                <w:i/>
                <w:iCs/>
                <w:sz w:val="20"/>
                <w:szCs w:val="20"/>
                <w:lang w:eastAsia="zh-CN"/>
              </w:rPr>
            </w:pPr>
            <w:proofErr w:type="spellStart"/>
            <w:r w:rsidRPr="00EA2B1A">
              <w:rPr>
                <w:i/>
                <w:iCs/>
                <w:sz w:val="20"/>
                <w:szCs w:val="20"/>
                <w:lang w:eastAsia="zh-CN"/>
              </w:rPr>
              <w:t>N.p.k</w:t>
            </w:r>
            <w:proofErr w:type="spellEnd"/>
            <w:r w:rsidRPr="00EA2B1A">
              <w:rPr>
                <w:i/>
                <w:iCs/>
                <w:sz w:val="20"/>
                <w:szCs w:val="20"/>
                <w:lang w:eastAsia="zh-CN"/>
              </w:rPr>
              <w:t>.</w:t>
            </w:r>
          </w:p>
        </w:tc>
        <w:tc>
          <w:tcPr>
            <w:tcW w:w="5245" w:type="dxa"/>
            <w:hideMark/>
          </w:tcPr>
          <w:p w14:paraId="12633D53" w14:textId="77777777" w:rsidR="00EA2B1A" w:rsidRPr="00EA2B1A" w:rsidRDefault="00EA2B1A" w:rsidP="00EA2B1A">
            <w:pPr>
              <w:suppressAutoHyphens/>
              <w:jc w:val="both"/>
              <w:rPr>
                <w:i/>
                <w:iCs/>
                <w:sz w:val="20"/>
                <w:szCs w:val="20"/>
                <w:lang w:eastAsia="zh-CN"/>
              </w:rPr>
            </w:pPr>
            <w:r w:rsidRPr="00EA2B1A">
              <w:rPr>
                <w:i/>
                <w:iCs/>
                <w:sz w:val="20"/>
                <w:szCs w:val="20"/>
                <w:lang w:eastAsia="zh-CN"/>
              </w:rPr>
              <w:t>Parametrs</w:t>
            </w:r>
          </w:p>
        </w:tc>
        <w:tc>
          <w:tcPr>
            <w:tcW w:w="1588" w:type="dxa"/>
            <w:hideMark/>
          </w:tcPr>
          <w:p w14:paraId="04346702" w14:textId="77777777" w:rsidR="00EA2B1A" w:rsidRPr="00EA2B1A" w:rsidRDefault="00EA2B1A" w:rsidP="00EA2B1A">
            <w:pPr>
              <w:suppressAutoHyphens/>
              <w:jc w:val="both"/>
              <w:rPr>
                <w:i/>
                <w:iCs/>
                <w:sz w:val="20"/>
                <w:szCs w:val="20"/>
                <w:lang w:eastAsia="zh-CN"/>
              </w:rPr>
            </w:pPr>
            <w:r w:rsidRPr="00EA2B1A">
              <w:rPr>
                <w:i/>
                <w:iCs/>
                <w:sz w:val="20"/>
                <w:szCs w:val="20"/>
                <w:lang w:eastAsia="zh-CN"/>
              </w:rPr>
              <w:t>Pieprasīts</w:t>
            </w:r>
          </w:p>
        </w:tc>
        <w:tc>
          <w:tcPr>
            <w:tcW w:w="1388" w:type="dxa"/>
            <w:hideMark/>
          </w:tcPr>
          <w:p w14:paraId="696060A3" w14:textId="77777777" w:rsidR="00EA2B1A" w:rsidRPr="00EA2B1A" w:rsidRDefault="00EA2B1A" w:rsidP="00EA2B1A">
            <w:pPr>
              <w:suppressAutoHyphens/>
              <w:jc w:val="both"/>
              <w:rPr>
                <w:i/>
                <w:iCs/>
                <w:sz w:val="20"/>
                <w:szCs w:val="20"/>
                <w:lang w:eastAsia="zh-CN"/>
              </w:rPr>
            </w:pPr>
            <w:r w:rsidRPr="00EA2B1A">
              <w:rPr>
                <w:i/>
                <w:iCs/>
                <w:sz w:val="20"/>
                <w:szCs w:val="20"/>
                <w:lang w:eastAsia="zh-CN"/>
              </w:rPr>
              <w:t>Piedāvātais</w:t>
            </w:r>
          </w:p>
        </w:tc>
      </w:tr>
      <w:tr w:rsidR="00EA2B1A" w:rsidRPr="00EA2B1A" w14:paraId="24EDEA8C" w14:textId="77777777" w:rsidTr="00EA2B1A">
        <w:trPr>
          <w:trHeight w:val="111"/>
        </w:trPr>
        <w:tc>
          <w:tcPr>
            <w:tcW w:w="846" w:type="dxa"/>
            <w:vAlign w:val="center"/>
            <w:hideMark/>
          </w:tcPr>
          <w:p w14:paraId="04B1CA1F" w14:textId="77777777" w:rsidR="00EA2B1A" w:rsidRPr="00EA2B1A" w:rsidRDefault="00EA2B1A" w:rsidP="00EA2B1A">
            <w:pPr>
              <w:suppressAutoHyphens/>
              <w:jc w:val="both"/>
              <w:rPr>
                <w:i/>
                <w:iCs/>
                <w:sz w:val="20"/>
                <w:szCs w:val="20"/>
                <w:lang w:eastAsia="zh-CN"/>
              </w:rPr>
            </w:pPr>
            <w:r w:rsidRPr="00EA2B1A">
              <w:rPr>
                <w:i/>
                <w:iCs/>
                <w:sz w:val="20"/>
                <w:szCs w:val="20"/>
                <w:lang w:eastAsia="zh-CN"/>
              </w:rPr>
              <w:t>4</w:t>
            </w:r>
          </w:p>
        </w:tc>
        <w:tc>
          <w:tcPr>
            <w:tcW w:w="5245" w:type="dxa"/>
            <w:vAlign w:val="center"/>
            <w:hideMark/>
          </w:tcPr>
          <w:p w14:paraId="33A3C707" w14:textId="77777777" w:rsidR="00EA2B1A" w:rsidRPr="00EA2B1A" w:rsidRDefault="00EA2B1A" w:rsidP="00EA2B1A">
            <w:pPr>
              <w:suppressAutoHyphens/>
              <w:jc w:val="both"/>
              <w:rPr>
                <w:i/>
                <w:iCs/>
                <w:sz w:val="20"/>
                <w:szCs w:val="20"/>
                <w:lang w:eastAsia="zh-CN"/>
              </w:rPr>
            </w:pPr>
            <w:r w:rsidRPr="00EA2B1A">
              <w:rPr>
                <w:i/>
                <w:iCs/>
                <w:sz w:val="20"/>
                <w:szCs w:val="20"/>
                <w:lang w:eastAsia="zh-CN"/>
              </w:rPr>
              <w:t>Jāapliecina darbības saderība ar esošo apgaismojuma vadības sistēmu citylight.net vai ekvivalents*.</w:t>
            </w:r>
          </w:p>
        </w:tc>
        <w:tc>
          <w:tcPr>
            <w:tcW w:w="1588" w:type="dxa"/>
            <w:vAlign w:val="center"/>
            <w:hideMark/>
          </w:tcPr>
          <w:p w14:paraId="2D172120" w14:textId="77777777" w:rsidR="00EA2B1A" w:rsidRPr="00EA2B1A" w:rsidRDefault="00EA2B1A" w:rsidP="00EA2B1A">
            <w:pPr>
              <w:suppressAutoHyphens/>
              <w:jc w:val="both"/>
              <w:rPr>
                <w:i/>
                <w:iCs/>
                <w:sz w:val="20"/>
                <w:szCs w:val="20"/>
                <w:lang w:eastAsia="zh-CN"/>
              </w:rPr>
            </w:pPr>
          </w:p>
        </w:tc>
        <w:tc>
          <w:tcPr>
            <w:tcW w:w="1388" w:type="dxa"/>
            <w:vAlign w:val="center"/>
          </w:tcPr>
          <w:p w14:paraId="6B5E8A56" w14:textId="77777777" w:rsidR="00EA2B1A" w:rsidRPr="00EA2B1A" w:rsidRDefault="00EA2B1A" w:rsidP="00EA2B1A">
            <w:pPr>
              <w:suppressAutoHyphens/>
              <w:jc w:val="both"/>
              <w:rPr>
                <w:i/>
                <w:iCs/>
                <w:sz w:val="20"/>
                <w:szCs w:val="20"/>
                <w:lang w:eastAsia="zh-CN"/>
              </w:rPr>
            </w:pPr>
          </w:p>
        </w:tc>
      </w:tr>
      <w:tr w:rsidR="00EA2B1A" w:rsidRPr="00EA2B1A" w14:paraId="3D9EB8EE" w14:textId="77777777" w:rsidTr="00EA2B1A">
        <w:trPr>
          <w:trHeight w:val="111"/>
        </w:trPr>
        <w:tc>
          <w:tcPr>
            <w:tcW w:w="846" w:type="dxa"/>
            <w:vAlign w:val="center"/>
          </w:tcPr>
          <w:p w14:paraId="564BC683" w14:textId="77777777" w:rsidR="00EA2B1A" w:rsidRPr="00EA2B1A" w:rsidRDefault="00EA2B1A" w:rsidP="00EA2B1A">
            <w:pPr>
              <w:suppressAutoHyphens/>
              <w:jc w:val="both"/>
              <w:rPr>
                <w:i/>
                <w:iCs/>
                <w:sz w:val="20"/>
                <w:szCs w:val="20"/>
                <w:lang w:eastAsia="zh-CN"/>
              </w:rPr>
            </w:pPr>
            <w:r w:rsidRPr="00EA2B1A">
              <w:rPr>
                <w:i/>
                <w:iCs/>
                <w:sz w:val="20"/>
                <w:szCs w:val="20"/>
                <w:lang w:eastAsia="zh-CN"/>
              </w:rPr>
              <w:t>4.1</w:t>
            </w:r>
          </w:p>
        </w:tc>
        <w:tc>
          <w:tcPr>
            <w:tcW w:w="5245" w:type="dxa"/>
            <w:vAlign w:val="center"/>
          </w:tcPr>
          <w:p w14:paraId="340B7EA2" w14:textId="77777777" w:rsidR="00EA2B1A" w:rsidRPr="00EA2B1A" w:rsidRDefault="00EA2B1A" w:rsidP="00EA2B1A">
            <w:pPr>
              <w:suppressAutoHyphens/>
              <w:jc w:val="both"/>
              <w:rPr>
                <w:i/>
                <w:iCs/>
                <w:sz w:val="20"/>
                <w:szCs w:val="20"/>
                <w:lang w:eastAsia="zh-CN"/>
              </w:rPr>
            </w:pPr>
            <w:r w:rsidRPr="00EA2B1A">
              <w:rPr>
                <w:i/>
                <w:iCs/>
                <w:sz w:val="20"/>
                <w:szCs w:val="20"/>
                <w:lang w:eastAsia="zh-CN"/>
              </w:rPr>
              <w:t>Gaismekļu kontrolieru darbības nodrošinājumam izmantot brīvi pieejamu zem-</w:t>
            </w:r>
            <w:proofErr w:type="spellStart"/>
            <w:r w:rsidRPr="00EA2B1A">
              <w:rPr>
                <w:i/>
                <w:iCs/>
                <w:sz w:val="20"/>
                <w:szCs w:val="20"/>
                <w:lang w:eastAsia="zh-CN"/>
              </w:rPr>
              <w:t>gigahercu</w:t>
            </w:r>
            <w:proofErr w:type="spellEnd"/>
            <w:r w:rsidRPr="00EA2B1A">
              <w:rPr>
                <w:i/>
                <w:iCs/>
                <w:sz w:val="20"/>
                <w:szCs w:val="20"/>
                <w:lang w:eastAsia="zh-CN"/>
              </w:rPr>
              <w:t xml:space="preserve"> frekvenci brīvajā Eiropas ISM frekvenču joslā n &lt; 1 GHz datu apmaiņai starp gaismekļu kontrolieri un gaismekļu segmenta kontrolieri vai nodrošināt datu apmaiņu starp gaismekļu kontrolieri un apgaismojuma vadības sistēmu, izmantojot mobilo sakaru tīklu (2G/3G/LTE-M). </w:t>
            </w:r>
          </w:p>
          <w:p w14:paraId="3805EE09" w14:textId="77777777" w:rsidR="00EA2B1A" w:rsidRPr="00EA2B1A" w:rsidRDefault="00EA2B1A" w:rsidP="00EA2B1A">
            <w:pPr>
              <w:suppressAutoHyphens/>
              <w:jc w:val="both"/>
              <w:rPr>
                <w:i/>
                <w:iCs/>
                <w:sz w:val="20"/>
                <w:szCs w:val="20"/>
                <w:lang w:eastAsia="zh-CN"/>
              </w:rPr>
            </w:pPr>
            <w:r w:rsidRPr="00EA2B1A">
              <w:rPr>
                <w:i/>
                <w:iCs/>
                <w:sz w:val="20"/>
                <w:szCs w:val="20"/>
                <w:lang w:eastAsia="zh-CN"/>
              </w:rPr>
              <w:t>Sakaru izmaksām, izmantojot mobilo tehnoloģiju 5 gadu periodā jābūt ietvertām piedāvājuma izmaksās.</w:t>
            </w:r>
          </w:p>
        </w:tc>
        <w:tc>
          <w:tcPr>
            <w:tcW w:w="1588" w:type="dxa"/>
            <w:vAlign w:val="center"/>
          </w:tcPr>
          <w:p w14:paraId="5689994C" w14:textId="77777777" w:rsidR="00EA2B1A" w:rsidRPr="00EA2B1A" w:rsidRDefault="00EA2B1A" w:rsidP="00EA2B1A">
            <w:pPr>
              <w:suppressAutoHyphens/>
              <w:jc w:val="both"/>
              <w:rPr>
                <w:i/>
                <w:iCs/>
                <w:sz w:val="20"/>
                <w:szCs w:val="20"/>
                <w:lang w:eastAsia="zh-CN"/>
              </w:rPr>
            </w:pPr>
          </w:p>
        </w:tc>
        <w:tc>
          <w:tcPr>
            <w:tcW w:w="1388" w:type="dxa"/>
            <w:vAlign w:val="center"/>
          </w:tcPr>
          <w:p w14:paraId="77CAE421" w14:textId="77777777" w:rsidR="00EA2B1A" w:rsidRPr="00EA2B1A" w:rsidRDefault="00EA2B1A" w:rsidP="00EA2B1A">
            <w:pPr>
              <w:suppressAutoHyphens/>
              <w:jc w:val="both"/>
              <w:rPr>
                <w:i/>
                <w:iCs/>
                <w:sz w:val="20"/>
                <w:szCs w:val="20"/>
                <w:lang w:eastAsia="zh-CN"/>
              </w:rPr>
            </w:pPr>
          </w:p>
        </w:tc>
      </w:tr>
    </w:tbl>
    <w:p w14:paraId="29B6907E" w14:textId="77777777" w:rsidR="00EA2B1A" w:rsidRPr="00400354" w:rsidRDefault="00EA2B1A" w:rsidP="000D7D10">
      <w:pPr>
        <w:suppressAutoHyphens/>
        <w:jc w:val="both"/>
        <w:rPr>
          <w:b/>
          <w:bCs/>
          <w:sz w:val="24"/>
          <w:szCs w:val="24"/>
          <w:lang w:eastAsia="zh-CN"/>
        </w:rPr>
      </w:pPr>
    </w:p>
    <w:p w14:paraId="00010218" w14:textId="0B5E0C21" w:rsidR="00814461" w:rsidRPr="00814461" w:rsidRDefault="00814461" w:rsidP="00814461">
      <w:pPr>
        <w:suppressAutoHyphens/>
        <w:jc w:val="both"/>
        <w:rPr>
          <w:color w:val="FF0000"/>
          <w:sz w:val="24"/>
          <w:szCs w:val="24"/>
          <w:lang w:eastAsia="zh-CN"/>
        </w:rPr>
      </w:pPr>
      <w:r w:rsidRPr="00814461">
        <w:rPr>
          <w:b/>
          <w:bCs/>
          <w:color w:val="FF0000"/>
          <w:sz w:val="24"/>
          <w:szCs w:val="24"/>
          <w:lang w:eastAsia="zh-CN"/>
        </w:rPr>
        <w:t>Atbilde:</w:t>
      </w:r>
      <w:r w:rsidRPr="00814461">
        <w:rPr>
          <w:color w:val="FF0000"/>
          <w:sz w:val="24"/>
          <w:szCs w:val="24"/>
          <w:lang w:eastAsia="zh-CN"/>
        </w:rPr>
        <w:t xml:space="preserve"> Kontrolieriem jādarbojas tīklā (2G/3G/LTE-M) vai citā komunikācijas tīklā, kas nodrošina līdzvērtīgu vai labāku datu pārraides stabilitāti, drošību un uzticamību, kā arī pilnīgu savietojamību ar uzstādāmo infrastruktūru. </w:t>
      </w:r>
    </w:p>
    <w:p w14:paraId="05C11603" w14:textId="77777777" w:rsidR="00400354" w:rsidRPr="00400354" w:rsidRDefault="00400354" w:rsidP="000D7D10">
      <w:pPr>
        <w:suppressAutoHyphens/>
        <w:jc w:val="both"/>
        <w:rPr>
          <w:i/>
          <w:iCs/>
          <w:sz w:val="20"/>
          <w:szCs w:val="20"/>
          <w:lang w:eastAsia="zh-CN"/>
        </w:rPr>
      </w:pPr>
    </w:p>
    <w:p w14:paraId="36A5C838" w14:textId="77777777" w:rsidR="003E7A6D" w:rsidRDefault="003E7A6D" w:rsidP="000D7D10">
      <w:pPr>
        <w:suppressAutoHyphens/>
        <w:jc w:val="both"/>
        <w:rPr>
          <w:sz w:val="24"/>
          <w:szCs w:val="24"/>
          <w:lang w:eastAsia="zh-CN"/>
        </w:rPr>
      </w:pPr>
    </w:p>
    <w:p w14:paraId="7585ECDF" w14:textId="77777777" w:rsidR="003C1DC5" w:rsidRPr="00B67184" w:rsidRDefault="003C1DC5" w:rsidP="000D7D10">
      <w:pPr>
        <w:suppressAutoHyphens/>
        <w:jc w:val="both"/>
        <w:rPr>
          <w:sz w:val="24"/>
          <w:szCs w:val="24"/>
        </w:rPr>
      </w:pPr>
      <w:r w:rsidRPr="00B67184">
        <w:rPr>
          <w:sz w:val="24"/>
          <w:szCs w:val="24"/>
        </w:rPr>
        <w:t>Komisijas priekšsēdētāja</w:t>
      </w:r>
      <w:r w:rsidRPr="00B67184">
        <w:rPr>
          <w:sz w:val="24"/>
          <w:szCs w:val="24"/>
        </w:rPr>
        <w:tab/>
      </w:r>
      <w:r w:rsidRPr="00B67184">
        <w:rPr>
          <w:sz w:val="24"/>
          <w:szCs w:val="24"/>
        </w:rPr>
        <w:tab/>
      </w:r>
      <w:r w:rsidRPr="00B67184">
        <w:rPr>
          <w:sz w:val="24"/>
          <w:szCs w:val="24"/>
        </w:rPr>
        <w:tab/>
      </w:r>
      <w:r w:rsidRPr="00B67184">
        <w:rPr>
          <w:i/>
          <w:iCs/>
          <w:sz w:val="24"/>
          <w:szCs w:val="24"/>
        </w:rPr>
        <w:t>* (paraksts</w:t>
      </w:r>
      <w:r w:rsidRPr="00B67184">
        <w:rPr>
          <w:sz w:val="24"/>
          <w:szCs w:val="24"/>
        </w:rPr>
        <w:t>)</w:t>
      </w:r>
      <w:r w:rsidRPr="00B67184">
        <w:rPr>
          <w:sz w:val="24"/>
          <w:szCs w:val="24"/>
        </w:rPr>
        <w:tab/>
      </w:r>
      <w:r w:rsidRPr="00B67184">
        <w:rPr>
          <w:sz w:val="24"/>
          <w:szCs w:val="24"/>
        </w:rPr>
        <w:tab/>
      </w:r>
      <w:r w:rsidRPr="00B67184">
        <w:rPr>
          <w:sz w:val="24"/>
          <w:szCs w:val="24"/>
        </w:rPr>
        <w:tab/>
      </w:r>
      <w:r w:rsidRPr="00B67184">
        <w:rPr>
          <w:sz w:val="24"/>
          <w:szCs w:val="24"/>
        </w:rPr>
        <w:tab/>
        <w:t>I. Ozola</w:t>
      </w:r>
    </w:p>
    <w:p w14:paraId="17224725" w14:textId="77777777" w:rsidR="003C1DC5" w:rsidRPr="00B67184" w:rsidRDefault="003C1DC5" w:rsidP="000D7D10">
      <w:pPr>
        <w:suppressAutoHyphens/>
        <w:jc w:val="both"/>
        <w:rPr>
          <w:sz w:val="24"/>
          <w:szCs w:val="24"/>
        </w:rPr>
      </w:pPr>
    </w:p>
    <w:p w14:paraId="028EB046" w14:textId="633DE080" w:rsidR="002D257E" w:rsidRPr="00B67184" w:rsidRDefault="003C1DC5" w:rsidP="003E7A6D">
      <w:pPr>
        <w:suppressAutoHyphens/>
        <w:ind w:left="-426"/>
        <w:jc w:val="both"/>
        <w:rPr>
          <w:sz w:val="24"/>
          <w:szCs w:val="24"/>
        </w:rPr>
      </w:pPr>
      <w:r w:rsidRPr="003E7A6D">
        <w:rPr>
          <w:sz w:val="20"/>
          <w:szCs w:val="20"/>
        </w:rPr>
        <w:t>*ŠIS DOKUMENTS IR PARAKSTĪTS AR DROŠU ELEKTRONISKO PARAKSTU UN SATUR LAIKA ZĪMOGU</w:t>
      </w:r>
    </w:p>
    <w:sectPr w:rsidR="002D257E" w:rsidRPr="00B67184" w:rsidSect="003E7A6D">
      <w:headerReference w:type="first" r:id="rId8"/>
      <w:pgSz w:w="11907" w:h="16840" w:code="9"/>
      <w:pgMar w:top="709" w:right="851" w:bottom="426"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9BB3B" w14:textId="77777777" w:rsidR="004C4522" w:rsidRDefault="004C4522" w:rsidP="003C1DC5">
      <w:r>
        <w:separator/>
      </w:r>
    </w:p>
  </w:endnote>
  <w:endnote w:type="continuationSeparator" w:id="0">
    <w:p w14:paraId="5BB495BC" w14:textId="77777777" w:rsidR="004C4522" w:rsidRDefault="004C4522" w:rsidP="003C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ĖĪĢå"/>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3ED2C" w14:textId="77777777" w:rsidR="004C4522" w:rsidRDefault="004C4522" w:rsidP="003C1DC5">
      <w:r>
        <w:separator/>
      </w:r>
    </w:p>
  </w:footnote>
  <w:footnote w:type="continuationSeparator" w:id="0">
    <w:p w14:paraId="1E641E56" w14:textId="77777777" w:rsidR="004C4522" w:rsidRDefault="004C4522" w:rsidP="003C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CA67A" w14:textId="77777777" w:rsidR="007D2D83" w:rsidRPr="00D148FF" w:rsidRDefault="007D2D83" w:rsidP="00242BA7">
    <w:pPr>
      <w:tabs>
        <w:tab w:val="center" w:pos="4320"/>
        <w:tab w:val="right" w:pos="8640"/>
      </w:tabs>
      <w:rPr>
        <w:sz w:val="24"/>
        <w:szCs w:val="24"/>
        <w:lang w:val="en-US" w:eastAsia="lv-LV"/>
      </w:rPr>
    </w:pPr>
  </w:p>
  <w:p w14:paraId="561B77BA" w14:textId="420E8A0C" w:rsidR="007D2D83" w:rsidRPr="00D148FF" w:rsidRDefault="003C1DC5" w:rsidP="00242BA7">
    <w:pPr>
      <w:tabs>
        <w:tab w:val="center" w:pos="4320"/>
        <w:tab w:val="right" w:pos="8640"/>
      </w:tabs>
      <w:rPr>
        <w:sz w:val="24"/>
        <w:szCs w:val="24"/>
        <w:lang w:val="en-US" w:eastAsia="lv-LV"/>
      </w:rPr>
    </w:pPr>
    <w:r w:rsidRPr="00D148FF">
      <w:rPr>
        <w:noProof/>
        <w:sz w:val="24"/>
        <w:szCs w:val="24"/>
        <w:lang w:eastAsia="lv-LV"/>
      </w:rPr>
      <w:drawing>
        <wp:anchor distT="0" distB="0" distL="114300" distR="114300" simplePos="0" relativeHeight="251661312" behindDoc="1" locked="0" layoutInCell="1" allowOverlap="1" wp14:anchorId="1BE24575" wp14:editId="0F72CC26">
          <wp:simplePos x="0" y="0"/>
          <wp:positionH relativeFrom="column">
            <wp:posOffset>-417830</wp:posOffset>
          </wp:positionH>
          <wp:positionV relativeFrom="paragraph">
            <wp:posOffset>25400</wp:posOffset>
          </wp:positionV>
          <wp:extent cx="610235" cy="741680"/>
          <wp:effectExtent l="0" t="0" r="0" b="1270"/>
          <wp:wrapNone/>
          <wp:docPr id="307386177" name="Picture 4" descr="D:\Users\Dzintars\Desktop\pgp\Kuldigas novad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zintars\Desktop\pgp\Kuldigas novads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8FF">
      <w:rPr>
        <w:noProof/>
        <w:sz w:val="24"/>
        <w:szCs w:val="24"/>
        <w:lang w:eastAsia="lv-LV"/>
      </w:rPr>
      <mc:AlternateContent>
        <mc:Choice Requires="wps">
          <w:drawing>
            <wp:anchor distT="0" distB="0" distL="114300" distR="114300" simplePos="0" relativeHeight="251660288" behindDoc="0" locked="0" layoutInCell="1" allowOverlap="1" wp14:anchorId="528F5658" wp14:editId="41CC44BE">
              <wp:simplePos x="0" y="0"/>
              <wp:positionH relativeFrom="column">
                <wp:posOffset>264795</wp:posOffset>
              </wp:positionH>
              <wp:positionV relativeFrom="paragraph">
                <wp:posOffset>62865</wp:posOffset>
              </wp:positionV>
              <wp:extent cx="6121400" cy="405130"/>
              <wp:effectExtent l="0" t="0" r="0" b="0"/>
              <wp:wrapNone/>
              <wp:docPr id="1619132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44DBE" w14:textId="77777777" w:rsidR="007D2D83" w:rsidRPr="0097683D" w:rsidRDefault="007D2D83" w:rsidP="00242BA7">
                          <w:pPr>
                            <w:pStyle w:val="Heading2"/>
                            <w:jc w:val="both"/>
                            <w:rPr>
                              <w:sz w:val="44"/>
                              <w:szCs w:val="44"/>
                            </w:rPr>
                          </w:pPr>
                          <w:r>
                            <w:rPr>
                              <w:sz w:val="44"/>
                              <w:szCs w:val="44"/>
                            </w:rPr>
                            <w:t>KULDĪGAS</w:t>
                          </w:r>
                          <w:r w:rsidRPr="0097683D">
                            <w:rPr>
                              <w:sz w:val="44"/>
                              <w:szCs w:val="44"/>
                            </w:rPr>
                            <w:t xml:space="preserve"> NOVADA DOME</w:t>
                          </w:r>
                        </w:p>
                        <w:p w14:paraId="701738AE" w14:textId="77777777" w:rsidR="007D2D83" w:rsidRPr="00132FFB" w:rsidRDefault="007D2D83" w:rsidP="00242BA7">
                          <w:pPr>
                            <w:rPr>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F5658" id="_x0000_t202" coordsize="21600,21600" o:spt="202" path="m,l,21600r21600,l21600,xe">
              <v:stroke joinstyle="miter"/>
              <v:path gradientshapeok="t" o:connecttype="rect"/>
            </v:shapetype>
            <v:shape id="Text Box 3" o:spid="_x0000_s1026" type="#_x0000_t202" style="position:absolute;margin-left:20.85pt;margin-top:4.95pt;width:482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" filled="f" stroked="f">
              <v:textbox>
                <w:txbxContent>
                  <w:p w14:paraId="10B44DBE" w14:textId="77777777" w:rsidR="007D2D83" w:rsidRPr="0097683D" w:rsidRDefault="007D2D83" w:rsidP="00242BA7">
                    <w:pPr>
                      <w:pStyle w:val="Heading2"/>
                      <w:jc w:val="both"/>
                      <w:rPr>
                        <w:sz w:val="44"/>
                        <w:szCs w:val="44"/>
                      </w:rPr>
                    </w:pPr>
                    <w:r>
                      <w:rPr>
                        <w:sz w:val="44"/>
                        <w:szCs w:val="44"/>
                      </w:rPr>
                      <w:t>KULDĪGAS</w:t>
                    </w:r>
                    <w:r w:rsidRPr="0097683D">
                      <w:rPr>
                        <w:sz w:val="44"/>
                        <w:szCs w:val="44"/>
                      </w:rPr>
                      <w:t xml:space="preserve"> NOVADA DOME</w:t>
                    </w:r>
                  </w:p>
                  <w:p w14:paraId="701738AE" w14:textId="77777777" w:rsidR="007D2D83" w:rsidRPr="00132FFB" w:rsidRDefault="007D2D83" w:rsidP="00242BA7">
                    <w:pPr>
                      <w:rPr>
                        <w:szCs w:val="42"/>
                      </w:rPr>
                    </w:pPr>
                  </w:p>
                </w:txbxContent>
              </v:textbox>
            </v:shape>
          </w:pict>
        </mc:Fallback>
      </mc:AlternateContent>
    </w:r>
  </w:p>
  <w:p w14:paraId="76CCF980" w14:textId="77777777" w:rsidR="007D2D83" w:rsidRPr="00D148FF" w:rsidRDefault="007D2D83" w:rsidP="00242BA7">
    <w:pPr>
      <w:tabs>
        <w:tab w:val="center" w:pos="4320"/>
        <w:tab w:val="right" w:pos="8640"/>
      </w:tabs>
      <w:rPr>
        <w:sz w:val="24"/>
        <w:szCs w:val="24"/>
        <w:lang w:val="en-US" w:eastAsia="lv-LV"/>
      </w:rPr>
    </w:pPr>
  </w:p>
  <w:p w14:paraId="308CA906" w14:textId="77777777" w:rsidR="007D2D83" w:rsidRPr="00D148FF" w:rsidRDefault="007D2D83" w:rsidP="00242BA7">
    <w:pPr>
      <w:tabs>
        <w:tab w:val="center" w:pos="4320"/>
        <w:tab w:val="right" w:pos="8640"/>
      </w:tabs>
      <w:jc w:val="center"/>
      <w:rPr>
        <w:sz w:val="22"/>
        <w:szCs w:val="22"/>
        <w:lang w:val="en-US" w:eastAsia="lv-LV"/>
      </w:rPr>
    </w:pPr>
  </w:p>
  <w:p w14:paraId="1F3D1908" w14:textId="4DE184F7" w:rsidR="007D2D83" w:rsidRPr="00D148FF" w:rsidRDefault="007D2D83" w:rsidP="00242BA7">
    <w:pPr>
      <w:tabs>
        <w:tab w:val="center" w:pos="4320"/>
        <w:tab w:val="right" w:pos="8640"/>
      </w:tabs>
      <w:jc w:val="center"/>
      <w:rPr>
        <w:sz w:val="22"/>
        <w:szCs w:val="22"/>
        <w:lang w:val="en-US" w:eastAsia="lv-LV"/>
      </w:rPr>
    </w:pPr>
    <w:r w:rsidRPr="00D148FF">
      <w:rPr>
        <w:sz w:val="22"/>
        <w:szCs w:val="22"/>
        <w:lang w:val="en-US" w:eastAsia="lv-LV"/>
      </w:rPr>
      <w:t>PUBLISKO IEPIRKUMU KOMISIJA</w:t>
    </w:r>
    <w:r w:rsidR="003C1DC5" w:rsidRPr="00D148FF">
      <w:rPr>
        <w:noProof/>
        <w:sz w:val="22"/>
        <w:szCs w:val="22"/>
        <w:lang w:eastAsia="lv-LV"/>
      </w:rPr>
      <mc:AlternateContent>
        <mc:Choice Requires="wps">
          <w:drawing>
            <wp:anchor distT="0" distB="0" distL="114300" distR="114300" simplePos="0" relativeHeight="251662336" behindDoc="0" locked="0" layoutInCell="1" allowOverlap="1" wp14:anchorId="5FF05AB0" wp14:editId="37FF07F8">
              <wp:simplePos x="0" y="0"/>
              <wp:positionH relativeFrom="column">
                <wp:posOffset>-417830</wp:posOffset>
              </wp:positionH>
              <wp:positionV relativeFrom="paragraph">
                <wp:posOffset>255905</wp:posOffset>
              </wp:positionV>
              <wp:extent cx="6598920" cy="254635"/>
              <wp:effectExtent l="1270" t="0" r="635" b="3810"/>
              <wp:wrapNone/>
              <wp:docPr id="1332770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A6289" w14:textId="77777777" w:rsidR="007D2D83" w:rsidRDefault="007D2D83" w:rsidP="00242BA7">
                          <w:pPr>
                            <w:pBdr>
                              <w:top w:val="single" w:sz="4" w:space="1" w:color="auto"/>
                            </w:pBdr>
                            <w:jc w:val="center"/>
                            <w:rPr>
                              <w:i/>
                              <w:sz w:val="18"/>
                              <w:szCs w:val="16"/>
                            </w:rPr>
                          </w:pPr>
                          <w:r>
                            <w:rPr>
                              <w:i/>
                              <w:sz w:val="18"/>
                              <w:szCs w:val="16"/>
                            </w:rPr>
                            <w:t xml:space="preserve">Baznīcas ielā 1,Kuldīga,Kuldīgas novads, LV-3301 tālr.63322469 fakss 63341422 dome@kuldiga.lv </w:t>
                          </w:r>
                          <w:hyperlink r:id="rId2" w:history="1">
                            <w:r w:rsidRPr="00A740E0">
                              <w:rPr>
                                <w:rStyle w:val="Hyperlink"/>
                                <w:i/>
                                <w:sz w:val="18"/>
                                <w:szCs w:val="16"/>
                              </w:rPr>
                              <w:t>www.kuldigasnovads.lv</w:t>
                            </w:r>
                          </w:hyperlink>
                        </w:p>
                        <w:p w14:paraId="50C2EAC0" w14:textId="77777777" w:rsidR="007D2D83" w:rsidRDefault="007D2D83" w:rsidP="00242BA7">
                          <w:pPr>
                            <w:pBdr>
                              <w:top w:val="single" w:sz="4" w:space="1" w:color="auto"/>
                            </w:pBdr>
                            <w:jc w:val="center"/>
                            <w:rPr>
                              <w:i/>
                              <w:sz w:val="18"/>
                              <w:szCs w:val="16"/>
                            </w:rPr>
                          </w:pPr>
                        </w:p>
                        <w:p w14:paraId="60B49E71" w14:textId="77777777" w:rsidR="007D2D83" w:rsidRDefault="007D2D83" w:rsidP="00242BA7">
                          <w:pPr>
                            <w:pBdr>
                              <w:top w:val="single" w:sz="4" w:space="1" w:color="auto"/>
                            </w:pBdr>
                            <w:jc w:val="center"/>
                            <w:rPr>
                              <w:i/>
                              <w:sz w:val="18"/>
                              <w:szCs w:val="16"/>
                            </w:rPr>
                          </w:pPr>
                          <w:r>
                            <w:rPr>
                              <w:i/>
                              <w:sz w:val="18"/>
                              <w:szCs w:val="16"/>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05AB0" id="Text Box 2" o:spid="_x0000_s1027" type="#_x0000_t202" style="position:absolute;left:0;text-align:left;margin-left:-32.9pt;margin-top:20.15pt;width:519.6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" filled="f" stroked="f">
              <v:textbox>
                <w:txbxContent>
                  <w:p w14:paraId="2F9A6289" w14:textId="77777777" w:rsidR="007D2D83" w:rsidRDefault="007D2D83" w:rsidP="00242BA7">
                    <w:pPr>
                      <w:pBdr>
                        <w:top w:val="single" w:sz="4" w:space="1" w:color="auto"/>
                      </w:pBdr>
                      <w:jc w:val="center"/>
                      <w:rPr>
                        <w:i/>
                        <w:sz w:val="18"/>
                        <w:szCs w:val="16"/>
                      </w:rPr>
                    </w:pPr>
                    <w:r>
                      <w:rPr>
                        <w:i/>
                        <w:sz w:val="18"/>
                        <w:szCs w:val="16"/>
                      </w:rPr>
                      <w:t xml:space="preserve">Baznīcas ielā 1,Kuldīga,Kuldīgas novads, LV-3301 tālr.63322469 fakss 63341422 dome@kuldiga.lv </w:t>
                    </w:r>
                    <w:hyperlink r:id="rId3" w:history="1">
                      <w:r w:rsidRPr="00A740E0">
                        <w:rPr>
                          <w:rStyle w:val="Hyperlink"/>
                          <w:i/>
                          <w:sz w:val="18"/>
                          <w:szCs w:val="16"/>
                        </w:rPr>
                        <w:t>www.kuldigasnovads.lv</w:t>
                      </w:r>
                    </w:hyperlink>
                  </w:p>
                  <w:p w14:paraId="50C2EAC0" w14:textId="77777777" w:rsidR="007D2D83" w:rsidRDefault="007D2D83" w:rsidP="00242BA7">
                    <w:pPr>
                      <w:pBdr>
                        <w:top w:val="single" w:sz="4" w:space="1" w:color="auto"/>
                      </w:pBdr>
                      <w:jc w:val="center"/>
                      <w:rPr>
                        <w:i/>
                        <w:sz w:val="18"/>
                        <w:szCs w:val="16"/>
                      </w:rPr>
                    </w:pPr>
                  </w:p>
                  <w:p w14:paraId="60B49E71" w14:textId="77777777" w:rsidR="007D2D83" w:rsidRDefault="007D2D83" w:rsidP="00242BA7">
                    <w:pPr>
                      <w:pBdr>
                        <w:top w:val="single" w:sz="4" w:space="1" w:color="auto"/>
                      </w:pBdr>
                      <w:jc w:val="center"/>
                      <w:rPr>
                        <w:i/>
                        <w:sz w:val="18"/>
                        <w:szCs w:val="16"/>
                      </w:rPr>
                    </w:pPr>
                    <w:r>
                      <w:rPr>
                        <w:i/>
                        <w:sz w:val="18"/>
                        <w:szCs w:val="16"/>
                      </w:rPr>
                      <w:t>.lv</w:t>
                    </w:r>
                  </w:p>
                </w:txbxContent>
              </v:textbox>
            </v:shape>
          </w:pict>
        </mc:Fallback>
      </mc:AlternateContent>
    </w:r>
  </w:p>
  <w:p w14:paraId="05F6172F" w14:textId="77777777" w:rsidR="007D2D83" w:rsidRPr="00D148FF" w:rsidRDefault="007D2D83" w:rsidP="00242BA7">
    <w:pPr>
      <w:tabs>
        <w:tab w:val="center" w:pos="4320"/>
        <w:tab w:val="right" w:pos="8640"/>
      </w:tabs>
      <w:jc w:val="center"/>
      <w:rPr>
        <w:sz w:val="24"/>
        <w:szCs w:val="24"/>
        <w:lang w:val="en-US" w:eastAsia="lv-LV"/>
      </w:rPr>
    </w:pPr>
  </w:p>
  <w:p w14:paraId="4CE4204B" w14:textId="77777777" w:rsidR="007D2D83" w:rsidRPr="00D148FF" w:rsidRDefault="007D2D83" w:rsidP="00242BA7">
    <w:pPr>
      <w:tabs>
        <w:tab w:val="center" w:pos="4320"/>
        <w:tab w:val="right" w:pos="8640"/>
      </w:tabs>
      <w:rPr>
        <w:sz w:val="24"/>
        <w:szCs w:val="24"/>
        <w:lang w:val="en-US"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57511"/>
    <w:multiLevelType w:val="hybridMultilevel"/>
    <w:tmpl w:val="A9B88D4A"/>
    <w:lvl w:ilvl="0" w:tplc="AA04F780">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B0D52"/>
    <w:multiLevelType w:val="hybridMultilevel"/>
    <w:tmpl w:val="640A2E56"/>
    <w:lvl w:ilvl="0" w:tplc="1D22F05E">
      <w:start w:val="1"/>
      <w:numFmt w:val="decimal"/>
      <w:lvlText w:val="%1."/>
      <w:lvlJc w:val="left"/>
      <w:pPr>
        <w:ind w:left="72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912CBA"/>
    <w:multiLevelType w:val="hybridMultilevel"/>
    <w:tmpl w:val="ADC4DD0A"/>
    <w:lvl w:ilvl="0" w:tplc="FE468B84">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FC1DE9"/>
    <w:multiLevelType w:val="hybridMultilevel"/>
    <w:tmpl w:val="1E643E02"/>
    <w:lvl w:ilvl="0" w:tplc="3C421CF4">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280ECD"/>
    <w:multiLevelType w:val="multilevel"/>
    <w:tmpl w:val="64DE39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E6686C"/>
    <w:multiLevelType w:val="hybridMultilevel"/>
    <w:tmpl w:val="F8A21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9239F"/>
    <w:multiLevelType w:val="hybridMultilevel"/>
    <w:tmpl w:val="1958CBAA"/>
    <w:lvl w:ilvl="0" w:tplc="C7E2A770">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9A506B"/>
    <w:multiLevelType w:val="multilevel"/>
    <w:tmpl w:val="DFE4B4E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A9262C0"/>
    <w:multiLevelType w:val="hybridMultilevel"/>
    <w:tmpl w:val="24B22BFC"/>
    <w:lvl w:ilvl="0" w:tplc="D2605130">
      <w:start w:val="2024"/>
      <w:numFmt w:val="bullet"/>
      <w:lvlText w:val="-"/>
      <w:lvlJc w:val="left"/>
      <w:pPr>
        <w:ind w:left="720" w:hanging="360"/>
      </w:pPr>
      <w:rPr>
        <w:rFonts w:ascii="Times New Roman" w:eastAsia="SimSu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1E11A85"/>
    <w:multiLevelType w:val="multilevel"/>
    <w:tmpl w:val="09845DF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50523C"/>
    <w:multiLevelType w:val="hybridMultilevel"/>
    <w:tmpl w:val="A9CA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B3B95"/>
    <w:multiLevelType w:val="hybridMultilevel"/>
    <w:tmpl w:val="1E88C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45009900">
    <w:abstractNumId w:val="6"/>
  </w:num>
  <w:num w:numId="2" w16cid:durableId="1313096277">
    <w:abstractNumId w:val="2"/>
  </w:num>
  <w:num w:numId="3" w16cid:durableId="150948031">
    <w:abstractNumId w:val="3"/>
  </w:num>
  <w:num w:numId="4" w16cid:durableId="199711869">
    <w:abstractNumId w:val="1"/>
  </w:num>
  <w:num w:numId="5" w16cid:durableId="661157921">
    <w:abstractNumId w:val="8"/>
  </w:num>
  <w:num w:numId="6" w16cid:durableId="2092462952">
    <w:abstractNumId w:val="9"/>
  </w:num>
  <w:num w:numId="7" w16cid:durableId="744688508">
    <w:abstractNumId w:val="9"/>
    <w:lvlOverride w:ilvl="0">
      <w:startOverride w:val="1"/>
    </w:lvlOverride>
  </w:num>
  <w:num w:numId="8" w16cid:durableId="353311241">
    <w:abstractNumId w:val="4"/>
  </w:num>
  <w:num w:numId="9" w16cid:durableId="14591052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9981501">
    <w:abstractNumId w:val="10"/>
  </w:num>
  <w:num w:numId="11" w16cid:durableId="1055393090">
    <w:abstractNumId w:val="0"/>
  </w:num>
  <w:num w:numId="12" w16cid:durableId="1778791483">
    <w:abstractNumId w:val="5"/>
  </w:num>
  <w:num w:numId="13" w16cid:durableId="1569339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43"/>
    <w:rsid w:val="0002597B"/>
    <w:rsid w:val="00034ED2"/>
    <w:rsid w:val="00052656"/>
    <w:rsid w:val="00072406"/>
    <w:rsid w:val="0008142F"/>
    <w:rsid w:val="000838D4"/>
    <w:rsid w:val="00092673"/>
    <w:rsid w:val="0009565B"/>
    <w:rsid w:val="000C1043"/>
    <w:rsid w:val="000C19C6"/>
    <w:rsid w:val="000C5E0F"/>
    <w:rsid w:val="000D48BA"/>
    <w:rsid w:val="000D7D10"/>
    <w:rsid w:val="000E1B8B"/>
    <w:rsid w:val="000F7073"/>
    <w:rsid w:val="001309C2"/>
    <w:rsid w:val="0013238B"/>
    <w:rsid w:val="00160E91"/>
    <w:rsid w:val="00176409"/>
    <w:rsid w:val="001A7C7B"/>
    <w:rsid w:val="001D0928"/>
    <w:rsid w:val="001D25A5"/>
    <w:rsid w:val="001E46A4"/>
    <w:rsid w:val="00207FE8"/>
    <w:rsid w:val="002153E5"/>
    <w:rsid w:val="00231F35"/>
    <w:rsid w:val="00240622"/>
    <w:rsid w:val="002A2260"/>
    <w:rsid w:val="002D257E"/>
    <w:rsid w:val="002F175E"/>
    <w:rsid w:val="003074D2"/>
    <w:rsid w:val="0031201C"/>
    <w:rsid w:val="00322245"/>
    <w:rsid w:val="003B003A"/>
    <w:rsid w:val="003B6927"/>
    <w:rsid w:val="003C1DC5"/>
    <w:rsid w:val="003E7A6D"/>
    <w:rsid w:val="00400354"/>
    <w:rsid w:val="00420AA7"/>
    <w:rsid w:val="004232A7"/>
    <w:rsid w:val="00436F4E"/>
    <w:rsid w:val="00476C4B"/>
    <w:rsid w:val="0049457A"/>
    <w:rsid w:val="004A1F80"/>
    <w:rsid w:val="004A2B44"/>
    <w:rsid w:val="004C4522"/>
    <w:rsid w:val="00517041"/>
    <w:rsid w:val="00537B39"/>
    <w:rsid w:val="00550167"/>
    <w:rsid w:val="00551FB2"/>
    <w:rsid w:val="00554A77"/>
    <w:rsid w:val="00555867"/>
    <w:rsid w:val="00582F3E"/>
    <w:rsid w:val="005B7F8F"/>
    <w:rsid w:val="005C43C5"/>
    <w:rsid w:val="005C4740"/>
    <w:rsid w:val="005F04F3"/>
    <w:rsid w:val="0060573C"/>
    <w:rsid w:val="00612384"/>
    <w:rsid w:val="00664D1B"/>
    <w:rsid w:val="00695AB5"/>
    <w:rsid w:val="006C1B95"/>
    <w:rsid w:val="007136D9"/>
    <w:rsid w:val="00725E60"/>
    <w:rsid w:val="00776CF7"/>
    <w:rsid w:val="0078098C"/>
    <w:rsid w:val="007840B8"/>
    <w:rsid w:val="007A1816"/>
    <w:rsid w:val="007A44C9"/>
    <w:rsid w:val="007C3399"/>
    <w:rsid w:val="007D2D83"/>
    <w:rsid w:val="007D5196"/>
    <w:rsid w:val="00807728"/>
    <w:rsid w:val="00812B69"/>
    <w:rsid w:val="00814461"/>
    <w:rsid w:val="00823639"/>
    <w:rsid w:val="00854C71"/>
    <w:rsid w:val="00865DB5"/>
    <w:rsid w:val="008765A2"/>
    <w:rsid w:val="008A263C"/>
    <w:rsid w:val="008A33EB"/>
    <w:rsid w:val="008B6FAA"/>
    <w:rsid w:val="00985EB8"/>
    <w:rsid w:val="009A6E6C"/>
    <w:rsid w:val="009B4383"/>
    <w:rsid w:val="009C104F"/>
    <w:rsid w:val="009E07FB"/>
    <w:rsid w:val="009F6A96"/>
    <w:rsid w:val="00A13D0B"/>
    <w:rsid w:val="00A82B9D"/>
    <w:rsid w:val="00AA7198"/>
    <w:rsid w:val="00AE4469"/>
    <w:rsid w:val="00B473E8"/>
    <w:rsid w:val="00B50CFE"/>
    <w:rsid w:val="00B67184"/>
    <w:rsid w:val="00BA2AE3"/>
    <w:rsid w:val="00BB5ADF"/>
    <w:rsid w:val="00BD1DAC"/>
    <w:rsid w:val="00BF358F"/>
    <w:rsid w:val="00C174EA"/>
    <w:rsid w:val="00C462EB"/>
    <w:rsid w:val="00C5059F"/>
    <w:rsid w:val="00C60B4B"/>
    <w:rsid w:val="00C74191"/>
    <w:rsid w:val="00C84BBB"/>
    <w:rsid w:val="00C939FB"/>
    <w:rsid w:val="00CA7D6C"/>
    <w:rsid w:val="00CB0132"/>
    <w:rsid w:val="00CB21A9"/>
    <w:rsid w:val="00D61C0C"/>
    <w:rsid w:val="00D835B9"/>
    <w:rsid w:val="00DA22F4"/>
    <w:rsid w:val="00DA31FD"/>
    <w:rsid w:val="00DB41B1"/>
    <w:rsid w:val="00DD6FD8"/>
    <w:rsid w:val="00DF18F2"/>
    <w:rsid w:val="00DF48F6"/>
    <w:rsid w:val="00EA2B1A"/>
    <w:rsid w:val="00EA58D5"/>
    <w:rsid w:val="00EB44AD"/>
    <w:rsid w:val="00EE3042"/>
    <w:rsid w:val="00F1376D"/>
    <w:rsid w:val="00F72428"/>
    <w:rsid w:val="00FA1395"/>
    <w:rsid w:val="00FA31F8"/>
    <w:rsid w:val="00FB191B"/>
    <w:rsid w:val="00FB2819"/>
    <w:rsid w:val="00FE02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5AEA9BA"/>
  <w15:docId w15:val="{9AEE52FF-B73F-4B39-8F5C-EEF592A4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C5"/>
    <w:pPr>
      <w:spacing w:after="0" w:line="240" w:lineRule="auto"/>
    </w:pPr>
    <w:rPr>
      <w:rFonts w:ascii="Times New Roman" w:eastAsia="SimSun" w:hAnsi="Times New Roman" w:cs="Times New Roman"/>
      <w:kern w:val="0"/>
      <w:sz w:val="26"/>
      <w:szCs w:val="28"/>
      <w14:ligatures w14:val="none"/>
    </w:rPr>
  </w:style>
  <w:style w:type="paragraph" w:styleId="Heading2">
    <w:name w:val="heading 2"/>
    <w:basedOn w:val="Normal"/>
    <w:next w:val="Normal"/>
    <w:link w:val="Heading2Char"/>
    <w:qFormat/>
    <w:rsid w:val="003C1DC5"/>
    <w:pPr>
      <w:keepNext/>
      <w:jc w:val="center"/>
      <w:outlineLvl w:val="1"/>
    </w:pPr>
    <w:rPr>
      <w:spacing w:val="100"/>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1DC5"/>
    <w:rPr>
      <w:rFonts w:ascii="Times New Roman" w:eastAsia="SimSun" w:hAnsi="Times New Roman" w:cs="Times New Roman"/>
      <w:spacing w:val="100"/>
      <w:kern w:val="0"/>
      <w:sz w:val="40"/>
      <w:szCs w:val="40"/>
      <w14:ligatures w14:val="none"/>
    </w:rPr>
  </w:style>
  <w:style w:type="paragraph" w:styleId="Header">
    <w:name w:val="header"/>
    <w:basedOn w:val="Normal"/>
    <w:link w:val="HeaderChar"/>
    <w:rsid w:val="003C1DC5"/>
    <w:pPr>
      <w:tabs>
        <w:tab w:val="center" w:pos="4320"/>
        <w:tab w:val="right" w:pos="8640"/>
      </w:tabs>
    </w:pPr>
  </w:style>
  <w:style w:type="character" w:customStyle="1" w:styleId="HeaderChar">
    <w:name w:val="Header Char"/>
    <w:basedOn w:val="DefaultParagraphFont"/>
    <w:link w:val="Header"/>
    <w:rsid w:val="003C1DC5"/>
    <w:rPr>
      <w:rFonts w:ascii="Times New Roman" w:eastAsia="SimSun" w:hAnsi="Times New Roman" w:cs="Times New Roman"/>
      <w:kern w:val="0"/>
      <w:sz w:val="26"/>
      <w:szCs w:val="28"/>
      <w14:ligatures w14:val="none"/>
    </w:rPr>
  </w:style>
  <w:style w:type="paragraph" w:styleId="Footer">
    <w:name w:val="footer"/>
    <w:basedOn w:val="Normal"/>
    <w:link w:val="FooterChar"/>
    <w:rsid w:val="003C1DC5"/>
    <w:pPr>
      <w:tabs>
        <w:tab w:val="center" w:pos="4320"/>
        <w:tab w:val="right" w:pos="8640"/>
      </w:tabs>
    </w:pPr>
  </w:style>
  <w:style w:type="character" w:customStyle="1" w:styleId="FooterChar">
    <w:name w:val="Footer Char"/>
    <w:basedOn w:val="DefaultParagraphFont"/>
    <w:link w:val="Footer"/>
    <w:rsid w:val="003C1DC5"/>
    <w:rPr>
      <w:rFonts w:ascii="Times New Roman" w:eastAsia="SimSun" w:hAnsi="Times New Roman" w:cs="Times New Roman"/>
      <w:kern w:val="0"/>
      <w:sz w:val="26"/>
      <w:szCs w:val="28"/>
      <w14:ligatures w14:val="none"/>
    </w:rPr>
  </w:style>
  <w:style w:type="character" w:styleId="Hyperlink">
    <w:name w:val="Hyperlink"/>
    <w:uiPriority w:val="99"/>
    <w:rsid w:val="003C1DC5"/>
    <w:rPr>
      <w:color w:val="0000FF"/>
      <w:u w:val="singl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Footnote,Fußnote,Fußnote Char Ch"/>
    <w:basedOn w:val="Normal"/>
    <w:link w:val="FootnoteTextChar"/>
    <w:uiPriority w:val="99"/>
    <w:unhideWhenUsed/>
    <w:qFormat/>
    <w:rsid w:val="003C1DC5"/>
    <w:rPr>
      <w:sz w:val="20"/>
      <w:szCs w:val="20"/>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Footnote Char"/>
    <w:basedOn w:val="DefaultParagraphFont"/>
    <w:link w:val="FootnoteText"/>
    <w:uiPriority w:val="99"/>
    <w:qFormat/>
    <w:rsid w:val="003C1DC5"/>
    <w:rPr>
      <w:rFonts w:ascii="Times New Roman" w:eastAsia="SimSun" w:hAnsi="Times New Roman" w:cs="Times New Roman"/>
      <w:kern w:val="0"/>
      <w:sz w:val="20"/>
      <w:szCs w:val="20"/>
      <w14:ligatures w14:val="none"/>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unhideWhenUsed/>
    <w:qFormat/>
    <w:rsid w:val="003C1DC5"/>
    <w:rPr>
      <w:vertAlign w:val="superscript"/>
    </w:rPr>
  </w:style>
  <w:style w:type="paragraph" w:customStyle="1" w:styleId="CharCharCharChar">
    <w:name w:val="Char Char Char Char"/>
    <w:aliases w:val="Char2"/>
    <w:basedOn w:val="Normal"/>
    <w:next w:val="Normal"/>
    <w:link w:val="FootnoteReference"/>
    <w:uiPriority w:val="99"/>
    <w:qFormat/>
    <w:rsid w:val="003C1DC5"/>
    <w:pPr>
      <w:spacing w:after="160" w:line="240" w:lineRule="exact"/>
      <w:jc w:val="both"/>
    </w:pPr>
    <w:rPr>
      <w:rFonts w:asciiTheme="minorHAnsi" w:eastAsiaTheme="minorHAnsi" w:hAnsiTheme="minorHAnsi" w:cstheme="minorBidi"/>
      <w:kern w:val="2"/>
      <w:sz w:val="22"/>
      <w:szCs w:val="22"/>
      <w:vertAlign w:val="superscript"/>
      <w14:ligatures w14:val="standardContextual"/>
    </w:rPr>
  </w:style>
  <w:style w:type="paragraph" w:styleId="ListParagraph">
    <w:name w:val="List Paragraph"/>
    <w:basedOn w:val="Normal"/>
    <w:uiPriority w:val="34"/>
    <w:qFormat/>
    <w:rsid w:val="009A6E6C"/>
    <w:pPr>
      <w:ind w:left="720"/>
      <w:contextualSpacing/>
    </w:pPr>
  </w:style>
  <w:style w:type="character" w:styleId="UnresolvedMention">
    <w:name w:val="Unresolved Mention"/>
    <w:basedOn w:val="DefaultParagraphFont"/>
    <w:uiPriority w:val="99"/>
    <w:semiHidden/>
    <w:unhideWhenUsed/>
    <w:rsid w:val="00EB44AD"/>
    <w:rPr>
      <w:color w:val="605E5C"/>
      <w:shd w:val="clear" w:color="auto" w:fill="E1DFDD"/>
    </w:rPr>
  </w:style>
  <w:style w:type="table" w:styleId="TableGrid">
    <w:name w:val="Table Grid"/>
    <w:basedOn w:val="TableNormal"/>
    <w:uiPriority w:val="39"/>
    <w:rsid w:val="009C1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C104F"/>
    <w:pPr>
      <w:spacing w:after="120"/>
    </w:pPr>
    <w:rPr>
      <w:rFonts w:asciiTheme="minorHAnsi" w:eastAsiaTheme="minorHAnsi" w:hAnsiTheme="minorHAnsi" w:cstheme="minorBidi"/>
      <w:sz w:val="24"/>
      <w:szCs w:val="24"/>
      <w:lang w:val="en-GB"/>
    </w:rPr>
  </w:style>
  <w:style w:type="character" w:customStyle="1" w:styleId="BodyTextChar">
    <w:name w:val="Body Text Char"/>
    <w:basedOn w:val="DefaultParagraphFont"/>
    <w:link w:val="BodyText"/>
    <w:uiPriority w:val="99"/>
    <w:rsid w:val="009C104F"/>
    <w:rPr>
      <w:kern w:val="0"/>
      <w:sz w:val="24"/>
      <w:szCs w:val="24"/>
      <w:lang w:val="en-GB"/>
      <w14:ligatures w14:val="none"/>
    </w:rPr>
  </w:style>
  <w:style w:type="character" w:styleId="FollowedHyperlink">
    <w:name w:val="FollowedHyperlink"/>
    <w:basedOn w:val="DefaultParagraphFont"/>
    <w:uiPriority w:val="99"/>
    <w:semiHidden/>
    <w:unhideWhenUsed/>
    <w:rsid w:val="00814461"/>
    <w:rPr>
      <w:color w:val="954F72" w:themeColor="followedHyperlink"/>
      <w:u w:val="single"/>
    </w:rPr>
  </w:style>
  <w:style w:type="paragraph" w:customStyle="1" w:styleId="Default">
    <w:name w:val="Default"/>
    <w:rsid w:val="00EA2B1A"/>
    <w:pPr>
      <w:autoSpaceDE w:val="0"/>
      <w:autoSpaceDN w:val="0"/>
      <w:adjustRightInd w:val="0"/>
      <w:spacing w:after="0" w:line="240" w:lineRule="auto"/>
    </w:pPr>
    <w:rPr>
      <w:rFonts w:ascii="Arial" w:eastAsia="Times New Roman" w:hAnsi="Arial" w:cs="Arial"/>
      <w:color w:val="000000"/>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142254">
      <w:bodyDiv w:val="1"/>
      <w:marLeft w:val="0"/>
      <w:marRight w:val="0"/>
      <w:marTop w:val="0"/>
      <w:marBottom w:val="0"/>
      <w:divBdr>
        <w:top w:val="none" w:sz="0" w:space="0" w:color="auto"/>
        <w:left w:val="none" w:sz="0" w:space="0" w:color="auto"/>
        <w:bottom w:val="none" w:sz="0" w:space="0" w:color="auto"/>
        <w:right w:val="none" w:sz="0" w:space="0" w:color="auto"/>
      </w:divBdr>
    </w:div>
    <w:div w:id="582572593">
      <w:bodyDiv w:val="1"/>
      <w:marLeft w:val="0"/>
      <w:marRight w:val="0"/>
      <w:marTop w:val="0"/>
      <w:marBottom w:val="0"/>
      <w:divBdr>
        <w:top w:val="none" w:sz="0" w:space="0" w:color="auto"/>
        <w:left w:val="none" w:sz="0" w:space="0" w:color="auto"/>
        <w:bottom w:val="none" w:sz="0" w:space="0" w:color="auto"/>
        <w:right w:val="none" w:sz="0" w:space="0" w:color="auto"/>
      </w:divBdr>
    </w:div>
    <w:div w:id="900754250">
      <w:bodyDiv w:val="1"/>
      <w:marLeft w:val="0"/>
      <w:marRight w:val="0"/>
      <w:marTop w:val="0"/>
      <w:marBottom w:val="0"/>
      <w:divBdr>
        <w:top w:val="none" w:sz="0" w:space="0" w:color="auto"/>
        <w:left w:val="none" w:sz="0" w:space="0" w:color="auto"/>
        <w:bottom w:val="none" w:sz="0" w:space="0" w:color="auto"/>
        <w:right w:val="none" w:sz="0" w:space="0" w:color="auto"/>
      </w:divBdr>
    </w:div>
    <w:div w:id="1103888769">
      <w:bodyDiv w:val="1"/>
      <w:marLeft w:val="0"/>
      <w:marRight w:val="0"/>
      <w:marTop w:val="0"/>
      <w:marBottom w:val="0"/>
      <w:divBdr>
        <w:top w:val="none" w:sz="0" w:space="0" w:color="auto"/>
        <w:left w:val="none" w:sz="0" w:space="0" w:color="auto"/>
        <w:bottom w:val="none" w:sz="0" w:space="0" w:color="auto"/>
        <w:right w:val="none" w:sz="0" w:space="0" w:color="auto"/>
      </w:divBdr>
    </w:div>
    <w:div w:id="1113137838">
      <w:bodyDiv w:val="1"/>
      <w:marLeft w:val="0"/>
      <w:marRight w:val="0"/>
      <w:marTop w:val="0"/>
      <w:marBottom w:val="0"/>
      <w:divBdr>
        <w:top w:val="none" w:sz="0" w:space="0" w:color="auto"/>
        <w:left w:val="none" w:sz="0" w:space="0" w:color="auto"/>
        <w:bottom w:val="none" w:sz="0" w:space="0" w:color="auto"/>
        <w:right w:val="none" w:sz="0" w:space="0" w:color="auto"/>
      </w:divBdr>
    </w:div>
    <w:div w:id="1494177237">
      <w:bodyDiv w:val="1"/>
      <w:marLeft w:val="0"/>
      <w:marRight w:val="0"/>
      <w:marTop w:val="0"/>
      <w:marBottom w:val="0"/>
      <w:divBdr>
        <w:top w:val="none" w:sz="0" w:space="0" w:color="auto"/>
        <w:left w:val="none" w:sz="0" w:space="0" w:color="auto"/>
        <w:bottom w:val="none" w:sz="0" w:space="0" w:color="auto"/>
        <w:right w:val="none" w:sz="0" w:space="0" w:color="auto"/>
      </w:divBdr>
    </w:div>
    <w:div w:id="1628244431">
      <w:bodyDiv w:val="1"/>
      <w:marLeft w:val="0"/>
      <w:marRight w:val="0"/>
      <w:marTop w:val="0"/>
      <w:marBottom w:val="0"/>
      <w:divBdr>
        <w:top w:val="none" w:sz="0" w:space="0" w:color="auto"/>
        <w:left w:val="none" w:sz="0" w:space="0" w:color="auto"/>
        <w:bottom w:val="none" w:sz="0" w:space="0" w:color="auto"/>
        <w:right w:val="none" w:sz="0" w:space="0" w:color="auto"/>
      </w:divBdr>
    </w:div>
    <w:div w:id="1849950688">
      <w:bodyDiv w:val="1"/>
      <w:marLeft w:val="0"/>
      <w:marRight w:val="0"/>
      <w:marTop w:val="0"/>
      <w:marBottom w:val="0"/>
      <w:divBdr>
        <w:top w:val="none" w:sz="0" w:space="0" w:color="auto"/>
        <w:left w:val="none" w:sz="0" w:space="0" w:color="auto"/>
        <w:bottom w:val="none" w:sz="0" w:space="0" w:color="auto"/>
        <w:right w:val="none" w:sz="0" w:space="0" w:color="auto"/>
      </w:divBdr>
    </w:div>
    <w:div w:id="189762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is.gov.lv/EKEIS/Supplier/Procurement/119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kuldigasnovads.lv" TargetMode="External"/><Relationship Id="rId2" Type="http://schemas.openxmlformats.org/officeDocument/2006/relationships/hyperlink" Target="http://www.kuldigasnovad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3806</Words>
  <Characters>2170</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Aivis Tjagunovics</dc:creator>
  <cp:keywords/>
  <dc:description/>
  <cp:lastModifiedBy>Aivis Tjagunovics</cp:lastModifiedBy>
  <cp:revision>7</cp:revision>
  <dcterms:created xsi:type="dcterms:W3CDTF">2024-11-27T06:28:00Z</dcterms:created>
  <dcterms:modified xsi:type="dcterms:W3CDTF">2024-11-27T12:38:00Z</dcterms:modified>
</cp:coreProperties>
</file>