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8C2D41" w:rsidP="004C1D78" w14:paraId="47CC6B99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58.05pt;mso-position-horizontal-relative:char;mso-position-vertical-relative:line">
            <v:imagedata r:id="rId5" o:title=""/>
          </v:shape>
        </w:pict>
      </w:r>
      <w:r w:rsidRPr="008C2D41" w:rsidR="00EE69D8">
        <w:rPr>
          <w:lang w:val="lv-LV"/>
        </w:rPr>
        <w:t xml:space="preserve"> </w:t>
      </w:r>
    </w:p>
    <w:p w:rsidR="00D26FB3" w:rsidRPr="008C2D41" w:rsidP="004C1D78" w14:paraId="0848B782" w14:textId="77777777">
      <w:pPr>
        <w:jc w:val="center"/>
        <w:rPr>
          <w:sz w:val="6"/>
          <w:szCs w:val="6"/>
          <w:lang w:val="lv-LV"/>
        </w:rPr>
      </w:pPr>
    </w:p>
    <w:p w:rsidR="00FD5B43" w:rsidRPr="00FD60F3" w:rsidP="004C1D78" w14:paraId="68B4B16B" w14:textId="77777777">
      <w:pPr>
        <w:jc w:val="center"/>
        <w:rPr>
          <w:caps/>
          <w:sz w:val="36"/>
          <w:szCs w:val="36"/>
          <w:lang w:val="lv-LV"/>
        </w:rPr>
      </w:pPr>
      <w:r w:rsidRPr="00FD60F3">
        <w:rPr>
          <w:caps/>
          <w:sz w:val="36"/>
          <w:szCs w:val="36"/>
          <w:lang w:val="lv-LV"/>
        </w:rPr>
        <w:fldChar w:fldCharType="begin"/>
      </w:r>
      <w:r w:rsidRPr="00FD60F3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FD60F3">
        <w:rPr>
          <w:caps/>
          <w:sz w:val="36"/>
          <w:szCs w:val="36"/>
          <w:lang w:val="lv-LV"/>
        </w:rPr>
        <w:fldChar w:fldCharType="separate"/>
      </w:r>
      <w:r w:rsidRPr="00FD60F3">
        <w:rPr>
          <w:caps/>
          <w:sz w:val="36"/>
          <w:szCs w:val="36"/>
          <w:lang w:val="lv-LV"/>
        </w:rPr>
        <w:t>Rīgas Futbola skola</w:t>
      </w:r>
      <w:r w:rsidRPr="00FD60F3">
        <w:rPr>
          <w:caps/>
          <w:sz w:val="36"/>
          <w:szCs w:val="36"/>
          <w:lang w:val="lv-LV"/>
        </w:rPr>
        <w:fldChar w:fldCharType="end"/>
      </w:r>
    </w:p>
    <w:p w:rsidR="00D26FB3" w:rsidRPr="008C2D41" w:rsidP="004C1D78" w14:paraId="770742BD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  <w:r w:rsidRPr="008C2D41">
        <w:rPr>
          <w:sz w:val="22"/>
          <w:szCs w:val="22"/>
          <w:lang w:val="lv-LV"/>
        </w:rPr>
        <w:t>Uzvaras bulvāris 18, Rīga, LV-1048, tālrunis 67474001, 67474010, e</w:t>
      </w:r>
      <w:r w:rsidRPr="008C2D41">
        <w:rPr>
          <w:sz w:val="22"/>
          <w:szCs w:val="22"/>
          <w:lang w:val="lv-LV"/>
        </w:rPr>
        <w:noBreakHyphen/>
        <w:t>pasts futbolaskola@riga.lv</w:t>
      </w:r>
    </w:p>
    <w:p w:rsidR="00351AC6" w:rsidP="004C1D78" w14:paraId="6C9849F0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bookmarkStart w:id="0" w:name="_Hlk90987239"/>
    </w:p>
    <w:p w:rsidR="00D26FB3" w:rsidRPr="00DA1F97" w:rsidP="007B1CAE" w14:paraId="29597101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DA1F97">
        <w:rPr>
          <w:sz w:val="26"/>
          <w:szCs w:val="26"/>
          <w:lang w:val="lv-LV"/>
        </w:rPr>
        <w:t>Rīgā</w:t>
      </w:r>
    </w:p>
    <w:p w:rsidR="0060090C" w:rsidRPr="00DA1F97" w:rsidP="004C1D78" w14:paraId="6750EDBB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5637" w:type="dxa"/>
        <w:tblLayout w:type="fixed"/>
        <w:tblLook w:val="0000"/>
      </w:tblPr>
      <w:tblGrid>
        <w:gridCol w:w="534"/>
        <w:gridCol w:w="2268"/>
        <w:gridCol w:w="567"/>
        <w:gridCol w:w="2268"/>
      </w:tblGrid>
      <w:tr w14:paraId="6EA99970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26BD0BE2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3D7D94A0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 w:rsidR="004037C0">
              <w:rPr>
                <w:sz w:val="26"/>
                <w:szCs w:val="26"/>
                <w:lang w:val="lv-LV"/>
              </w:rPr>
              <w:t>05.03.2025.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567" w:type="dxa"/>
          </w:tcPr>
          <w:p w:rsidR="001D6253" w:rsidRPr="00DA1F97" w:rsidP="00DE2CFC" w14:paraId="15BB887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566EAB2C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RFS-25-29-nd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14:paraId="509EC4AE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7B70517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1EF19B0C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567" w:type="dxa"/>
          </w:tcPr>
          <w:p w:rsidR="001D6253" w:rsidRPr="00DA1F97" w:rsidP="00DE2CFC" w14:paraId="35D5CEFC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6253" w:rsidRPr="00DA1F97" w:rsidP="00DE2CFC" w14:paraId="66727927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  <w:tr w14:paraId="74B6D291" w14:textId="77777777" w:rsidTr="00DA1F97">
        <w:tblPrEx>
          <w:tblW w:w="5637" w:type="dxa"/>
          <w:tblLayout w:type="fixed"/>
          <w:tblLook w:val="0000"/>
        </w:tblPrEx>
        <w:tc>
          <w:tcPr>
            <w:tcW w:w="534" w:type="dxa"/>
          </w:tcPr>
          <w:p w:rsidR="001D6253" w:rsidRPr="00DA1F97" w:rsidP="00DE2CFC" w14:paraId="75EC162F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Uz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7D1BF425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28.02.2025</w:t>
            </w:r>
          </w:p>
        </w:tc>
        <w:tc>
          <w:tcPr>
            <w:tcW w:w="567" w:type="dxa"/>
          </w:tcPr>
          <w:p w:rsidR="001D6253" w:rsidRPr="00DA1F97" w:rsidP="00DE2CFC" w14:paraId="34721F03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253" w:rsidRPr="00DA1F97" w:rsidP="00DE2CFC" w14:paraId="191C7B67" w14:textId="52B75FAB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</w:p>
        </w:tc>
      </w:tr>
    </w:tbl>
    <w:p w:rsidR="00D26FB3" w:rsidP="004C1D78" w14:paraId="24B8EEB4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5070" w:type="dxa"/>
        <w:tblLook w:val="04A0"/>
      </w:tblPr>
      <w:tblGrid>
        <w:gridCol w:w="4644"/>
      </w:tblGrid>
      <w:tr w14:paraId="4B2AEEC5" w14:textId="77777777" w:rsidTr="00A17D1B">
        <w:tblPrEx>
          <w:tblW w:w="0" w:type="auto"/>
          <w:tblInd w:w="5070" w:type="dxa"/>
          <w:tblLook w:val="04A0"/>
        </w:tblPrEx>
        <w:tc>
          <w:tcPr>
            <w:tcW w:w="4644" w:type="dxa"/>
            <w:shd w:val="clear" w:color="auto" w:fill="auto"/>
          </w:tcPr>
          <w:p w:rsidR="00DA1F97" w:rsidRPr="00710CD4" w:rsidP="00A17D1B" w14:paraId="65AA23C3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710CD4">
              <w:rPr>
                <w:sz w:val="26"/>
                <w:szCs w:val="26"/>
              </w:rPr>
              <w:t>DEPORT SIA</w:t>
            </w:r>
            <w:r w:rsidRPr="00710CD4">
              <w:rPr>
                <w:sz w:val="26"/>
                <w:szCs w:val="26"/>
              </w:rPr>
              <w:br/>
              <w:t>info@joma-sport.lv</w:t>
            </w:r>
          </w:p>
        </w:tc>
      </w:tr>
    </w:tbl>
    <w:p w:rsidR="00DA1F97" w:rsidP="00DA1F97" w14:paraId="4916C9DE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14:paraId="7E8C305D" w14:textId="77777777" w:rsidTr="00A17D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F97" w:rsidRPr="00A17D1B" w:rsidP="00DA1F97" w14:paraId="0A4B1C5F" w14:textId="77777777">
            <w:pPr>
              <w:rPr>
                <w:sz w:val="26"/>
                <w:szCs w:val="26"/>
                <w:lang w:val="lv-LV"/>
              </w:rPr>
            </w:pPr>
            <w:r w:rsidRPr="00A17D1B">
              <w:rPr>
                <w:sz w:val="26"/>
                <w:szCs w:val="26"/>
                <w:lang w:val="lv-LV"/>
              </w:rPr>
              <w:fldChar w:fldCharType="begin"/>
            </w:r>
            <w:r w:rsidRPr="00A17D1B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17D1B">
              <w:rPr>
                <w:sz w:val="26"/>
                <w:szCs w:val="26"/>
                <w:lang w:val="lv-LV"/>
              </w:rPr>
              <w:fldChar w:fldCharType="separate"/>
            </w:r>
            <w:r w:rsidRPr="00A17D1B">
              <w:rPr>
                <w:sz w:val="26"/>
                <w:szCs w:val="26"/>
                <w:lang w:val="lv-LV"/>
              </w:rPr>
              <w:t>Par papildus informācijas sniegšanu atklātā konkursā Nr. RFS 2025/2</w:t>
            </w:r>
            <w:r w:rsidRPr="00A17D1B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A1F97" w:rsidRPr="00DA1F97" w:rsidP="00DA1F97" w14:paraId="63286767" w14:textId="77777777">
      <w:pPr>
        <w:ind w:firstLine="720"/>
        <w:jc w:val="both"/>
        <w:rPr>
          <w:sz w:val="26"/>
          <w:szCs w:val="26"/>
          <w:lang w:val="lv-LV"/>
        </w:rPr>
      </w:pPr>
    </w:p>
    <w:p w:rsidR="000C5269" w:rsidP="00DA1F97" w14:paraId="2013D1EE" w14:textId="2EE8BB5E">
      <w:pPr>
        <w:ind w:firstLine="720"/>
        <w:jc w:val="both"/>
        <w:rPr>
          <w:sz w:val="26"/>
          <w:szCs w:val="26"/>
          <w:lang w:val="lv-LV"/>
        </w:rPr>
      </w:pPr>
    </w:p>
    <w:p w:rsidR="008866A9" w:rsidRPr="008866A9" w:rsidP="008866A9" w14:paraId="3168DFF6" w14:textId="067F90E9">
      <w:pPr>
        <w:tabs>
          <w:tab w:val="left" w:pos="851"/>
        </w:tabs>
        <w:spacing w:after="240"/>
        <w:jc w:val="both"/>
        <w:rPr>
          <w:bCs/>
          <w:iCs/>
          <w:lang w:val="lv-LV"/>
        </w:rPr>
      </w:pPr>
      <w:r>
        <w:rPr>
          <w:sz w:val="26"/>
          <w:szCs w:val="26"/>
          <w:lang w:val="lv-LV"/>
        </w:rPr>
        <w:tab/>
      </w:r>
      <w:r w:rsidRPr="008866A9">
        <w:rPr>
          <w:sz w:val="26"/>
          <w:szCs w:val="26"/>
          <w:lang w:val="lv-LV"/>
        </w:rPr>
        <w:t>Rīgas Futbola skola</w:t>
      </w:r>
      <w:r>
        <w:rPr>
          <w:sz w:val="26"/>
          <w:szCs w:val="26"/>
          <w:lang w:val="lv-LV"/>
        </w:rPr>
        <w:t xml:space="preserve"> (turpmāk Skola)</w:t>
      </w:r>
      <w:r w:rsidRPr="008866A9">
        <w:rPr>
          <w:sz w:val="26"/>
          <w:szCs w:val="26"/>
          <w:lang w:val="lv-LV"/>
        </w:rPr>
        <w:t xml:space="preserve"> </w:t>
      </w:r>
      <w:r w:rsidRPr="008866A9">
        <w:rPr>
          <w:bCs/>
          <w:iCs/>
          <w:lang w:val="lv-LV"/>
        </w:rPr>
        <w:t>snie</w:t>
      </w:r>
      <w:r w:rsidRPr="008866A9">
        <w:rPr>
          <w:bCs/>
          <w:iCs/>
          <w:lang w:val="lv-LV"/>
        </w:rPr>
        <w:t>dz</w:t>
      </w:r>
      <w:r w:rsidRPr="008866A9">
        <w:rPr>
          <w:bCs/>
          <w:iCs/>
          <w:lang w:val="lv-LV"/>
        </w:rPr>
        <w:t xml:space="preserve"> atbildes uz jautājumiem par atklāta konkursa “Sporta tērpu piegāde Rīgas Futbola skolai”, ID Nr. - RFS 2025/2, nolikumu</w:t>
      </w:r>
      <w:r w:rsidRPr="008866A9">
        <w:rPr>
          <w:bCs/>
          <w:iCs/>
          <w:lang w:val="lv-LV"/>
        </w:rPr>
        <w:t>.</w:t>
      </w:r>
    </w:p>
    <w:p w:rsidR="008866A9" w:rsidRPr="008866A9" w:rsidP="008866A9" w14:paraId="4B7F7252" w14:textId="77777777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Pieļaujamās procentuālās svārstības materiāla sastāvā ir ±5%.</w:t>
      </w:r>
    </w:p>
    <w:p w:rsidR="008866A9" w:rsidRPr="008866A9" w:rsidP="008866A9" w14:paraId="7351848F" w14:textId="77777777">
      <w:pPr>
        <w:tabs>
          <w:tab w:val="left" w:pos="851"/>
        </w:tabs>
        <w:jc w:val="both"/>
        <w:rPr>
          <w:sz w:val="26"/>
          <w:szCs w:val="26"/>
          <w:lang w:val="lv-LV"/>
        </w:rPr>
      </w:pPr>
      <w:r w:rsidRPr="008866A9">
        <w:rPr>
          <w:sz w:val="26"/>
          <w:szCs w:val="26"/>
          <w:lang w:val="lv-LV"/>
        </w:rPr>
        <w:t>Tas nozīmē, ka:</w:t>
      </w:r>
    </w:p>
    <w:p w:rsidR="008866A9" w:rsidRPr="008866A9" w:rsidP="008866A9" w14:paraId="19575AD0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Neilona saturs var svārstīties no 92% līdz 100%.</w:t>
      </w:r>
    </w:p>
    <w:p w:rsidR="008866A9" w:rsidRPr="008866A9" w:rsidP="008866A9" w14:paraId="47439097" w14:textId="77777777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Spandeksa saturs var svārstīties no 0% līdz 8%.</w:t>
      </w:r>
    </w:p>
    <w:p w:rsidR="008866A9" w:rsidRPr="008866A9" w:rsidP="008866A9" w14:paraId="7EC55461" w14:textId="77777777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Frāze “thumb loops” nozīmē īpašas cilpas piedurkņu galos, caur kurām var ievietot īkšķi.</w:t>
      </w:r>
    </w:p>
    <w:p w:rsidR="008866A9" w:rsidRPr="008866A9" w:rsidP="008866A9" w14:paraId="7342FF93" w14:textId="77777777">
      <w:pPr>
        <w:tabs>
          <w:tab w:val="left" w:pos="851"/>
        </w:tabs>
        <w:jc w:val="both"/>
        <w:rPr>
          <w:sz w:val="26"/>
          <w:szCs w:val="26"/>
          <w:lang w:val="lv-LV"/>
        </w:rPr>
      </w:pPr>
      <w:r w:rsidRPr="008866A9">
        <w:rPr>
          <w:sz w:val="26"/>
          <w:szCs w:val="26"/>
          <w:lang w:val="lv-LV"/>
        </w:rPr>
        <w:t>Šīs cilpas palīdz:</w:t>
      </w:r>
    </w:p>
    <w:p w:rsidR="008866A9" w:rsidRPr="008866A9" w:rsidP="008866A9" w14:paraId="6C53B1CC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Noturēt piedurknes vietā kustības laikā.</w:t>
      </w:r>
    </w:p>
    <w:p w:rsidR="008866A9" w:rsidRPr="008866A9" w:rsidP="008866A9" w14:paraId="61D8C1A3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Novērst piedurkņu uzrullēšanos vai noslīdēšanu.</w:t>
      </w:r>
    </w:p>
    <w:p w:rsidR="008866A9" w:rsidRPr="008866A9" w:rsidP="008866A9" w14:paraId="53898505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Nodrošināt papildu aizsardzību plaukstu zonai, īpaši aukstos laikapstākļos.</w:t>
      </w:r>
    </w:p>
    <w:p w:rsidR="008866A9" w:rsidRPr="008866A9" w:rsidP="008866A9" w14:paraId="5DC105DA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8866A9" w:rsidRPr="008866A9" w:rsidP="008866A9" w14:paraId="510A71C2" w14:textId="77777777">
      <w:pPr>
        <w:pStyle w:val="ListParagraph"/>
        <w:numPr>
          <w:ilvl w:val="0"/>
          <w:numId w:val="2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 xml:space="preserve">Pozīcijām Nr.25 un Nr.26 atšķiras materiāla sastāvs. </w:t>
      </w:r>
    </w:p>
    <w:p w:rsidR="008866A9" w:rsidRPr="008866A9" w:rsidP="008866A9" w14:paraId="18BAF918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Pozīcijas Nr.25 materiāla sastāvs ir sekojošs: 80% kokvilna un 20% poliesters. Pieļaujamās procentuālās svārstības materiāla sastāvā ir ±5%.</w:t>
      </w:r>
    </w:p>
    <w:p w:rsidR="008866A9" w:rsidRPr="008866A9" w:rsidP="008866A9" w14:paraId="57F2CA7C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8866A9" w:rsidRPr="008866A9" w:rsidP="008866A9" w14:paraId="184EDCCD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Tas nozīmē, ka:</w:t>
      </w:r>
    </w:p>
    <w:p w:rsidR="008866A9" w:rsidRPr="008866A9" w:rsidP="008866A9" w14:paraId="24797193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Kokvilnas saturs var svārstīties no 75% līdz 85%.</w:t>
      </w:r>
    </w:p>
    <w:p w:rsidR="008866A9" w:rsidRPr="008866A9" w:rsidP="008866A9" w14:paraId="6206EAB8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 xml:space="preserve">Poliestera saturs var svārstīties no 15% līdz 25%.  </w:t>
      </w:r>
    </w:p>
    <w:p w:rsidR="008866A9" w:rsidRPr="008866A9" w:rsidP="008866A9" w14:paraId="3E677846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8866A9" w:rsidRPr="008866A9" w:rsidP="008866A9" w14:paraId="227DF0B2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Pozīcijas Nr.26 materiāla sastāvs ir sekojošs: 82% kokvilna un 18% poliesters. Pieļaujamās procentuālās svārstības materiāla sastāvā ir ±5%.</w:t>
      </w:r>
    </w:p>
    <w:p w:rsidR="008866A9" w:rsidRPr="008866A9" w:rsidP="008866A9" w14:paraId="54879948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8866A9" w:rsidRPr="008866A9" w:rsidP="008866A9" w14:paraId="711036F8" w14:textId="77777777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Tas nozīmē, ka:</w:t>
      </w:r>
    </w:p>
    <w:p w:rsidR="008866A9" w:rsidRPr="008866A9" w:rsidP="008866A9" w14:paraId="1619C3CE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>Kokvilnas saturs var svārstīties no 77% līdz 87%.</w:t>
      </w:r>
    </w:p>
    <w:p w:rsidR="008866A9" w:rsidRPr="008866A9" w:rsidP="008866A9" w14:paraId="7579651D" w14:textId="77777777">
      <w:pPr>
        <w:pStyle w:val="ListParagraph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66A9">
        <w:rPr>
          <w:rFonts w:ascii="Times New Roman" w:hAnsi="Times New Roman"/>
          <w:sz w:val="26"/>
          <w:szCs w:val="26"/>
        </w:rPr>
        <w:t xml:space="preserve">Poliestera saturs var svārstīties no 13% līdz 23%. </w:t>
      </w:r>
    </w:p>
    <w:p w:rsidR="00352DAD" w:rsidRPr="008866A9" w:rsidP="008866A9" w14:paraId="6D8B9B65" w14:textId="1B87938C">
      <w:pPr>
        <w:tabs>
          <w:tab w:val="left" w:pos="851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Pr="008866A9">
        <w:rPr>
          <w:sz w:val="26"/>
          <w:szCs w:val="26"/>
          <w:lang w:val="lv-LV"/>
        </w:rPr>
        <w:t>Par lūgumu pagarināt piedāvājuma iesniegšanas termiņu, piedāvājuma iesniegša</w:t>
      </w:r>
      <w:r>
        <w:rPr>
          <w:sz w:val="26"/>
          <w:szCs w:val="26"/>
          <w:lang w:val="lv-LV"/>
        </w:rPr>
        <w:t>nas termiņš ir lielāks par 10 darba dienām</w:t>
      </w:r>
      <w:r w:rsidRPr="008866A9">
        <w:rPr>
          <w:sz w:val="26"/>
          <w:szCs w:val="26"/>
          <w:lang w:val="lv-LV"/>
        </w:rPr>
        <w:t xml:space="preserve"> kā noteikts Publisko iepirkumu likumā 9. panta kārtībā. Pretendentiem savlaicīgi tika iedots lielāks piedāvājumu iesniegšanas termiņš</w:t>
      </w:r>
      <w:r w:rsidRPr="008866A9">
        <w:rPr>
          <w:sz w:val="26"/>
          <w:szCs w:val="26"/>
          <w:lang w:val="lv-LV"/>
        </w:rPr>
        <w:t>, nekā to nosaka likums</w:t>
      </w:r>
      <w:r w:rsidRPr="008866A9">
        <w:rPr>
          <w:sz w:val="26"/>
          <w:szCs w:val="26"/>
          <w:lang w:val="lv-LV"/>
        </w:rPr>
        <w:t>.</w:t>
      </w:r>
    </w:p>
    <w:p w:rsidR="00DA1F97" w:rsidP="00DA1F97" w14:paraId="1FD56130" w14:textId="77777777">
      <w:pPr>
        <w:ind w:firstLine="720"/>
        <w:jc w:val="both"/>
        <w:rPr>
          <w:sz w:val="26"/>
          <w:szCs w:val="26"/>
          <w:lang w:val="lv-LV"/>
        </w:rPr>
      </w:pPr>
    </w:p>
    <w:p w:rsidR="00DA1F97" w:rsidRPr="00DA1F97" w:rsidP="00DA1F97" w14:paraId="57FE2CB4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F6DD25E" w14:textId="77777777" w:rsidTr="00DE2CFC">
        <w:tblPrEx>
          <w:tblW w:w="0" w:type="auto"/>
          <w:tblLook w:val="04A0"/>
        </w:tblPrEx>
        <w:tc>
          <w:tcPr>
            <w:tcW w:w="5778" w:type="dxa"/>
            <w:hideMark/>
          </w:tcPr>
          <w:p w:rsidR="00976A37" w:rsidRPr="00DA1F97" w:rsidP="00DA1F97" w14:paraId="4D05CD0E" w14:textId="77777777">
            <w:pPr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Rīgas Futbola skolas vadītājs</w:t>
            </w:r>
            <w:r w:rsidRPr="00DA1F97">
              <w:rPr>
                <w:sz w:val="26"/>
                <w:szCs w:val="26"/>
                <w:lang w:val="lv-LV"/>
              </w:rPr>
              <w:t>/direktors (izglītības jomā)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  <w:r w:rsidRPr="00DA1F97" w:rsidR="004E4F61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EE69D8" w:rsidRPr="00DA1F97" w:rsidP="00DA1F97" w14:paraId="72987FDA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DA1F97">
              <w:rPr>
                <w:sz w:val="26"/>
                <w:szCs w:val="26"/>
                <w:lang w:val="lv-LV"/>
              </w:rPr>
              <w:fldChar w:fldCharType="begin"/>
            </w:r>
            <w:r w:rsidRPr="00DA1F97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DA1F97">
              <w:rPr>
                <w:sz w:val="26"/>
                <w:szCs w:val="26"/>
                <w:lang w:val="lv-LV"/>
              </w:rPr>
              <w:instrText>#PARAKST_V_UZV#</w:instrText>
            </w:r>
            <w:r w:rsidRPr="00DA1F97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DA1F97">
              <w:rPr>
                <w:sz w:val="26"/>
                <w:szCs w:val="26"/>
                <w:lang w:val="lv-LV"/>
              </w:rPr>
              <w:fldChar w:fldCharType="separate"/>
            </w:r>
            <w:r w:rsidRPr="00DA1F97">
              <w:rPr>
                <w:sz w:val="26"/>
                <w:szCs w:val="26"/>
                <w:lang w:val="lv-LV"/>
              </w:rPr>
              <w:t>V.Žuks</w:t>
            </w:r>
            <w:r w:rsidRPr="00DA1F97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740F5" w:rsidP="00DA1F97" w14:paraId="132C49E0" w14:textId="77777777">
      <w:pPr>
        <w:rPr>
          <w:sz w:val="26"/>
          <w:szCs w:val="26"/>
          <w:lang w:val="lv-LV"/>
        </w:rPr>
      </w:pPr>
    </w:p>
    <w:p w:rsidR="00DA1F97" w:rsidRPr="00DA1F97" w:rsidP="00DA1F97" w14:paraId="251AD52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2141"/>
      </w:tblGrid>
      <w:tr w14:paraId="3388D865" w14:textId="77777777" w:rsidTr="008D47AF">
        <w:tblPrEx>
          <w:tblW w:w="0" w:type="auto"/>
          <w:tblLook w:val="000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A1631" w:rsidRPr="006F344D" w:rsidP="008866A9" w14:paraId="0616CB7B" w14:textId="07CFDA1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Kuriļonoks</w:t>
            </w:r>
            <w:bookmarkStart w:id="1" w:name="_GoBack"/>
            <w:bookmarkEnd w:id="1"/>
            <w:r>
              <w:rPr>
                <w:sz w:val="22"/>
                <w:szCs w:val="22"/>
                <w:lang w:val="lv-LV"/>
              </w:rPr>
              <w:t xml:space="preserve"> 26619089</w:t>
            </w:r>
            <w:r w:rsidRPr="006F344D" w:rsidR="00DA1F97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bookmarkEnd w:id="0"/>
    </w:tbl>
    <w:p w:rsidR="00916F6D" w:rsidRPr="00C440E3" w:rsidP="004C1D78" w14:paraId="23E262B3" w14:textId="77777777">
      <w:pPr>
        <w:rPr>
          <w:sz w:val="16"/>
          <w:szCs w:val="16"/>
          <w:lang w:val="lv-LV"/>
        </w:rPr>
      </w:pPr>
    </w:p>
    <w:sectPr w:rsidSect="00C440E3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256C936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515F379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1B4F3502" w14:textId="1CABE4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48B14C2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8C49D7"/>
    <w:multiLevelType w:val="hybridMultilevel"/>
    <w:tmpl w:val="835AA626"/>
    <w:lvl w:ilvl="0">
      <w:start w:val="1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F30D4"/>
    <w:multiLevelType w:val="hybridMultilevel"/>
    <w:tmpl w:val="4B9AA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13B37"/>
    <w:rsid w:val="00016039"/>
    <w:rsid w:val="00023811"/>
    <w:rsid w:val="00031E70"/>
    <w:rsid w:val="00035626"/>
    <w:rsid w:val="000523EB"/>
    <w:rsid w:val="00054F3E"/>
    <w:rsid w:val="000645E7"/>
    <w:rsid w:val="00067924"/>
    <w:rsid w:val="00071A6E"/>
    <w:rsid w:val="00071D2D"/>
    <w:rsid w:val="0008766E"/>
    <w:rsid w:val="00092ACF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862"/>
    <w:rsid w:val="0016638F"/>
    <w:rsid w:val="001C731E"/>
    <w:rsid w:val="001C76CF"/>
    <w:rsid w:val="001D6253"/>
    <w:rsid w:val="0021183B"/>
    <w:rsid w:val="00214873"/>
    <w:rsid w:val="0022774F"/>
    <w:rsid w:val="00240C6A"/>
    <w:rsid w:val="00242DDF"/>
    <w:rsid w:val="002506AD"/>
    <w:rsid w:val="002610CD"/>
    <w:rsid w:val="002737A4"/>
    <w:rsid w:val="002755FA"/>
    <w:rsid w:val="002A058F"/>
    <w:rsid w:val="002B3316"/>
    <w:rsid w:val="002B3847"/>
    <w:rsid w:val="002C569E"/>
    <w:rsid w:val="0033055C"/>
    <w:rsid w:val="00340C39"/>
    <w:rsid w:val="00342F44"/>
    <w:rsid w:val="00351AC6"/>
    <w:rsid w:val="00352DAD"/>
    <w:rsid w:val="00361984"/>
    <w:rsid w:val="00366B03"/>
    <w:rsid w:val="003751E9"/>
    <w:rsid w:val="00390F89"/>
    <w:rsid w:val="003966E1"/>
    <w:rsid w:val="003C6416"/>
    <w:rsid w:val="003D1AF5"/>
    <w:rsid w:val="003E1574"/>
    <w:rsid w:val="004037C0"/>
    <w:rsid w:val="00410A08"/>
    <w:rsid w:val="00480549"/>
    <w:rsid w:val="00496397"/>
    <w:rsid w:val="004A6E54"/>
    <w:rsid w:val="004A7BBD"/>
    <w:rsid w:val="004B308C"/>
    <w:rsid w:val="004B4FDC"/>
    <w:rsid w:val="004B5DA1"/>
    <w:rsid w:val="004C098C"/>
    <w:rsid w:val="004C1D78"/>
    <w:rsid w:val="004C2974"/>
    <w:rsid w:val="004D2FAA"/>
    <w:rsid w:val="004D4554"/>
    <w:rsid w:val="004E0183"/>
    <w:rsid w:val="004E4BDA"/>
    <w:rsid w:val="004E4F61"/>
    <w:rsid w:val="004F6D03"/>
    <w:rsid w:val="005031DD"/>
    <w:rsid w:val="00506DD8"/>
    <w:rsid w:val="0051338D"/>
    <w:rsid w:val="00517434"/>
    <w:rsid w:val="005214DB"/>
    <w:rsid w:val="00531A3F"/>
    <w:rsid w:val="00535607"/>
    <w:rsid w:val="0054721F"/>
    <w:rsid w:val="00554B66"/>
    <w:rsid w:val="0056202D"/>
    <w:rsid w:val="00562D5D"/>
    <w:rsid w:val="00565AB3"/>
    <w:rsid w:val="005B17C3"/>
    <w:rsid w:val="005C75D2"/>
    <w:rsid w:val="005D540A"/>
    <w:rsid w:val="005F19A7"/>
    <w:rsid w:val="005F431D"/>
    <w:rsid w:val="005F4A17"/>
    <w:rsid w:val="0060090C"/>
    <w:rsid w:val="00632F4D"/>
    <w:rsid w:val="0064281A"/>
    <w:rsid w:val="00671F14"/>
    <w:rsid w:val="00676B33"/>
    <w:rsid w:val="0068008E"/>
    <w:rsid w:val="006A2DC7"/>
    <w:rsid w:val="006A374C"/>
    <w:rsid w:val="006B46EC"/>
    <w:rsid w:val="006C7A42"/>
    <w:rsid w:val="006D5F8E"/>
    <w:rsid w:val="006E4C9B"/>
    <w:rsid w:val="006F344D"/>
    <w:rsid w:val="006F4E04"/>
    <w:rsid w:val="00702070"/>
    <w:rsid w:val="00710CD4"/>
    <w:rsid w:val="007113AE"/>
    <w:rsid w:val="00711605"/>
    <w:rsid w:val="00714BE6"/>
    <w:rsid w:val="0075016C"/>
    <w:rsid w:val="0075294D"/>
    <w:rsid w:val="00765BE0"/>
    <w:rsid w:val="0077210F"/>
    <w:rsid w:val="00797AE4"/>
    <w:rsid w:val="007A0E21"/>
    <w:rsid w:val="007B1CAE"/>
    <w:rsid w:val="007B3C10"/>
    <w:rsid w:val="007B4D9C"/>
    <w:rsid w:val="007C075B"/>
    <w:rsid w:val="007D6E66"/>
    <w:rsid w:val="00806AF2"/>
    <w:rsid w:val="00833DE5"/>
    <w:rsid w:val="00855384"/>
    <w:rsid w:val="00870A70"/>
    <w:rsid w:val="00871B49"/>
    <w:rsid w:val="00875961"/>
    <w:rsid w:val="00875976"/>
    <w:rsid w:val="008764E3"/>
    <w:rsid w:val="00877EFD"/>
    <w:rsid w:val="008866A9"/>
    <w:rsid w:val="00887179"/>
    <w:rsid w:val="008938FE"/>
    <w:rsid w:val="00897BF6"/>
    <w:rsid w:val="008A1C23"/>
    <w:rsid w:val="008A29F0"/>
    <w:rsid w:val="008A46FD"/>
    <w:rsid w:val="008B16CB"/>
    <w:rsid w:val="008B43EC"/>
    <w:rsid w:val="008B57C7"/>
    <w:rsid w:val="008B739A"/>
    <w:rsid w:val="008C2D41"/>
    <w:rsid w:val="008C40BE"/>
    <w:rsid w:val="008D42E2"/>
    <w:rsid w:val="008D47AF"/>
    <w:rsid w:val="0090790A"/>
    <w:rsid w:val="00907B74"/>
    <w:rsid w:val="00911845"/>
    <w:rsid w:val="00916F6D"/>
    <w:rsid w:val="0094451E"/>
    <w:rsid w:val="009740F5"/>
    <w:rsid w:val="00976A37"/>
    <w:rsid w:val="009A69A7"/>
    <w:rsid w:val="00A146D0"/>
    <w:rsid w:val="00A17D1B"/>
    <w:rsid w:val="00A248BD"/>
    <w:rsid w:val="00A254B5"/>
    <w:rsid w:val="00A32724"/>
    <w:rsid w:val="00A35778"/>
    <w:rsid w:val="00A35D61"/>
    <w:rsid w:val="00A5430F"/>
    <w:rsid w:val="00A65C68"/>
    <w:rsid w:val="00A92528"/>
    <w:rsid w:val="00A94804"/>
    <w:rsid w:val="00A94A86"/>
    <w:rsid w:val="00AA0358"/>
    <w:rsid w:val="00AA1A07"/>
    <w:rsid w:val="00AC5A72"/>
    <w:rsid w:val="00AD48C3"/>
    <w:rsid w:val="00AD7EA1"/>
    <w:rsid w:val="00AE6F9F"/>
    <w:rsid w:val="00AE75E1"/>
    <w:rsid w:val="00AE7FF1"/>
    <w:rsid w:val="00AF3194"/>
    <w:rsid w:val="00B133D3"/>
    <w:rsid w:val="00B16624"/>
    <w:rsid w:val="00B25244"/>
    <w:rsid w:val="00B30BAE"/>
    <w:rsid w:val="00B4100C"/>
    <w:rsid w:val="00B57852"/>
    <w:rsid w:val="00B676AE"/>
    <w:rsid w:val="00B80920"/>
    <w:rsid w:val="00B962DE"/>
    <w:rsid w:val="00B97351"/>
    <w:rsid w:val="00BA09DF"/>
    <w:rsid w:val="00BA6AAC"/>
    <w:rsid w:val="00BA7C15"/>
    <w:rsid w:val="00BB613D"/>
    <w:rsid w:val="00BC2CD6"/>
    <w:rsid w:val="00BD1170"/>
    <w:rsid w:val="00BF25F4"/>
    <w:rsid w:val="00C02AEF"/>
    <w:rsid w:val="00C2204C"/>
    <w:rsid w:val="00C25BF2"/>
    <w:rsid w:val="00C26321"/>
    <w:rsid w:val="00C31D5D"/>
    <w:rsid w:val="00C440E3"/>
    <w:rsid w:val="00C4676F"/>
    <w:rsid w:val="00C505B5"/>
    <w:rsid w:val="00C559AE"/>
    <w:rsid w:val="00C5673F"/>
    <w:rsid w:val="00C6172C"/>
    <w:rsid w:val="00C65561"/>
    <w:rsid w:val="00C66373"/>
    <w:rsid w:val="00C86853"/>
    <w:rsid w:val="00C90512"/>
    <w:rsid w:val="00C94EFE"/>
    <w:rsid w:val="00CA1631"/>
    <w:rsid w:val="00CA3D47"/>
    <w:rsid w:val="00CE16CA"/>
    <w:rsid w:val="00CF1172"/>
    <w:rsid w:val="00CF5869"/>
    <w:rsid w:val="00D26FB3"/>
    <w:rsid w:val="00D4341F"/>
    <w:rsid w:val="00D4385F"/>
    <w:rsid w:val="00D43964"/>
    <w:rsid w:val="00D516B2"/>
    <w:rsid w:val="00D51D50"/>
    <w:rsid w:val="00D9251B"/>
    <w:rsid w:val="00DA1F97"/>
    <w:rsid w:val="00DB7F2C"/>
    <w:rsid w:val="00DD04A3"/>
    <w:rsid w:val="00DE2CFC"/>
    <w:rsid w:val="00DE3E95"/>
    <w:rsid w:val="00E0576E"/>
    <w:rsid w:val="00E21D50"/>
    <w:rsid w:val="00E31556"/>
    <w:rsid w:val="00E32D88"/>
    <w:rsid w:val="00E53C07"/>
    <w:rsid w:val="00E7115C"/>
    <w:rsid w:val="00E94D18"/>
    <w:rsid w:val="00E97272"/>
    <w:rsid w:val="00EB04D0"/>
    <w:rsid w:val="00EB4947"/>
    <w:rsid w:val="00EB5549"/>
    <w:rsid w:val="00EC1609"/>
    <w:rsid w:val="00ED12D1"/>
    <w:rsid w:val="00ED267B"/>
    <w:rsid w:val="00EE3DEA"/>
    <w:rsid w:val="00EE69D8"/>
    <w:rsid w:val="00EF7380"/>
    <w:rsid w:val="00F007E6"/>
    <w:rsid w:val="00F32CAB"/>
    <w:rsid w:val="00F45DA1"/>
    <w:rsid w:val="00F6226A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814A07"/>
  <w15:chartTrackingRefBased/>
  <w15:docId w15:val="{142F9376-751E-4E25-808D-4AA9A147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6A9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64CF-727E-4D1C-ABDD-7EFBDCEF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Darzniece@riga.lv</dc:creator>
  <cp:lastModifiedBy>Biruta</cp:lastModifiedBy>
  <cp:revision>3</cp:revision>
  <cp:lastPrinted>2008-02-21T11:46:00Z</cp:lastPrinted>
  <dcterms:created xsi:type="dcterms:W3CDTF">2025-03-05T08:26:00Z</dcterms:created>
  <dcterms:modified xsi:type="dcterms:W3CDTF">2025-03-05T17:11:00Z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V.Žuks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papildus informācijas sniegšanu atklātā konkursā Nr. RFS 2025/2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05.03.2025.</vt:lpwstr>
  </property>
  <property fmtid="{D5CDD505-2E9C-101B-9397-08002B2CF9AE}" pid="24" name="REG_NUMURS">
    <vt:lpwstr>RFS-25-29-nd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Futbola skola</vt:lpwstr>
  </property>
</Properties>
</file>