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769C3" w14:textId="77777777" w:rsidR="00552F39" w:rsidRPr="00F76832" w:rsidRDefault="00552F39" w:rsidP="00552F39">
      <w:pPr>
        <w:spacing w:after="0" w:line="240" w:lineRule="auto"/>
        <w:jc w:val="center"/>
        <w:rPr>
          <w:rFonts w:cs="Times New Roman"/>
          <w:b/>
          <w:sz w:val="24"/>
          <w:szCs w:val="24"/>
        </w:rPr>
      </w:pPr>
      <w:r w:rsidRPr="00F76832">
        <w:rPr>
          <w:rFonts w:cs="Times New Roman"/>
          <w:b/>
          <w:sz w:val="24"/>
          <w:szCs w:val="24"/>
        </w:rPr>
        <w:t>Valsts aizsardzības loģistikas un iepirkumu centrs</w:t>
      </w:r>
    </w:p>
    <w:p w14:paraId="7EC138A6" w14:textId="77777777" w:rsidR="00552F39" w:rsidRPr="00F76832" w:rsidRDefault="00552F39" w:rsidP="00552F39">
      <w:pPr>
        <w:spacing w:after="0" w:line="240" w:lineRule="auto"/>
        <w:jc w:val="center"/>
        <w:rPr>
          <w:rFonts w:cs="Times New Roman"/>
          <w:sz w:val="24"/>
          <w:szCs w:val="24"/>
        </w:rPr>
      </w:pPr>
      <w:r w:rsidRPr="00F76832">
        <w:rPr>
          <w:rFonts w:cs="Times New Roman"/>
          <w:sz w:val="24"/>
          <w:szCs w:val="24"/>
        </w:rPr>
        <w:t>(</w:t>
      </w:r>
      <w:proofErr w:type="spellStart"/>
      <w:r w:rsidRPr="00F76832">
        <w:rPr>
          <w:rFonts w:cs="Times New Roman"/>
          <w:sz w:val="24"/>
          <w:szCs w:val="24"/>
        </w:rPr>
        <w:t>reģ</w:t>
      </w:r>
      <w:proofErr w:type="spellEnd"/>
      <w:r w:rsidRPr="00F76832">
        <w:rPr>
          <w:rFonts w:cs="Times New Roman"/>
          <w:sz w:val="24"/>
          <w:szCs w:val="24"/>
        </w:rPr>
        <w:t>. Nr. 40900035122)</w:t>
      </w:r>
    </w:p>
    <w:p w14:paraId="55A73E33" w14:textId="77777777" w:rsidR="00552F39" w:rsidRPr="00F76832" w:rsidRDefault="00552F39" w:rsidP="00552F39">
      <w:pPr>
        <w:spacing w:after="0" w:line="240" w:lineRule="auto"/>
        <w:jc w:val="center"/>
        <w:rPr>
          <w:rFonts w:cs="Times New Roman"/>
          <w:b/>
          <w:bCs/>
          <w:sz w:val="24"/>
          <w:szCs w:val="24"/>
        </w:rPr>
      </w:pPr>
    </w:p>
    <w:p w14:paraId="0C0A1B26" w14:textId="77777777" w:rsidR="00552F39" w:rsidRPr="00F76832" w:rsidRDefault="00552F39" w:rsidP="00552F39">
      <w:pPr>
        <w:spacing w:after="0" w:line="240" w:lineRule="auto"/>
        <w:jc w:val="center"/>
        <w:rPr>
          <w:rFonts w:cs="Times New Roman"/>
          <w:b/>
          <w:bCs/>
          <w:sz w:val="24"/>
          <w:szCs w:val="24"/>
        </w:rPr>
      </w:pPr>
      <w:r w:rsidRPr="00F76832">
        <w:rPr>
          <w:rFonts w:cs="Times New Roman"/>
          <w:b/>
          <w:bCs/>
          <w:sz w:val="24"/>
          <w:szCs w:val="24"/>
        </w:rPr>
        <w:t>APSPRIEDES ZIŅOJUMS</w:t>
      </w:r>
    </w:p>
    <w:p w14:paraId="7AC03480" w14:textId="77777777" w:rsidR="00552F39" w:rsidRPr="00F76832" w:rsidRDefault="00552F39" w:rsidP="00552F39">
      <w:pPr>
        <w:spacing w:after="0" w:line="240" w:lineRule="auto"/>
        <w:jc w:val="center"/>
        <w:rPr>
          <w:rFonts w:cs="Times New Roman"/>
          <w:bCs/>
          <w:sz w:val="24"/>
          <w:szCs w:val="24"/>
        </w:rPr>
      </w:pPr>
      <w:r w:rsidRPr="00F76832">
        <w:rPr>
          <w:rFonts w:cs="Times New Roman"/>
          <w:bCs/>
          <w:sz w:val="24"/>
          <w:szCs w:val="24"/>
        </w:rPr>
        <w:t>atklātā konkursā</w:t>
      </w:r>
    </w:p>
    <w:p w14:paraId="3AAB1F71" w14:textId="77777777" w:rsidR="00552F39" w:rsidRPr="00F76832" w:rsidRDefault="00552F39" w:rsidP="00552F39">
      <w:pPr>
        <w:tabs>
          <w:tab w:val="left" w:pos="11057"/>
        </w:tabs>
        <w:ind w:right="-32"/>
        <w:jc w:val="center"/>
        <w:rPr>
          <w:rFonts w:cs="Times New Roman"/>
          <w:sz w:val="24"/>
          <w:szCs w:val="24"/>
        </w:rPr>
      </w:pPr>
      <w:r w:rsidRPr="00F76832">
        <w:rPr>
          <w:rFonts w:cs="Times New Roman"/>
          <w:b/>
          <w:sz w:val="24"/>
          <w:szCs w:val="24"/>
        </w:rPr>
        <w:t>“</w:t>
      </w:r>
      <w:r w:rsidRPr="00373924">
        <w:rPr>
          <w:rFonts w:cs="Times New Roman"/>
          <w:b/>
          <w:sz w:val="24"/>
          <w:szCs w:val="24"/>
        </w:rPr>
        <w:t>Transporta biļešu, apdrošināšanas polišu piegāde un viesnīcu rezervēšanas pakalpojums</w:t>
      </w:r>
      <w:r w:rsidRPr="00F76832">
        <w:rPr>
          <w:rFonts w:cs="Times New Roman"/>
          <w:b/>
          <w:sz w:val="24"/>
          <w:szCs w:val="24"/>
        </w:rPr>
        <w:t>”</w:t>
      </w:r>
      <w:r w:rsidRPr="00F76832">
        <w:rPr>
          <w:rFonts w:cs="Times New Roman"/>
          <w:b/>
          <w:bCs/>
          <w:sz w:val="24"/>
          <w:szCs w:val="24"/>
        </w:rPr>
        <w:br/>
        <w:t>identifikācijas Nr. </w:t>
      </w:r>
      <w:r w:rsidRPr="00373924">
        <w:rPr>
          <w:rFonts w:cs="Times New Roman"/>
          <w:b/>
          <w:sz w:val="24"/>
          <w:szCs w:val="24"/>
        </w:rPr>
        <w:t>VALIC 2025/026/TN-P-AK</w:t>
      </w:r>
      <w:r w:rsidRPr="00F76832">
        <w:rPr>
          <w:rFonts w:cs="Times New Roman"/>
          <w:b/>
          <w:bCs/>
          <w:sz w:val="24"/>
          <w:szCs w:val="24"/>
        </w:rPr>
        <w:br/>
      </w:r>
      <w:r w:rsidRPr="00F76832">
        <w:rPr>
          <w:rFonts w:cs="Times New Roman"/>
          <w:sz w:val="24"/>
          <w:szCs w:val="24"/>
        </w:rPr>
        <w:t xml:space="preserve">                                                                                                                                                                                                       Rīgā, 2025. gada </w:t>
      </w:r>
      <w:r>
        <w:rPr>
          <w:rFonts w:cs="Times New Roman"/>
          <w:sz w:val="24"/>
          <w:szCs w:val="24"/>
        </w:rPr>
        <w:t>15</w:t>
      </w:r>
      <w:r w:rsidRPr="00F76832">
        <w:rPr>
          <w:rFonts w:cs="Times New Roman"/>
          <w:sz w:val="24"/>
          <w:szCs w:val="24"/>
        </w:rPr>
        <w:t>. </w:t>
      </w:r>
      <w:r>
        <w:rPr>
          <w:rFonts w:cs="Times New Roman"/>
          <w:sz w:val="24"/>
          <w:szCs w:val="24"/>
        </w:rPr>
        <w:t>maijā</w:t>
      </w:r>
    </w:p>
    <w:p w14:paraId="51E1FF27" w14:textId="77777777" w:rsidR="00552F39" w:rsidRPr="00F76832" w:rsidRDefault="00552F39" w:rsidP="00552F39">
      <w:pPr>
        <w:pStyle w:val="ListParagraph"/>
        <w:numPr>
          <w:ilvl w:val="0"/>
          <w:numId w:val="1"/>
        </w:numPr>
        <w:spacing w:after="0" w:line="360" w:lineRule="auto"/>
        <w:ind w:left="641" w:hanging="357"/>
        <w:contextualSpacing w:val="0"/>
        <w:jc w:val="both"/>
        <w:rPr>
          <w:rFonts w:cs="Times New Roman"/>
          <w:sz w:val="24"/>
          <w:szCs w:val="24"/>
        </w:rPr>
      </w:pPr>
      <w:r w:rsidRPr="00F76832">
        <w:rPr>
          <w:rFonts w:cs="Times New Roman"/>
          <w:b/>
          <w:sz w:val="24"/>
          <w:szCs w:val="24"/>
        </w:rPr>
        <w:t>Apspriedes rīkotājs:</w:t>
      </w:r>
      <w:r w:rsidRPr="00F76832">
        <w:rPr>
          <w:rFonts w:cs="Times New Roman"/>
          <w:sz w:val="24"/>
          <w:szCs w:val="24"/>
        </w:rPr>
        <w:t xml:space="preserve"> Valsts aizsardzības loģistikas un iepirkumu centrs (turpmāk – Centrs), </w:t>
      </w:r>
      <w:proofErr w:type="spellStart"/>
      <w:r w:rsidRPr="00F76832">
        <w:rPr>
          <w:rFonts w:cs="Times New Roman"/>
          <w:sz w:val="24"/>
          <w:szCs w:val="24"/>
        </w:rPr>
        <w:t>Biksēres</w:t>
      </w:r>
      <w:proofErr w:type="spellEnd"/>
      <w:r w:rsidRPr="00F76832">
        <w:rPr>
          <w:rFonts w:cs="Times New Roman"/>
          <w:sz w:val="24"/>
          <w:szCs w:val="24"/>
        </w:rPr>
        <w:t xml:space="preserve"> iela 6, Rīga.</w:t>
      </w:r>
    </w:p>
    <w:p w14:paraId="6606517C" w14:textId="77777777" w:rsidR="00552F39" w:rsidRPr="00F76832" w:rsidRDefault="00552F39" w:rsidP="00552F39">
      <w:pPr>
        <w:pStyle w:val="ListParagraph"/>
        <w:numPr>
          <w:ilvl w:val="0"/>
          <w:numId w:val="1"/>
        </w:numPr>
        <w:spacing w:after="0" w:line="360" w:lineRule="auto"/>
        <w:jc w:val="both"/>
        <w:rPr>
          <w:rFonts w:cs="Times New Roman"/>
          <w:sz w:val="24"/>
          <w:szCs w:val="24"/>
        </w:rPr>
      </w:pPr>
      <w:r w:rsidRPr="00F76832">
        <w:rPr>
          <w:rFonts w:cs="Times New Roman"/>
          <w:b/>
          <w:bCs/>
          <w:sz w:val="24"/>
          <w:szCs w:val="24"/>
        </w:rPr>
        <w:t>Apspriedes termiņš:</w:t>
      </w:r>
      <w:r w:rsidRPr="00F76832">
        <w:rPr>
          <w:rFonts w:cs="Times New Roman"/>
          <w:sz w:val="24"/>
          <w:szCs w:val="24"/>
        </w:rPr>
        <w:t xml:space="preserve"> no 2025. gada </w:t>
      </w:r>
      <w:r>
        <w:rPr>
          <w:rFonts w:cs="Times New Roman"/>
          <w:sz w:val="24"/>
          <w:szCs w:val="24"/>
        </w:rPr>
        <w:t>25</w:t>
      </w:r>
      <w:r w:rsidRPr="00F76832">
        <w:rPr>
          <w:rFonts w:cs="Times New Roman"/>
          <w:sz w:val="24"/>
          <w:szCs w:val="24"/>
        </w:rPr>
        <w:t>. </w:t>
      </w:r>
      <w:r>
        <w:rPr>
          <w:rFonts w:cs="Times New Roman"/>
          <w:sz w:val="24"/>
          <w:szCs w:val="24"/>
        </w:rPr>
        <w:t>aprīļa</w:t>
      </w:r>
      <w:r w:rsidRPr="00F76832">
        <w:rPr>
          <w:rFonts w:cs="Times New Roman"/>
          <w:sz w:val="24"/>
          <w:szCs w:val="24"/>
        </w:rPr>
        <w:t xml:space="preserve"> līdz 2025. gada 1</w:t>
      </w:r>
      <w:r>
        <w:rPr>
          <w:rFonts w:cs="Times New Roman"/>
          <w:sz w:val="24"/>
          <w:szCs w:val="24"/>
        </w:rPr>
        <w:t>3</w:t>
      </w:r>
      <w:r w:rsidRPr="00F76832">
        <w:rPr>
          <w:rFonts w:cs="Times New Roman"/>
          <w:sz w:val="24"/>
          <w:szCs w:val="24"/>
        </w:rPr>
        <w:t>. </w:t>
      </w:r>
      <w:r>
        <w:rPr>
          <w:rFonts w:cs="Times New Roman"/>
          <w:sz w:val="24"/>
          <w:szCs w:val="24"/>
        </w:rPr>
        <w:t>maijam</w:t>
      </w:r>
      <w:r w:rsidRPr="00F76832">
        <w:rPr>
          <w:rFonts w:cs="Times New Roman"/>
          <w:sz w:val="24"/>
          <w:szCs w:val="24"/>
        </w:rPr>
        <w:t>.</w:t>
      </w:r>
    </w:p>
    <w:p w14:paraId="1B70E57B" w14:textId="77777777" w:rsidR="00552F39" w:rsidRPr="00F76832" w:rsidRDefault="00552F39" w:rsidP="00552F39">
      <w:pPr>
        <w:pStyle w:val="ListParagraph"/>
        <w:numPr>
          <w:ilvl w:val="0"/>
          <w:numId w:val="1"/>
        </w:numPr>
        <w:spacing w:line="360" w:lineRule="auto"/>
        <w:jc w:val="both"/>
        <w:rPr>
          <w:rFonts w:eastAsia="Calibri" w:cs="Times New Roman"/>
          <w:sz w:val="24"/>
          <w:szCs w:val="24"/>
        </w:rPr>
      </w:pPr>
      <w:r w:rsidRPr="00F76832">
        <w:rPr>
          <w:rFonts w:cs="Times New Roman"/>
          <w:b/>
          <w:bCs/>
          <w:sz w:val="24"/>
          <w:szCs w:val="24"/>
        </w:rPr>
        <w:t>Apspriedes priekšmets:</w:t>
      </w:r>
      <w:r w:rsidRPr="00F76832">
        <w:rPr>
          <w:rFonts w:eastAsia="Calibri" w:cs="Times New Roman"/>
          <w:sz w:val="24"/>
          <w:szCs w:val="24"/>
        </w:rPr>
        <w:t xml:space="preserve"> </w:t>
      </w:r>
      <w:r w:rsidRPr="009C01EA">
        <w:rPr>
          <w:sz w:val="24"/>
          <w:szCs w:val="24"/>
        </w:rPr>
        <w:t>visa veida transporta (gaisa, sauszemes un ūdens transporta) biļešu rezervācija un piegāde, naktsmītņu rezervācija un naktsmītņu pakalpojumu noformēšana un iegāde Latvijā un ārvalstīs, ceļojuma (komandējuma) apdrošināšanas polišu noformēšana un piegāde, vīzu un nepieciešamības gadījumā arī citu ceļojuma (komandējuma) dokumentu noformēšana (turpmāk – Pakalpojums) saskaņā ar tehnisko specifikāciju</w:t>
      </w:r>
      <w:r w:rsidRPr="00F76832">
        <w:rPr>
          <w:rFonts w:eastAsia="Calibri" w:cs="Times New Roman"/>
          <w:sz w:val="24"/>
          <w:szCs w:val="24"/>
        </w:rPr>
        <w:t>.</w:t>
      </w:r>
    </w:p>
    <w:p w14:paraId="55205495" w14:textId="77777777" w:rsidR="00552F39" w:rsidRPr="00C1612B" w:rsidRDefault="00552F39" w:rsidP="00552F39">
      <w:pPr>
        <w:pStyle w:val="ListParagraph"/>
        <w:numPr>
          <w:ilvl w:val="0"/>
          <w:numId w:val="1"/>
        </w:numPr>
        <w:spacing w:line="360" w:lineRule="auto"/>
        <w:jc w:val="both"/>
        <w:rPr>
          <w:rFonts w:cs="Times New Roman"/>
          <w:sz w:val="24"/>
          <w:szCs w:val="24"/>
        </w:rPr>
      </w:pPr>
      <w:r w:rsidRPr="00F76832">
        <w:rPr>
          <w:rFonts w:cs="Times New Roman"/>
          <w:b/>
          <w:bCs/>
          <w:sz w:val="24"/>
          <w:szCs w:val="24"/>
        </w:rPr>
        <w:t xml:space="preserve">Apspriedes dalībnieki: </w:t>
      </w:r>
      <w:r w:rsidRPr="00F76832">
        <w:rPr>
          <w:rFonts w:cs="Times New Roman"/>
          <w:bCs/>
          <w:sz w:val="24"/>
          <w:szCs w:val="24"/>
        </w:rPr>
        <w:t>apspriedes laikā</w:t>
      </w:r>
      <w:r w:rsidRPr="00F76832">
        <w:rPr>
          <w:rFonts w:cs="Times New Roman"/>
          <w:sz w:val="24"/>
          <w:szCs w:val="24"/>
        </w:rPr>
        <w:t xml:space="preserve"> tika saņemti priekšlikumi</w:t>
      </w:r>
      <w:bookmarkStart w:id="0" w:name="_Hlk185497396"/>
      <w:bookmarkStart w:id="1" w:name="_Hlk190887575"/>
      <w:r>
        <w:rPr>
          <w:rFonts w:cs="Times New Roman"/>
          <w:sz w:val="24"/>
          <w:szCs w:val="24"/>
        </w:rPr>
        <w:t xml:space="preserve"> </w:t>
      </w:r>
      <w:r w:rsidRPr="00C1612B">
        <w:rPr>
          <w:rFonts w:cs="Times New Roman"/>
          <w:bCs/>
          <w:sz w:val="24"/>
          <w:szCs w:val="24"/>
        </w:rPr>
        <w:t>1</w:t>
      </w:r>
      <w:r>
        <w:rPr>
          <w:rFonts w:cs="Times New Roman"/>
          <w:bCs/>
          <w:sz w:val="24"/>
          <w:szCs w:val="24"/>
        </w:rPr>
        <w:t>3</w:t>
      </w:r>
      <w:r w:rsidRPr="00C1612B">
        <w:rPr>
          <w:rFonts w:cs="Times New Roman"/>
          <w:bCs/>
          <w:sz w:val="24"/>
          <w:szCs w:val="24"/>
        </w:rPr>
        <w:t>.0</w:t>
      </w:r>
      <w:r>
        <w:rPr>
          <w:rFonts w:cs="Times New Roman"/>
          <w:bCs/>
          <w:sz w:val="24"/>
          <w:szCs w:val="24"/>
        </w:rPr>
        <w:t>5</w:t>
      </w:r>
      <w:r w:rsidRPr="00C1612B">
        <w:rPr>
          <w:rFonts w:cs="Times New Roman"/>
          <w:bCs/>
          <w:sz w:val="24"/>
          <w:szCs w:val="24"/>
        </w:rPr>
        <w:t xml:space="preserve">.2025. (EIS e-konkursu apakšsistēmā) no </w:t>
      </w:r>
      <w:bookmarkStart w:id="2" w:name="_Hlk191319251"/>
      <w:bookmarkEnd w:id="0"/>
      <w:r>
        <w:rPr>
          <w:rFonts w:cs="Times New Roman"/>
          <w:bCs/>
          <w:sz w:val="24"/>
          <w:szCs w:val="24"/>
        </w:rPr>
        <w:t>SIA</w:t>
      </w:r>
      <w:r w:rsidRPr="00C1612B">
        <w:rPr>
          <w:rFonts w:cs="Times New Roman"/>
          <w:bCs/>
          <w:sz w:val="24"/>
          <w:szCs w:val="24"/>
        </w:rPr>
        <w:t xml:space="preserve"> “</w:t>
      </w:r>
      <w:proofErr w:type="spellStart"/>
      <w:r>
        <w:rPr>
          <w:rFonts w:cs="Times New Roman"/>
          <w:bCs/>
          <w:sz w:val="24"/>
          <w:szCs w:val="24"/>
        </w:rPr>
        <w:t>Averoja</w:t>
      </w:r>
      <w:proofErr w:type="spellEnd"/>
      <w:r w:rsidRPr="00C1612B">
        <w:rPr>
          <w:rFonts w:cs="Times New Roman"/>
          <w:bCs/>
          <w:sz w:val="24"/>
          <w:szCs w:val="24"/>
        </w:rPr>
        <w:t>”</w:t>
      </w:r>
      <w:bookmarkEnd w:id="2"/>
      <w:r>
        <w:rPr>
          <w:rFonts w:cs="Times New Roman"/>
          <w:bCs/>
          <w:sz w:val="24"/>
          <w:szCs w:val="24"/>
        </w:rPr>
        <w:t>.</w:t>
      </w:r>
      <w:r w:rsidRPr="00C1612B">
        <w:rPr>
          <w:rFonts w:cs="Times New Roman"/>
          <w:bCs/>
          <w:sz w:val="24"/>
          <w:szCs w:val="24"/>
        </w:rPr>
        <w:t xml:space="preserve"> </w:t>
      </w:r>
      <w:bookmarkEnd w:id="1"/>
    </w:p>
    <w:p w14:paraId="5459BB1C" w14:textId="77777777" w:rsidR="00552F39" w:rsidRDefault="00552F39" w:rsidP="00552F39">
      <w:pPr>
        <w:pStyle w:val="ListParagraph"/>
        <w:numPr>
          <w:ilvl w:val="0"/>
          <w:numId w:val="1"/>
        </w:numPr>
        <w:spacing w:line="360" w:lineRule="auto"/>
        <w:jc w:val="both"/>
        <w:rPr>
          <w:rFonts w:cs="Times New Roman"/>
          <w:sz w:val="24"/>
          <w:szCs w:val="24"/>
        </w:rPr>
      </w:pPr>
      <w:r>
        <w:rPr>
          <w:rFonts w:cs="Times New Roman"/>
          <w:b/>
          <w:bCs/>
          <w:sz w:val="24"/>
          <w:szCs w:val="24"/>
        </w:rPr>
        <w:t>Par kvalifikācijas prasībām:</w:t>
      </w:r>
    </w:p>
    <w:tbl>
      <w:tblPr>
        <w:tblStyle w:val="TableGrid"/>
        <w:tblW w:w="15021" w:type="dxa"/>
        <w:tblLayout w:type="fixed"/>
        <w:tblLook w:val="04A0" w:firstRow="1" w:lastRow="0" w:firstColumn="1" w:lastColumn="0" w:noHBand="0" w:noVBand="1"/>
      </w:tblPr>
      <w:tblGrid>
        <w:gridCol w:w="666"/>
        <w:gridCol w:w="2991"/>
        <w:gridCol w:w="4135"/>
        <w:gridCol w:w="3827"/>
        <w:gridCol w:w="3402"/>
      </w:tblGrid>
      <w:tr w:rsidR="00552F39" w:rsidRPr="00F27561" w14:paraId="618EC1AA" w14:textId="77777777" w:rsidTr="00F01699">
        <w:tc>
          <w:tcPr>
            <w:tcW w:w="666" w:type="dxa"/>
            <w:tcBorders>
              <w:bottom w:val="single" w:sz="4" w:space="0" w:color="auto"/>
            </w:tcBorders>
            <w:shd w:val="clear" w:color="auto" w:fill="FBE4D5" w:themeFill="accent2" w:themeFillTint="33"/>
            <w:vAlign w:val="center"/>
          </w:tcPr>
          <w:p w14:paraId="116BF8FE" w14:textId="77777777" w:rsidR="00552F39" w:rsidRPr="00F27561" w:rsidRDefault="00552F39" w:rsidP="00F01699">
            <w:pPr>
              <w:pStyle w:val="NoSpacing"/>
              <w:spacing w:line="276" w:lineRule="auto"/>
              <w:jc w:val="center"/>
              <w:rPr>
                <w:b/>
              </w:rPr>
            </w:pPr>
            <w:r w:rsidRPr="00F27561">
              <w:rPr>
                <w:b/>
              </w:rPr>
              <w:t>Nr.</w:t>
            </w:r>
          </w:p>
          <w:p w14:paraId="763BD740" w14:textId="77777777" w:rsidR="00552F39" w:rsidRPr="00F27561" w:rsidRDefault="00552F39" w:rsidP="00F01699">
            <w:pPr>
              <w:pStyle w:val="NoSpacing"/>
              <w:spacing w:line="276" w:lineRule="auto"/>
              <w:jc w:val="center"/>
              <w:rPr>
                <w:b/>
              </w:rPr>
            </w:pPr>
            <w:r w:rsidRPr="00F27561">
              <w:rPr>
                <w:b/>
              </w:rPr>
              <w:t>p.k.</w:t>
            </w:r>
          </w:p>
        </w:tc>
        <w:tc>
          <w:tcPr>
            <w:tcW w:w="2991" w:type="dxa"/>
            <w:tcBorders>
              <w:bottom w:val="single" w:sz="4" w:space="0" w:color="auto"/>
            </w:tcBorders>
            <w:shd w:val="clear" w:color="auto" w:fill="FBE4D5" w:themeFill="accent2" w:themeFillTint="33"/>
            <w:vAlign w:val="center"/>
          </w:tcPr>
          <w:p w14:paraId="70BDAE2E" w14:textId="77777777" w:rsidR="00552F39" w:rsidRPr="00F27561" w:rsidRDefault="00552F39" w:rsidP="00F01699">
            <w:pPr>
              <w:pStyle w:val="NoSpacing"/>
              <w:spacing w:line="276" w:lineRule="auto"/>
              <w:jc w:val="center"/>
              <w:rPr>
                <w:b/>
              </w:rPr>
            </w:pPr>
            <w:r w:rsidRPr="00F27561">
              <w:rPr>
                <w:b/>
              </w:rPr>
              <w:t>Prasība</w:t>
            </w:r>
          </w:p>
        </w:tc>
        <w:tc>
          <w:tcPr>
            <w:tcW w:w="4135" w:type="dxa"/>
            <w:tcBorders>
              <w:bottom w:val="single" w:sz="4" w:space="0" w:color="auto"/>
            </w:tcBorders>
            <w:shd w:val="clear" w:color="auto" w:fill="FBE4D5" w:themeFill="accent2" w:themeFillTint="33"/>
            <w:vAlign w:val="center"/>
          </w:tcPr>
          <w:p w14:paraId="37D00556" w14:textId="77777777" w:rsidR="00552F39" w:rsidRPr="00F27561" w:rsidRDefault="00552F39" w:rsidP="00F01699">
            <w:pPr>
              <w:pStyle w:val="NoSpacing"/>
              <w:spacing w:line="276" w:lineRule="auto"/>
              <w:jc w:val="center"/>
              <w:rPr>
                <w:b/>
              </w:rPr>
            </w:pPr>
            <w:r w:rsidRPr="00F27561">
              <w:rPr>
                <w:b/>
              </w:rPr>
              <w:t>Iesniedzamais dokuments</w:t>
            </w:r>
          </w:p>
        </w:tc>
        <w:tc>
          <w:tcPr>
            <w:tcW w:w="3827" w:type="dxa"/>
            <w:tcBorders>
              <w:bottom w:val="single" w:sz="4" w:space="0" w:color="auto"/>
            </w:tcBorders>
            <w:shd w:val="clear" w:color="auto" w:fill="FBE4D5" w:themeFill="accent2" w:themeFillTint="33"/>
          </w:tcPr>
          <w:p w14:paraId="42697A00" w14:textId="77777777" w:rsidR="00552F39" w:rsidRPr="00F27561" w:rsidRDefault="00552F39" w:rsidP="00F01699">
            <w:pPr>
              <w:pStyle w:val="NoSpacing"/>
              <w:spacing w:line="276" w:lineRule="auto"/>
              <w:jc w:val="center"/>
              <w:rPr>
                <w:b/>
              </w:rPr>
            </w:pPr>
            <w:r w:rsidRPr="00F27561">
              <w:rPr>
                <w:b/>
                <w:bCs/>
              </w:rPr>
              <w:t xml:space="preserve">Ieinteresētā piegādātāja </w:t>
            </w:r>
            <w:r>
              <w:rPr>
                <w:b/>
                <w:bCs/>
              </w:rPr>
              <w:t>SIA</w:t>
            </w:r>
            <w:r w:rsidRPr="008F71BA">
              <w:rPr>
                <w:b/>
                <w:bCs/>
              </w:rPr>
              <w:t xml:space="preserve"> “</w:t>
            </w:r>
            <w:proofErr w:type="spellStart"/>
            <w:r w:rsidRPr="008F71BA">
              <w:rPr>
                <w:b/>
                <w:bCs/>
              </w:rPr>
              <w:t>Averoja</w:t>
            </w:r>
            <w:proofErr w:type="spellEnd"/>
            <w:r w:rsidRPr="008F71BA">
              <w:rPr>
                <w:b/>
                <w:bCs/>
              </w:rPr>
              <w:t>”</w:t>
            </w:r>
            <w:r>
              <w:rPr>
                <w:b/>
                <w:bCs/>
              </w:rPr>
              <w:t xml:space="preserve"> </w:t>
            </w:r>
            <w:r w:rsidRPr="00F27561">
              <w:rPr>
                <w:b/>
                <w:bCs/>
              </w:rPr>
              <w:t>priekšlikum</w:t>
            </w:r>
            <w:r>
              <w:rPr>
                <w:b/>
                <w:bCs/>
              </w:rPr>
              <w:t>i</w:t>
            </w:r>
            <w:r w:rsidRPr="00F27561">
              <w:rPr>
                <w:b/>
                <w:bCs/>
              </w:rPr>
              <w:t>, komentār</w:t>
            </w:r>
            <w:r>
              <w:rPr>
                <w:b/>
                <w:bCs/>
              </w:rPr>
              <w:t>i</w:t>
            </w:r>
          </w:p>
        </w:tc>
        <w:tc>
          <w:tcPr>
            <w:tcW w:w="3402" w:type="dxa"/>
            <w:tcBorders>
              <w:bottom w:val="single" w:sz="4" w:space="0" w:color="auto"/>
            </w:tcBorders>
            <w:shd w:val="clear" w:color="auto" w:fill="FBE4D5" w:themeFill="accent2" w:themeFillTint="33"/>
          </w:tcPr>
          <w:p w14:paraId="637A2FF5" w14:textId="77777777" w:rsidR="00552F39" w:rsidRPr="00F27561" w:rsidRDefault="00552F39" w:rsidP="00F01699">
            <w:pPr>
              <w:pStyle w:val="NoSpacing"/>
              <w:spacing w:line="276" w:lineRule="auto"/>
              <w:jc w:val="center"/>
              <w:rPr>
                <w:b/>
                <w:bCs/>
              </w:rPr>
            </w:pPr>
            <w:r w:rsidRPr="00031977">
              <w:rPr>
                <w:b/>
              </w:rPr>
              <w:t xml:space="preserve">Komisijas </w:t>
            </w:r>
            <w:r>
              <w:rPr>
                <w:b/>
              </w:rPr>
              <w:t>galvenie</w:t>
            </w:r>
            <w:r w:rsidRPr="00031977">
              <w:rPr>
                <w:b/>
              </w:rPr>
              <w:t xml:space="preserve"> secinājumi</w:t>
            </w:r>
            <w:r>
              <w:rPr>
                <w:b/>
              </w:rPr>
              <w:t xml:space="preserve"> un vērtējums</w:t>
            </w:r>
          </w:p>
        </w:tc>
      </w:tr>
      <w:tr w:rsidR="00552F39" w:rsidRPr="00F27561" w14:paraId="315E25AF" w14:textId="77777777" w:rsidTr="00F01699">
        <w:trPr>
          <w:trHeight w:val="564"/>
        </w:trPr>
        <w:tc>
          <w:tcPr>
            <w:tcW w:w="666" w:type="dxa"/>
            <w:tcBorders>
              <w:bottom w:val="single" w:sz="4" w:space="0" w:color="auto"/>
            </w:tcBorders>
            <w:vAlign w:val="center"/>
          </w:tcPr>
          <w:p w14:paraId="3CA873AB" w14:textId="77777777" w:rsidR="00552F39" w:rsidRPr="00F27561" w:rsidRDefault="00552F39" w:rsidP="00F01699">
            <w:pPr>
              <w:pStyle w:val="NoSpacing"/>
              <w:numPr>
                <w:ilvl w:val="0"/>
                <w:numId w:val="26"/>
              </w:numPr>
              <w:tabs>
                <w:tab w:val="left" w:pos="360"/>
              </w:tabs>
              <w:jc w:val="center"/>
            </w:pPr>
          </w:p>
        </w:tc>
        <w:tc>
          <w:tcPr>
            <w:tcW w:w="2991" w:type="dxa"/>
            <w:tcBorders>
              <w:bottom w:val="single" w:sz="4" w:space="0" w:color="auto"/>
            </w:tcBorders>
          </w:tcPr>
          <w:p w14:paraId="256A49F4" w14:textId="77777777" w:rsidR="00552F39" w:rsidRPr="00BE29BE" w:rsidRDefault="00552F39" w:rsidP="00F01699">
            <w:pPr>
              <w:pStyle w:val="NoSpacing"/>
              <w:jc w:val="both"/>
            </w:pPr>
            <w:r w:rsidRPr="00BE29BE">
              <w:t>Pieteikums, kurā pretendents apliecina savu dalību konkursā.</w:t>
            </w:r>
          </w:p>
        </w:tc>
        <w:tc>
          <w:tcPr>
            <w:tcW w:w="4135" w:type="dxa"/>
            <w:tcBorders>
              <w:bottom w:val="single" w:sz="4" w:space="0" w:color="auto"/>
            </w:tcBorders>
          </w:tcPr>
          <w:p w14:paraId="79A3DF84" w14:textId="77777777" w:rsidR="00552F39" w:rsidRPr="00BE29BE" w:rsidRDefault="00552F39" w:rsidP="00F01699">
            <w:pPr>
              <w:pStyle w:val="NoSpacing"/>
              <w:jc w:val="both"/>
            </w:pPr>
            <w:r w:rsidRPr="00BE29BE">
              <w:t>Pieteikums par piedalīšanos konkursā saskaņā ar veidlapu.</w:t>
            </w:r>
          </w:p>
        </w:tc>
        <w:tc>
          <w:tcPr>
            <w:tcW w:w="3827" w:type="dxa"/>
            <w:tcBorders>
              <w:bottom w:val="single" w:sz="4" w:space="0" w:color="auto"/>
            </w:tcBorders>
          </w:tcPr>
          <w:p w14:paraId="1EC2CEE7" w14:textId="77777777" w:rsidR="00552F39" w:rsidRPr="00F27561" w:rsidRDefault="00552F39" w:rsidP="00F01699">
            <w:pPr>
              <w:pStyle w:val="NoSpacing"/>
              <w:jc w:val="both"/>
            </w:pPr>
            <w:r>
              <w:t>Nav priekšlikumu</w:t>
            </w:r>
          </w:p>
        </w:tc>
        <w:tc>
          <w:tcPr>
            <w:tcW w:w="3402" w:type="dxa"/>
            <w:tcBorders>
              <w:bottom w:val="single" w:sz="4" w:space="0" w:color="auto"/>
            </w:tcBorders>
          </w:tcPr>
          <w:p w14:paraId="328848D0" w14:textId="77777777" w:rsidR="00552F39" w:rsidRDefault="00552F39" w:rsidP="00F01699">
            <w:pPr>
              <w:pStyle w:val="NoSpacing"/>
              <w:jc w:val="both"/>
            </w:pPr>
            <w:r w:rsidRPr="00131A0F">
              <w:t>Iekļaujams kvalifikācijas prasībās</w:t>
            </w:r>
          </w:p>
        </w:tc>
      </w:tr>
      <w:tr w:rsidR="00552F39" w:rsidRPr="00F27561" w14:paraId="2812D766" w14:textId="77777777" w:rsidTr="00F01699">
        <w:trPr>
          <w:trHeight w:val="722"/>
        </w:trPr>
        <w:tc>
          <w:tcPr>
            <w:tcW w:w="666" w:type="dxa"/>
            <w:tcBorders>
              <w:top w:val="single" w:sz="4" w:space="0" w:color="auto"/>
            </w:tcBorders>
            <w:vAlign w:val="center"/>
          </w:tcPr>
          <w:p w14:paraId="03D8876A" w14:textId="77777777" w:rsidR="00552F39" w:rsidRPr="00F27561" w:rsidRDefault="00552F39" w:rsidP="00F01699">
            <w:pPr>
              <w:pStyle w:val="NoSpacing"/>
              <w:numPr>
                <w:ilvl w:val="0"/>
                <w:numId w:val="25"/>
              </w:numPr>
              <w:jc w:val="center"/>
            </w:pPr>
          </w:p>
        </w:tc>
        <w:tc>
          <w:tcPr>
            <w:tcW w:w="2991" w:type="dxa"/>
          </w:tcPr>
          <w:p w14:paraId="24CFA302" w14:textId="77777777" w:rsidR="00552F39" w:rsidRPr="00BE29BE" w:rsidRDefault="00552F39" w:rsidP="00F01699">
            <w:pPr>
              <w:pStyle w:val="NoSpacing"/>
              <w:jc w:val="both"/>
            </w:pPr>
            <w:r w:rsidRPr="00BE29BE">
              <w:rPr>
                <w:lang w:eastAsia="en-US"/>
              </w:rPr>
              <w:t>Apliecinājums, kurā pretendents norāda, ka ir neatkarīgi izstrādājis savu piedāvājumu.</w:t>
            </w:r>
          </w:p>
        </w:tc>
        <w:tc>
          <w:tcPr>
            <w:tcW w:w="4135" w:type="dxa"/>
          </w:tcPr>
          <w:p w14:paraId="4CAD51BA" w14:textId="77777777" w:rsidR="00552F39" w:rsidRPr="00BE29BE" w:rsidRDefault="00552F39" w:rsidP="00F01699">
            <w:pPr>
              <w:pStyle w:val="NoSpacing"/>
              <w:jc w:val="both"/>
            </w:pPr>
            <w:r w:rsidRPr="00BE29BE">
              <w:rPr>
                <w:lang w:eastAsia="en-US"/>
              </w:rPr>
              <w:t>Apliecinājums par neatkarīgi izstrādātu piedāvājumu saskaņā ar veidlapu.</w:t>
            </w:r>
          </w:p>
        </w:tc>
        <w:tc>
          <w:tcPr>
            <w:tcW w:w="3827" w:type="dxa"/>
          </w:tcPr>
          <w:p w14:paraId="302529C8" w14:textId="77777777" w:rsidR="00552F39" w:rsidRPr="00F27561" w:rsidRDefault="00552F39" w:rsidP="00F01699">
            <w:pPr>
              <w:pStyle w:val="NoSpacing"/>
              <w:jc w:val="both"/>
              <w:rPr>
                <w:lang w:eastAsia="en-US"/>
              </w:rPr>
            </w:pPr>
            <w:r>
              <w:rPr>
                <w:lang w:eastAsia="en-US"/>
              </w:rPr>
              <w:t xml:space="preserve">Nav </w:t>
            </w:r>
            <w:r>
              <w:t>priekšlikumu</w:t>
            </w:r>
          </w:p>
        </w:tc>
        <w:tc>
          <w:tcPr>
            <w:tcW w:w="3402" w:type="dxa"/>
          </w:tcPr>
          <w:p w14:paraId="1CC0B600" w14:textId="77777777" w:rsidR="00552F39" w:rsidRDefault="00552F39" w:rsidP="00F01699">
            <w:pPr>
              <w:pStyle w:val="NoSpacing"/>
              <w:jc w:val="both"/>
              <w:rPr>
                <w:lang w:eastAsia="en-US"/>
              </w:rPr>
            </w:pPr>
            <w:r w:rsidRPr="00131A0F">
              <w:t>Iekļaujams kvalifikācijas prasībās</w:t>
            </w:r>
          </w:p>
        </w:tc>
      </w:tr>
      <w:tr w:rsidR="00552F39" w:rsidRPr="00F27561" w14:paraId="424126CE" w14:textId="77777777" w:rsidTr="00F01699">
        <w:trPr>
          <w:trHeight w:val="2027"/>
        </w:trPr>
        <w:tc>
          <w:tcPr>
            <w:tcW w:w="666" w:type="dxa"/>
            <w:vMerge w:val="restart"/>
            <w:tcBorders>
              <w:top w:val="single" w:sz="4" w:space="0" w:color="auto"/>
            </w:tcBorders>
            <w:vAlign w:val="center"/>
          </w:tcPr>
          <w:p w14:paraId="75DE1CC6" w14:textId="77777777" w:rsidR="00552F39" w:rsidRPr="00F27561" w:rsidRDefault="00552F39" w:rsidP="00F01699">
            <w:pPr>
              <w:pStyle w:val="NoSpacing"/>
              <w:numPr>
                <w:ilvl w:val="0"/>
                <w:numId w:val="25"/>
              </w:numPr>
              <w:jc w:val="center"/>
            </w:pPr>
            <w:r w:rsidRPr="00F27561">
              <w:lastRenderedPageBreak/>
              <w:t>4.</w:t>
            </w:r>
          </w:p>
          <w:p w14:paraId="6502C506" w14:textId="77777777" w:rsidR="00552F39" w:rsidRPr="00F27561" w:rsidRDefault="00552F39" w:rsidP="00F01699">
            <w:pPr>
              <w:pStyle w:val="NoSpacing"/>
              <w:jc w:val="center"/>
            </w:pPr>
          </w:p>
        </w:tc>
        <w:tc>
          <w:tcPr>
            <w:tcW w:w="2991" w:type="dxa"/>
            <w:tcBorders>
              <w:top w:val="single" w:sz="4" w:space="0" w:color="auto"/>
            </w:tcBorders>
          </w:tcPr>
          <w:p w14:paraId="364D6301" w14:textId="77777777" w:rsidR="00552F39" w:rsidRPr="00BE29BE" w:rsidRDefault="00552F39" w:rsidP="00F01699">
            <w:pPr>
              <w:pStyle w:val="NoSpacing"/>
              <w:jc w:val="both"/>
            </w:pPr>
            <w:r w:rsidRPr="00BE29BE">
              <w:t xml:space="preserve">Pretendents, piegādātāju apvienības biedrs un apakšuzņēmējs, vai persona uz kuras spējām pretendents balstās ir reģistrēts Latvijas Republikas Uzņēmumu reģistra Komercreģistrā </w:t>
            </w:r>
          </w:p>
          <w:p w14:paraId="51DBDF73" w14:textId="77777777" w:rsidR="00552F39" w:rsidRPr="00BE29BE" w:rsidRDefault="00552F39" w:rsidP="00F01699">
            <w:pPr>
              <w:pStyle w:val="NoSpacing"/>
              <w:jc w:val="both"/>
            </w:pPr>
            <w:r w:rsidRPr="00BE29BE">
              <w:t xml:space="preserve">vai </w:t>
            </w:r>
          </w:p>
        </w:tc>
        <w:tc>
          <w:tcPr>
            <w:tcW w:w="4135" w:type="dxa"/>
            <w:tcBorders>
              <w:top w:val="single" w:sz="4" w:space="0" w:color="auto"/>
            </w:tcBorders>
          </w:tcPr>
          <w:p w14:paraId="7B18208E" w14:textId="77777777" w:rsidR="00552F39" w:rsidRPr="00BE29BE" w:rsidRDefault="00552F39" w:rsidP="00F01699">
            <w:pPr>
              <w:pStyle w:val="NoSpacing"/>
              <w:jc w:val="both"/>
            </w:pPr>
            <w:r w:rsidRPr="00BE29BE">
              <w:t xml:space="preserve">Reģistrācijas faktu Komisija pārbauda Uzņēmumu reģistrā publiski pieejamā datu bāzē. </w:t>
            </w:r>
          </w:p>
          <w:p w14:paraId="67A5E95C" w14:textId="77777777" w:rsidR="00552F39" w:rsidRPr="00BE29BE" w:rsidRDefault="00552F39" w:rsidP="00F01699">
            <w:pPr>
              <w:pStyle w:val="NoSpacing"/>
              <w:jc w:val="both"/>
            </w:pPr>
          </w:p>
        </w:tc>
        <w:tc>
          <w:tcPr>
            <w:tcW w:w="3827" w:type="dxa"/>
            <w:tcBorders>
              <w:top w:val="single" w:sz="4" w:space="0" w:color="auto"/>
            </w:tcBorders>
          </w:tcPr>
          <w:p w14:paraId="62F65F56" w14:textId="77777777" w:rsidR="00552F39" w:rsidRPr="00F27561" w:rsidRDefault="00552F39" w:rsidP="00F01699">
            <w:pPr>
              <w:pStyle w:val="NoSpacing"/>
              <w:jc w:val="both"/>
            </w:pPr>
            <w:r>
              <w:t>Nav priekšlikumu</w:t>
            </w:r>
          </w:p>
        </w:tc>
        <w:tc>
          <w:tcPr>
            <w:tcW w:w="3402" w:type="dxa"/>
            <w:tcBorders>
              <w:top w:val="single" w:sz="4" w:space="0" w:color="auto"/>
            </w:tcBorders>
          </w:tcPr>
          <w:p w14:paraId="20B45C2E" w14:textId="77777777" w:rsidR="00552F39" w:rsidRDefault="00552F39" w:rsidP="00F01699">
            <w:pPr>
              <w:pStyle w:val="NoSpacing"/>
              <w:jc w:val="both"/>
            </w:pPr>
          </w:p>
        </w:tc>
      </w:tr>
      <w:tr w:rsidR="00552F39" w:rsidRPr="00F27561" w14:paraId="1E78C7F7" w14:textId="77777777" w:rsidTr="00F01699">
        <w:trPr>
          <w:trHeight w:val="50"/>
        </w:trPr>
        <w:tc>
          <w:tcPr>
            <w:tcW w:w="666" w:type="dxa"/>
            <w:vMerge/>
            <w:vAlign w:val="center"/>
          </w:tcPr>
          <w:p w14:paraId="587A7B5C" w14:textId="77777777" w:rsidR="00552F39" w:rsidRPr="00F27561" w:rsidRDefault="00552F39" w:rsidP="00F01699">
            <w:pPr>
              <w:pStyle w:val="NoSpacing"/>
              <w:jc w:val="center"/>
            </w:pPr>
          </w:p>
        </w:tc>
        <w:tc>
          <w:tcPr>
            <w:tcW w:w="2991" w:type="dxa"/>
            <w:tcBorders>
              <w:top w:val="single" w:sz="4" w:space="0" w:color="auto"/>
            </w:tcBorders>
          </w:tcPr>
          <w:p w14:paraId="6DDB600C" w14:textId="77777777" w:rsidR="00552F39" w:rsidRPr="00BE29BE" w:rsidRDefault="00552F39" w:rsidP="00F01699">
            <w:pPr>
              <w:pStyle w:val="NoSpacing"/>
              <w:jc w:val="both"/>
            </w:pPr>
            <w:r w:rsidRPr="00BE29BE">
              <w:t>līdzvērtīgā reģistrā ārvalstīs atbilstoši attiecīgās valsts normatīvo aktu prasībām.</w:t>
            </w:r>
          </w:p>
        </w:tc>
        <w:tc>
          <w:tcPr>
            <w:tcW w:w="4135" w:type="dxa"/>
          </w:tcPr>
          <w:p w14:paraId="14008E38" w14:textId="77777777" w:rsidR="00552F39" w:rsidRPr="00BE29BE" w:rsidRDefault="00552F39" w:rsidP="00F01699">
            <w:pPr>
              <w:pStyle w:val="BodyTextIndent3"/>
              <w:numPr>
                <w:ilvl w:val="0"/>
                <w:numId w:val="4"/>
              </w:numPr>
              <w:shd w:val="clear" w:color="auto" w:fill="FFFFFF" w:themeFill="background1"/>
              <w:tabs>
                <w:tab w:val="left" w:pos="851"/>
              </w:tabs>
              <w:rPr>
                <w:rFonts w:eastAsia="Calibri"/>
                <w:szCs w:val="24"/>
              </w:rPr>
            </w:pPr>
            <w:r w:rsidRPr="00BE29BE">
              <w:rPr>
                <w:color w:val="000000"/>
                <w:szCs w:val="24"/>
              </w:rPr>
              <w:t>dokuments (skenēts oriģināls vai pretendenta apliecināta kopija), kas apliecina personas, kura pretendenta – juridiskas personas - vārdā paraksta piedāvājuma dokumentus, pārstāvības tiesības;</w:t>
            </w:r>
          </w:p>
          <w:p w14:paraId="745CB682" w14:textId="77777777" w:rsidR="00552F39" w:rsidRPr="00BE29BE" w:rsidRDefault="00552F39" w:rsidP="00F01699">
            <w:pPr>
              <w:pStyle w:val="BodyTextIndent3"/>
              <w:numPr>
                <w:ilvl w:val="0"/>
                <w:numId w:val="4"/>
              </w:numPr>
              <w:shd w:val="clear" w:color="auto" w:fill="FFFFFF" w:themeFill="background1"/>
              <w:tabs>
                <w:tab w:val="left" w:pos="851"/>
              </w:tabs>
              <w:rPr>
                <w:rFonts w:eastAsia="Calibri"/>
                <w:szCs w:val="24"/>
              </w:rPr>
            </w:pPr>
            <w:r w:rsidRPr="00BE29BE">
              <w:rPr>
                <w:szCs w:val="24"/>
              </w:rPr>
              <w:t>komersanta reģistrācijas apliecības kopija vai līdzvērtīgs dokuments, kuru atbilstoši attiecīgās valsts normatīvajiem aktiem ir izsniegusi kompetenta iestāde, kas ir tiesīga apliecināt komersanta reģistrācijas faktu.</w:t>
            </w:r>
          </w:p>
        </w:tc>
        <w:tc>
          <w:tcPr>
            <w:tcW w:w="3827" w:type="dxa"/>
          </w:tcPr>
          <w:p w14:paraId="23D293F6" w14:textId="77777777" w:rsidR="00552F39" w:rsidRPr="00F27561" w:rsidRDefault="00552F39" w:rsidP="00F01699">
            <w:pPr>
              <w:pStyle w:val="BodyTextIndent3"/>
              <w:shd w:val="clear" w:color="auto" w:fill="FFFFFF" w:themeFill="background1"/>
              <w:tabs>
                <w:tab w:val="left" w:pos="851"/>
              </w:tabs>
              <w:ind w:left="52" w:firstLine="0"/>
              <w:rPr>
                <w:color w:val="000000"/>
                <w:szCs w:val="24"/>
              </w:rPr>
            </w:pPr>
            <w:r>
              <w:t>Nav priekšlikumu</w:t>
            </w:r>
          </w:p>
        </w:tc>
        <w:tc>
          <w:tcPr>
            <w:tcW w:w="3402" w:type="dxa"/>
          </w:tcPr>
          <w:p w14:paraId="60830C39" w14:textId="77777777" w:rsidR="00552F39" w:rsidRDefault="00552F39" w:rsidP="00F01699">
            <w:pPr>
              <w:pStyle w:val="BodyTextIndent3"/>
              <w:shd w:val="clear" w:color="auto" w:fill="FFFFFF" w:themeFill="background1"/>
              <w:tabs>
                <w:tab w:val="left" w:pos="851"/>
              </w:tabs>
              <w:ind w:left="52" w:firstLine="0"/>
            </w:pPr>
            <w:r w:rsidRPr="00131A0F">
              <w:rPr>
                <w:szCs w:val="24"/>
                <w:lang w:eastAsia="lv-LV"/>
              </w:rPr>
              <w:t>Iekļaujams kvalifikācijas prasībās</w:t>
            </w:r>
          </w:p>
        </w:tc>
      </w:tr>
      <w:tr w:rsidR="00552F39" w:rsidRPr="00F27561" w14:paraId="584650D0" w14:textId="77777777" w:rsidTr="00F01699">
        <w:trPr>
          <w:trHeight w:val="50"/>
        </w:trPr>
        <w:tc>
          <w:tcPr>
            <w:tcW w:w="666" w:type="dxa"/>
            <w:vAlign w:val="center"/>
          </w:tcPr>
          <w:p w14:paraId="1A9C1FBB" w14:textId="77777777" w:rsidR="00552F39" w:rsidRPr="00F27561" w:rsidRDefault="00552F39" w:rsidP="00F01699">
            <w:pPr>
              <w:pStyle w:val="NoSpacing"/>
              <w:jc w:val="center"/>
            </w:pPr>
            <w:r w:rsidRPr="00F27561">
              <w:t>4.</w:t>
            </w:r>
          </w:p>
        </w:tc>
        <w:tc>
          <w:tcPr>
            <w:tcW w:w="2991" w:type="dxa"/>
            <w:tcBorders>
              <w:top w:val="single" w:sz="4" w:space="0" w:color="auto"/>
            </w:tcBorders>
          </w:tcPr>
          <w:p w14:paraId="727A09F8" w14:textId="77777777" w:rsidR="00552F39" w:rsidRPr="00BE29BE" w:rsidRDefault="00552F39" w:rsidP="00F01699">
            <w:pPr>
              <w:pStyle w:val="NoSpacing"/>
              <w:jc w:val="both"/>
              <w:rPr>
                <w:rFonts w:eastAsia="Calibri"/>
              </w:rPr>
            </w:pPr>
            <w:r w:rsidRPr="00BE29BE">
              <w:t xml:space="preserve">Pretendentam </w:t>
            </w:r>
            <w:bookmarkStart w:id="3" w:name="_Hlk95152868"/>
            <w:r w:rsidRPr="00BE29BE">
              <w:t xml:space="preserve">iepriekšējo 3 (trīs) gadu </w:t>
            </w:r>
            <w:r w:rsidRPr="00E4460F">
              <w:t>(</w:t>
            </w:r>
            <w:r w:rsidRPr="00E4460F">
              <w:rPr>
                <w:spacing w:val="-4"/>
              </w:rPr>
              <w:t>2022., 2023., 2024., tajā skaitā 2025. gadā  līdz piedāvājuma iesniegšanas dienai)</w:t>
            </w:r>
            <w:r w:rsidRPr="006F4B3A">
              <w:rPr>
                <w:b/>
                <w:spacing w:val="-4"/>
              </w:rPr>
              <w:t xml:space="preserve"> </w:t>
            </w:r>
            <w:r w:rsidRPr="00BE29BE">
              <w:t>laikā</w:t>
            </w:r>
            <w:r w:rsidRPr="00BE29BE">
              <w:rPr>
                <w:i/>
              </w:rPr>
              <w:t xml:space="preserve"> </w:t>
            </w:r>
            <w:r w:rsidRPr="00BE29BE">
              <w:t xml:space="preserve"> </w:t>
            </w:r>
            <w:bookmarkStart w:id="4" w:name="_Hlk95153091"/>
            <w:r w:rsidRPr="00BE29BE">
              <w:t xml:space="preserve">ir pieredze konkursa nolikumā noteikto ceļojumu aģentūras pakalpojumu (visu veidu transporta biļešu, vīzu, ceļojuma apdrošināšanas un citu ceļojumu dokumentu nodrošināšanā, viesnīcu rezervācijas) sniegšanā </w:t>
            </w:r>
            <w:r w:rsidRPr="00BE29BE">
              <w:rPr>
                <w:b/>
              </w:rPr>
              <w:lastRenderedPageBreak/>
              <w:t>vismaz 2 (diviem)</w:t>
            </w:r>
            <w:r w:rsidRPr="00BE29BE">
              <w:t xml:space="preserve"> pasūtītājiem (juridiskām personām), no kuriem katram pretendents līguma vai vienošanās ietvaros ir veicis ne mazāk kā 100 (viens simts) aviobiļešu rezervēšanu un piegādi </w:t>
            </w:r>
            <w:r w:rsidRPr="00BE29BE">
              <w:rPr>
                <w:u w:val="single"/>
              </w:rPr>
              <w:t>divu gadu laikā</w:t>
            </w:r>
            <w:bookmarkEnd w:id="3"/>
            <w:bookmarkEnd w:id="4"/>
            <w:r w:rsidRPr="00BE29BE">
              <w:rPr>
                <w:u w:val="single"/>
              </w:rPr>
              <w:t>.</w:t>
            </w:r>
          </w:p>
        </w:tc>
        <w:tc>
          <w:tcPr>
            <w:tcW w:w="4135" w:type="dxa"/>
          </w:tcPr>
          <w:p w14:paraId="4EDD6268" w14:textId="77777777" w:rsidR="00552F39" w:rsidRPr="00BE29BE" w:rsidRDefault="00552F39" w:rsidP="00F01699">
            <w:pPr>
              <w:pStyle w:val="BodyTextIndent3"/>
              <w:shd w:val="clear" w:color="auto" w:fill="FFFFFF" w:themeFill="background1"/>
              <w:tabs>
                <w:tab w:val="left" w:pos="851"/>
              </w:tabs>
              <w:ind w:firstLine="0"/>
              <w:rPr>
                <w:color w:val="000000"/>
                <w:szCs w:val="24"/>
              </w:rPr>
            </w:pPr>
            <w:r w:rsidRPr="00BE29BE">
              <w:rPr>
                <w:color w:val="000000"/>
                <w:szCs w:val="24"/>
              </w:rPr>
              <w:lastRenderedPageBreak/>
              <w:t xml:space="preserve">Apliecinājums par pretendenta pieredzi saskaņā ar Elektronisko iepirkumu sistēmas (turpmāk -  EIS) e-konkursu apakšsistēmā šī konkursa sadaļā publicēto veidlapu </w:t>
            </w:r>
            <w:r w:rsidRPr="00BE29BE">
              <w:rPr>
                <w:i/>
                <w:iCs/>
                <w:color w:val="000000"/>
                <w:szCs w:val="24"/>
              </w:rPr>
              <w:t>(veidlapas sagatave tiks publicēta EIS e-konkursu apakšsistēmā šī konkursa sadaļā, izsludinot iepirkumu).</w:t>
            </w:r>
          </w:p>
          <w:p w14:paraId="1E151E9A" w14:textId="77777777" w:rsidR="00552F39" w:rsidRPr="00BE29BE" w:rsidRDefault="00552F39" w:rsidP="00F01699">
            <w:pPr>
              <w:pStyle w:val="BodyTextIndent3"/>
              <w:shd w:val="clear" w:color="auto" w:fill="FFFFFF" w:themeFill="background1"/>
              <w:tabs>
                <w:tab w:val="left" w:pos="851"/>
              </w:tabs>
              <w:ind w:firstLine="0"/>
              <w:rPr>
                <w:color w:val="000000"/>
                <w:szCs w:val="24"/>
              </w:rPr>
            </w:pPr>
          </w:p>
          <w:p w14:paraId="2B43C639" w14:textId="77777777" w:rsidR="00552F39" w:rsidRPr="00BE29BE" w:rsidRDefault="00552F39" w:rsidP="00F01699">
            <w:pPr>
              <w:pStyle w:val="NoSpacing"/>
              <w:jc w:val="both"/>
              <w:rPr>
                <w:iCs/>
              </w:rPr>
            </w:pPr>
            <w:r w:rsidRPr="00BE29BE">
              <w:rPr>
                <w:kern w:val="32"/>
              </w:rPr>
              <w:t xml:space="preserve">Iepirkuma </w:t>
            </w:r>
            <w:r w:rsidRPr="00BE29BE">
              <w:rPr>
                <w:iCs/>
              </w:rPr>
              <w:t>komisijai ir</w:t>
            </w:r>
            <w:r w:rsidRPr="00BE29BE">
              <w:t xml:space="preserve"> </w:t>
            </w:r>
            <w:r w:rsidRPr="00BE29BE">
              <w:rPr>
                <w:iCs/>
              </w:rPr>
              <w:t>tiesības</w:t>
            </w:r>
            <w:r w:rsidRPr="00BE29BE">
              <w:t xml:space="preserve"> pārbaudīt pretendenta sniegto </w:t>
            </w:r>
            <w:r w:rsidRPr="00BE29BE">
              <w:rPr>
                <w:iCs/>
              </w:rPr>
              <w:t>ziņu patiesumu.</w:t>
            </w:r>
          </w:p>
        </w:tc>
        <w:tc>
          <w:tcPr>
            <w:tcW w:w="3827" w:type="dxa"/>
          </w:tcPr>
          <w:p w14:paraId="62184F19" w14:textId="77777777" w:rsidR="00552F39" w:rsidRDefault="00552F39" w:rsidP="00F01699">
            <w:pPr>
              <w:pStyle w:val="BodyTextIndent3"/>
              <w:shd w:val="clear" w:color="auto" w:fill="FFFFFF" w:themeFill="background1"/>
              <w:tabs>
                <w:tab w:val="left" w:pos="851"/>
              </w:tabs>
              <w:ind w:left="52" w:firstLine="0"/>
              <w:rPr>
                <w:szCs w:val="24"/>
              </w:rPr>
            </w:pPr>
            <w:r w:rsidRPr="006D3FCF">
              <w:rPr>
                <w:szCs w:val="24"/>
              </w:rPr>
              <w:t xml:space="preserve">Vēlamies norādīt, ka tā kā iepirkums ir apjomīgs, tad </w:t>
            </w:r>
            <w:r>
              <w:rPr>
                <w:szCs w:val="24"/>
              </w:rPr>
              <w:t>b</w:t>
            </w:r>
            <w:r w:rsidRPr="006D3FCF">
              <w:rPr>
                <w:szCs w:val="24"/>
              </w:rPr>
              <w:t>ūtiski ir iekļaut prasību</w:t>
            </w:r>
            <w:r>
              <w:rPr>
                <w:szCs w:val="24"/>
              </w:rPr>
              <w:t xml:space="preserve"> par pieredzi līdzvērtīgu Pasūtītāja esošajiem apjomiem.</w:t>
            </w:r>
          </w:p>
          <w:p w14:paraId="599F5C7B" w14:textId="77777777" w:rsidR="00552F39" w:rsidRDefault="00552F39" w:rsidP="00F01699">
            <w:pPr>
              <w:pStyle w:val="BodyTextIndent3"/>
              <w:shd w:val="clear" w:color="auto" w:fill="FFFFFF" w:themeFill="background1"/>
              <w:tabs>
                <w:tab w:val="left" w:pos="851"/>
              </w:tabs>
              <w:ind w:left="52" w:firstLine="0"/>
              <w:rPr>
                <w:szCs w:val="24"/>
              </w:rPr>
            </w:pPr>
          </w:p>
          <w:p w14:paraId="51ABB1D3" w14:textId="77777777" w:rsidR="00552F39" w:rsidRPr="00F27561" w:rsidRDefault="00552F39" w:rsidP="00F01699">
            <w:pPr>
              <w:pStyle w:val="BodyTextIndent3"/>
              <w:shd w:val="clear" w:color="auto" w:fill="FFFFFF" w:themeFill="background1"/>
              <w:tabs>
                <w:tab w:val="left" w:pos="851"/>
              </w:tabs>
              <w:ind w:left="52" w:firstLine="0"/>
              <w:rPr>
                <w:color w:val="000000"/>
                <w:szCs w:val="24"/>
              </w:rPr>
            </w:pPr>
            <w:r>
              <w:rPr>
                <w:szCs w:val="24"/>
              </w:rPr>
              <w:t xml:space="preserve">Un līdz ar to noteikt, ka Pretendentiem ir pieredze </w:t>
            </w:r>
            <w:r w:rsidRPr="00BE29BE">
              <w:rPr>
                <w:b/>
              </w:rPr>
              <w:t>vismaz 2 (diviem)</w:t>
            </w:r>
            <w:r w:rsidRPr="00BE29BE">
              <w:t xml:space="preserve"> pasūtītājiem (juridiskām personām), no kuriem katram pretendents līguma vai vienošanās ietvaros ir veicis ne mazāk kā </w:t>
            </w:r>
            <w:r>
              <w:t>4</w:t>
            </w:r>
            <w:r w:rsidRPr="00BE29BE">
              <w:t>00 (</w:t>
            </w:r>
            <w:r>
              <w:t>četri simti</w:t>
            </w:r>
            <w:r w:rsidRPr="00BE29BE">
              <w:t xml:space="preserve">) aviobiļešu rezervēšanu un piegādi </w:t>
            </w:r>
            <w:r w:rsidRPr="00613268">
              <w:rPr>
                <w:u w:val="single"/>
              </w:rPr>
              <w:t>viena gada laikā</w:t>
            </w:r>
            <w:r w:rsidRPr="00BE29BE">
              <w:rPr>
                <w:u w:val="single"/>
              </w:rPr>
              <w:t>.</w:t>
            </w:r>
          </w:p>
        </w:tc>
        <w:tc>
          <w:tcPr>
            <w:tcW w:w="3402" w:type="dxa"/>
          </w:tcPr>
          <w:p w14:paraId="42D1CF02" w14:textId="77777777" w:rsidR="00552F39" w:rsidRPr="00132E6A" w:rsidRDefault="00552F39" w:rsidP="00F01699">
            <w:pPr>
              <w:pStyle w:val="BodyTextIndent3"/>
              <w:shd w:val="clear" w:color="auto" w:fill="FFFFFF" w:themeFill="background1"/>
              <w:tabs>
                <w:tab w:val="left" w:pos="851"/>
              </w:tabs>
              <w:ind w:left="52" w:firstLine="0"/>
              <w:rPr>
                <w:szCs w:val="24"/>
              </w:rPr>
            </w:pPr>
            <w:r w:rsidRPr="00132E6A">
              <w:rPr>
                <w:szCs w:val="24"/>
              </w:rPr>
              <w:t>Iesniegtais priekšlikums ir daļēji atbalstāms. Komisija vienojas prasību izteikt šādā redakcijā:</w:t>
            </w:r>
          </w:p>
          <w:p w14:paraId="05FF5406" w14:textId="77777777" w:rsidR="00552F39" w:rsidRDefault="00552F39" w:rsidP="00F01699">
            <w:pPr>
              <w:pStyle w:val="BodyTextIndent3"/>
              <w:shd w:val="clear" w:color="auto" w:fill="FFFFFF" w:themeFill="background1"/>
              <w:tabs>
                <w:tab w:val="left" w:pos="851"/>
              </w:tabs>
              <w:ind w:left="52" w:firstLine="0"/>
              <w:rPr>
                <w:szCs w:val="24"/>
              </w:rPr>
            </w:pPr>
          </w:p>
          <w:p w14:paraId="2F472AEB" w14:textId="77777777" w:rsidR="00552F39" w:rsidRPr="006D3FCF" w:rsidRDefault="00552F39" w:rsidP="00F01699">
            <w:pPr>
              <w:pStyle w:val="BodyTextIndent3"/>
              <w:shd w:val="clear" w:color="auto" w:fill="FFFFFF" w:themeFill="background1"/>
              <w:tabs>
                <w:tab w:val="left" w:pos="851"/>
              </w:tabs>
              <w:ind w:left="52" w:firstLine="0"/>
              <w:rPr>
                <w:szCs w:val="24"/>
              </w:rPr>
            </w:pPr>
            <w:r w:rsidRPr="00BE29BE">
              <w:t xml:space="preserve">Pretendentam iepriekšējo 3 (trīs) gadu </w:t>
            </w:r>
            <w:r w:rsidRPr="00E4460F">
              <w:t>(</w:t>
            </w:r>
            <w:r w:rsidRPr="00E4460F">
              <w:rPr>
                <w:spacing w:val="-4"/>
              </w:rPr>
              <w:t>2022., 2023., 2024., tajā skaitā 2025. gadā  līdz piedāvājuma iesniegšanas dienai)</w:t>
            </w:r>
            <w:r w:rsidRPr="006F4B3A">
              <w:rPr>
                <w:b/>
                <w:spacing w:val="-4"/>
              </w:rPr>
              <w:t xml:space="preserve"> </w:t>
            </w:r>
            <w:r w:rsidRPr="00BE29BE">
              <w:t>laikā</w:t>
            </w:r>
            <w:r w:rsidRPr="00BE29BE">
              <w:rPr>
                <w:i/>
              </w:rPr>
              <w:t xml:space="preserve"> </w:t>
            </w:r>
            <w:r w:rsidRPr="00BE29BE">
              <w:t xml:space="preserve"> ir pieredze konkursa nolikumā noteikto ceļojumu aģentūras pakalpojumu (visu veidu transporta biļešu, vīzu, ceļojuma apdrošināšanas un citu </w:t>
            </w:r>
            <w:r w:rsidRPr="00BE29BE">
              <w:lastRenderedPageBreak/>
              <w:t xml:space="preserve">ceļojumu dokumentu nodrošināšanā, viesnīcu rezervācijas) sniegšanā </w:t>
            </w:r>
            <w:r w:rsidRPr="00BE29BE">
              <w:rPr>
                <w:b/>
              </w:rPr>
              <w:t>vismaz 2 (diviem)</w:t>
            </w:r>
            <w:r>
              <w:rPr>
                <w:b/>
              </w:rPr>
              <w:t xml:space="preserve"> </w:t>
            </w:r>
            <w:r w:rsidRPr="00BE29BE">
              <w:t xml:space="preserve">pasūtītājiem (juridiskām personām), no kuriem katram pretendents līguma vai vienošanās ietvaros ir veicis ne mazāk kā </w:t>
            </w:r>
            <w:r>
              <w:t>200</w:t>
            </w:r>
            <w:r w:rsidRPr="00BE29BE">
              <w:t xml:space="preserve"> (</w:t>
            </w:r>
            <w:r>
              <w:t>divi</w:t>
            </w:r>
            <w:r w:rsidRPr="00BE29BE">
              <w:t xml:space="preserve"> simt</w:t>
            </w:r>
            <w:r>
              <w:t>i</w:t>
            </w:r>
            <w:r w:rsidRPr="00BE29BE">
              <w:t xml:space="preserve">) aviobiļešu rezervēšanu un piegādi </w:t>
            </w:r>
            <w:r w:rsidRPr="00BE29BE">
              <w:rPr>
                <w:u w:val="single"/>
              </w:rPr>
              <w:t>divu gadu laikā.</w:t>
            </w:r>
          </w:p>
        </w:tc>
      </w:tr>
      <w:tr w:rsidR="00552F39" w:rsidRPr="00F27561" w14:paraId="2A6D0D5F" w14:textId="77777777" w:rsidTr="00F01699">
        <w:trPr>
          <w:trHeight w:val="50"/>
        </w:trPr>
        <w:tc>
          <w:tcPr>
            <w:tcW w:w="666" w:type="dxa"/>
            <w:vAlign w:val="center"/>
          </w:tcPr>
          <w:p w14:paraId="1C97146E" w14:textId="77777777" w:rsidR="00552F39" w:rsidRDefault="00552F39" w:rsidP="00F01699">
            <w:pPr>
              <w:pStyle w:val="NoSpacing"/>
              <w:jc w:val="center"/>
            </w:pPr>
            <w:r>
              <w:lastRenderedPageBreak/>
              <w:t>5.</w:t>
            </w:r>
          </w:p>
        </w:tc>
        <w:tc>
          <w:tcPr>
            <w:tcW w:w="2991" w:type="dxa"/>
            <w:tcBorders>
              <w:top w:val="single" w:sz="4" w:space="0" w:color="auto"/>
            </w:tcBorders>
          </w:tcPr>
          <w:p w14:paraId="6AF783C5" w14:textId="77777777" w:rsidR="00552F39" w:rsidRPr="00BE29BE" w:rsidRDefault="00552F39" w:rsidP="00F01699">
            <w:pPr>
              <w:pStyle w:val="Default"/>
              <w:jc w:val="both"/>
            </w:pPr>
            <w:r w:rsidRPr="00BE29BE">
              <w:t xml:space="preserve">Pretendents ir Starptautiskās gaisa transporta asociācijas (IATA - </w:t>
            </w:r>
            <w:proofErr w:type="spellStart"/>
            <w:r w:rsidRPr="00BE29BE">
              <w:t>International</w:t>
            </w:r>
            <w:proofErr w:type="spellEnd"/>
            <w:r w:rsidRPr="00BE29BE">
              <w:t xml:space="preserve"> </w:t>
            </w:r>
            <w:proofErr w:type="spellStart"/>
            <w:r w:rsidRPr="00BE29BE">
              <w:t>Air</w:t>
            </w:r>
            <w:proofErr w:type="spellEnd"/>
            <w:r w:rsidRPr="00BE29BE">
              <w:t xml:space="preserve"> Transport Association), turpmāk – IATA, vai ekvivalentas asociācijas biedrs. Ekvivalenta asociācija ir līdzvērtīga organizācija, kas darbojas līdzvērtīgā ģeogrāfiskā reģionā, darbojas ar līdzvērtīgiem mērķiem un uzdevumiem, tajā ir līdzvērtīgs biedru skaits u.c. salīdzināmas pazīmes. </w:t>
            </w:r>
          </w:p>
        </w:tc>
        <w:tc>
          <w:tcPr>
            <w:tcW w:w="4135" w:type="dxa"/>
          </w:tcPr>
          <w:p w14:paraId="3487052B" w14:textId="77777777" w:rsidR="00552F39" w:rsidRPr="00BE29BE" w:rsidRDefault="00552F39" w:rsidP="00F01699">
            <w:pPr>
              <w:pStyle w:val="Default"/>
              <w:jc w:val="both"/>
            </w:pPr>
            <w:r w:rsidRPr="00BE29BE">
              <w:t>Starptautiskās Gaisa transporta asociācijas (</w:t>
            </w:r>
            <w:proofErr w:type="spellStart"/>
            <w:r w:rsidRPr="00BE29BE">
              <w:t>International</w:t>
            </w:r>
            <w:proofErr w:type="spellEnd"/>
            <w:r w:rsidRPr="00BE29BE">
              <w:t xml:space="preserve"> </w:t>
            </w:r>
            <w:proofErr w:type="spellStart"/>
            <w:r w:rsidRPr="00BE29BE">
              <w:t>Air</w:t>
            </w:r>
            <w:proofErr w:type="spellEnd"/>
            <w:r w:rsidRPr="00BE29BE">
              <w:t xml:space="preserve"> Transport Association – IATA) vai ekvivalentas organizācijas izdota un spēkā esoša sertifikāta vai cita līdzvērtīga dokumenta, kas šo faktu apliecina, apliecināta kopija. </w:t>
            </w:r>
          </w:p>
          <w:p w14:paraId="3ADE0BFA" w14:textId="77777777" w:rsidR="00552F39" w:rsidRPr="00BE29BE" w:rsidRDefault="00552F39" w:rsidP="00F01699">
            <w:pPr>
              <w:pStyle w:val="BodyTextIndent3"/>
              <w:shd w:val="clear" w:color="auto" w:fill="FFFFFF" w:themeFill="background1"/>
              <w:tabs>
                <w:tab w:val="left" w:pos="851"/>
              </w:tabs>
              <w:ind w:firstLine="0"/>
              <w:rPr>
                <w:szCs w:val="24"/>
              </w:rPr>
            </w:pPr>
          </w:p>
        </w:tc>
        <w:tc>
          <w:tcPr>
            <w:tcW w:w="3827" w:type="dxa"/>
          </w:tcPr>
          <w:p w14:paraId="737E48FD" w14:textId="77777777" w:rsidR="00552F39" w:rsidRPr="00F27561" w:rsidRDefault="00552F39" w:rsidP="00F01699">
            <w:pPr>
              <w:pStyle w:val="BodyTextIndent3"/>
              <w:shd w:val="clear" w:color="auto" w:fill="FFFFFF" w:themeFill="background1"/>
              <w:tabs>
                <w:tab w:val="left" w:pos="851"/>
              </w:tabs>
              <w:ind w:left="52" w:firstLine="0"/>
              <w:rPr>
                <w:color w:val="000000"/>
                <w:szCs w:val="24"/>
              </w:rPr>
            </w:pPr>
            <w:r>
              <w:rPr>
                <w:color w:val="000000"/>
                <w:szCs w:val="24"/>
              </w:rPr>
              <w:t xml:space="preserve">Nav </w:t>
            </w:r>
            <w:r>
              <w:t>priekšlikumu</w:t>
            </w:r>
          </w:p>
        </w:tc>
        <w:tc>
          <w:tcPr>
            <w:tcW w:w="3402" w:type="dxa"/>
          </w:tcPr>
          <w:p w14:paraId="4EC30393" w14:textId="77777777" w:rsidR="00552F39" w:rsidRDefault="00552F39" w:rsidP="00F01699">
            <w:pPr>
              <w:pStyle w:val="BodyTextIndent3"/>
              <w:shd w:val="clear" w:color="auto" w:fill="FFFFFF" w:themeFill="background1"/>
              <w:tabs>
                <w:tab w:val="left" w:pos="851"/>
              </w:tabs>
              <w:ind w:left="52" w:firstLine="0"/>
              <w:rPr>
                <w:color w:val="000000"/>
                <w:szCs w:val="24"/>
              </w:rPr>
            </w:pPr>
            <w:r w:rsidRPr="00131A0F">
              <w:rPr>
                <w:szCs w:val="24"/>
                <w:lang w:eastAsia="lv-LV"/>
              </w:rPr>
              <w:t>Iekļaujams kvalifikācijas prasībās</w:t>
            </w:r>
          </w:p>
        </w:tc>
      </w:tr>
      <w:tr w:rsidR="00552F39" w:rsidRPr="00F27561" w14:paraId="44785558" w14:textId="77777777" w:rsidTr="00F01699">
        <w:trPr>
          <w:trHeight w:val="50"/>
        </w:trPr>
        <w:tc>
          <w:tcPr>
            <w:tcW w:w="666" w:type="dxa"/>
            <w:vAlign w:val="center"/>
          </w:tcPr>
          <w:p w14:paraId="34A6CFBA" w14:textId="77777777" w:rsidR="00552F39" w:rsidRDefault="00552F39" w:rsidP="00F01699">
            <w:pPr>
              <w:pStyle w:val="NoSpacing"/>
              <w:jc w:val="center"/>
            </w:pPr>
            <w:r>
              <w:t>6.</w:t>
            </w:r>
          </w:p>
        </w:tc>
        <w:tc>
          <w:tcPr>
            <w:tcW w:w="2991" w:type="dxa"/>
            <w:tcBorders>
              <w:top w:val="single" w:sz="4" w:space="0" w:color="auto"/>
            </w:tcBorders>
          </w:tcPr>
          <w:p w14:paraId="7E7BE0B8" w14:textId="77777777" w:rsidR="00552F39" w:rsidRPr="00BE29BE" w:rsidRDefault="00552F39" w:rsidP="00F01699">
            <w:pPr>
              <w:pStyle w:val="NoSpacing"/>
              <w:jc w:val="both"/>
            </w:pPr>
            <w:r w:rsidRPr="00E4460F">
              <w:rPr>
                <w:spacing w:val="-4"/>
              </w:rPr>
              <w:t>Pretendents ir reģistrēts Patērētāju tiesību aizsardzības centra Tūrisma operatoru  un aģentu datubāzē</w:t>
            </w:r>
            <w:r w:rsidRPr="006F4B3A">
              <w:rPr>
                <w:b/>
                <w:spacing w:val="-4"/>
              </w:rPr>
              <w:t xml:space="preserve"> </w:t>
            </w:r>
            <w:r w:rsidRPr="006F4B3A">
              <w:rPr>
                <w:bCs/>
                <w:spacing w:val="-4"/>
              </w:rPr>
              <w:t xml:space="preserve">saskaņā ar Ministru kabineta 2018. gada 26. jūnija noteikumiem Nr.380 </w:t>
            </w:r>
            <w:r>
              <w:rPr>
                <w:bCs/>
                <w:spacing w:val="-4"/>
              </w:rPr>
              <w:t>“</w:t>
            </w:r>
            <w:r w:rsidRPr="006F4B3A">
              <w:rPr>
                <w:bCs/>
                <w:spacing w:val="-4"/>
              </w:rPr>
              <w:t xml:space="preserve">Noteikumi par kompleksa un saistīta tūrisma pakalpojuma sagatavošanas </w:t>
            </w:r>
            <w:r w:rsidRPr="006F4B3A">
              <w:rPr>
                <w:bCs/>
                <w:spacing w:val="-4"/>
              </w:rPr>
              <w:lastRenderedPageBreak/>
              <w:t>un sniegšanas kārtību un kompleksu un saistītu tūrisma pakalpojumu sniedzēju un ceļotāju tiesībām un pienākumiem</w:t>
            </w:r>
            <w:r>
              <w:rPr>
                <w:bCs/>
                <w:spacing w:val="-4"/>
              </w:rPr>
              <w:t>”.</w:t>
            </w:r>
          </w:p>
        </w:tc>
        <w:tc>
          <w:tcPr>
            <w:tcW w:w="4135" w:type="dxa"/>
          </w:tcPr>
          <w:p w14:paraId="7168DDFD" w14:textId="77777777" w:rsidR="00552F39" w:rsidRDefault="00552F39" w:rsidP="00F01699">
            <w:pPr>
              <w:pStyle w:val="NoSpacing"/>
              <w:jc w:val="both"/>
              <w:rPr>
                <w:rFonts w:eastAsia="Calibri"/>
                <w:i/>
                <w:iCs/>
              </w:rPr>
            </w:pPr>
            <w:r>
              <w:rPr>
                <w:rFonts w:eastAsia="Calibri"/>
                <w:i/>
                <w:iCs/>
              </w:rPr>
              <w:lastRenderedPageBreak/>
              <w:t>A</w:t>
            </w:r>
            <w:r w:rsidRPr="00FA39D2">
              <w:rPr>
                <w:rFonts w:eastAsia="Calibri"/>
                <w:i/>
                <w:iCs/>
              </w:rPr>
              <w:t xml:space="preserve">tbilstību minētajai prasībai </w:t>
            </w:r>
            <w:r>
              <w:rPr>
                <w:rFonts w:eastAsia="Calibri"/>
                <w:i/>
                <w:iCs/>
              </w:rPr>
              <w:t>komisija</w:t>
            </w:r>
            <w:r w:rsidRPr="00FA39D2">
              <w:rPr>
                <w:rFonts w:eastAsia="Calibri"/>
                <w:i/>
                <w:iCs/>
              </w:rPr>
              <w:t xml:space="preserve"> pārbaudīs </w:t>
            </w:r>
            <w:r w:rsidRPr="00C20F33">
              <w:rPr>
                <w:rFonts w:eastAsia="Calibri"/>
                <w:i/>
                <w:iCs/>
              </w:rPr>
              <w:t>Patērētāju tiesību aizsardzības centr</w:t>
            </w:r>
            <w:r>
              <w:rPr>
                <w:rFonts w:eastAsia="Calibri"/>
                <w:i/>
                <w:iCs/>
              </w:rPr>
              <w:t>a</w:t>
            </w:r>
            <w:r w:rsidRPr="00FA39D2">
              <w:rPr>
                <w:rFonts w:eastAsia="Calibri"/>
                <w:i/>
                <w:iCs/>
              </w:rPr>
              <w:t xml:space="preserve"> tīmekļvietnē</w:t>
            </w:r>
            <w:r>
              <w:rPr>
                <w:rFonts w:eastAsia="Calibri"/>
                <w:i/>
                <w:iCs/>
              </w:rPr>
              <w:t xml:space="preserve"> </w:t>
            </w:r>
            <w:hyperlink r:id="rId8" w:history="1">
              <w:r w:rsidRPr="00B76325">
                <w:rPr>
                  <w:rStyle w:val="Hyperlink"/>
                  <w:rFonts w:eastAsia="Calibri"/>
                  <w:i/>
                  <w:iCs/>
                </w:rPr>
                <w:t>https://registri.ptac.gov.lv/registri/turisma-pakalpojumu-sniedzeji</w:t>
              </w:r>
            </w:hyperlink>
          </w:p>
          <w:p w14:paraId="5F192985" w14:textId="77777777" w:rsidR="00552F39" w:rsidRPr="00BE29BE" w:rsidRDefault="00552F39" w:rsidP="00F01699">
            <w:pPr>
              <w:pStyle w:val="NoSpacing"/>
              <w:jc w:val="both"/>
              <w:rPr>
                <w:color w:val="000000"/>
                <w:highlight w:val="yellow"/>
              </w:rPr>
            </w:pPr>
          </w:p>
          <w:p w14:paraId="635AC1D5" w14:textId="77777777" w:rsidR="00552F39" w:rsidRPr="00BE29BE" w:rsidRDefault="00552F39" w:rsidP="00F01699">
            <w:pPr>
              <w:pStyle w:val="BodyTextIndent3"/>
              <w:shd w:val="clear" w:color="auto" w:fill="FFFFFF" w:themeFill="background1"/>
              <w:tabs>
                <w:tab w:val="left" w:pos="851"/>
              </w:tabs>
              <w:ind w:firstLine="0"/>
              <w:rPr>
                <w:szCs w:val="24"/>
              </w:rPr>
            </w:pPr>
            <w:r w:rsidRPr="00BE29BE">
              <w:rPr>
                <w:szCs w:val="24"/>
              </w:rPr>
              <w:t xml:space="preserve">Ja pretendents ir reģistrēts ārvalstī, tad pretendents iesniedz apliecinājumu, ka tas ir reģistrēts, licencēts vai sertificēts </w:t>
            </w:r>
            <w:r w:rsidRPr="00BE29BE">
              <w:rPr>
                <w:szCs w:val="24"/>
              </w:rPr>
              <w:lastRenderedPageBreak/>
              <w:t>atbilstoši tā reģistrācijas (izcelsmes) valsts normatīvo aktu prasībām.</w:t>
            </w:r>
          </w:p>
        </w:tc>
        <w:tc>
          <w:tcPr>
            <w:tcW w:w="3827" w:type="dxa"/>
          </w:tcPr>
          <w:p w14:paraId="2BCB0583" w14:textId="77777777" w:rsidR="00552F39" w:rsidRPr="00F27561" w:rsidRDefault="00552F39" w:rsidP="00F01699">
            <w:pPr>
              <w:pStyle w:val="BodyTextIndent3"/>
              <w:shd w:val="clear" w:color="auto" w:fill="FFFFFF" w:themeFill="background1"/>
              <w:tabs>
                <w:tab w:val="left" w:pos="851"/>
              </w:tabs>
              <w:ind w:left="52" w:firstLine="0"/>
              <w:rPr>
                <w:color w:val="000000"/>
                <w:szCs w:val="24"/>
              </w:rPr>
            </w:pPr>
            <w:r>
              <w:rPr>
                <w:color w:val="000000"/>
                <w:szCs w:val="24"/>
              </w:rPr>
              <w:lastRenderedPageBreak/>
              <w:t>Nav priekšlikumu</w:t>
            </w:r>
          </w:p>
        </w:tc>
        <w:tc>
          <w:tcPr>
            <w:tcW w:w="3402" w:type="dxa"/>
          </w:tcPr>
          <w:p w14:paraId="269F331B" w14:textId="77777777" w:rsidR="00552F39" w:rsidRDefault="00552F39" w:rsidP="00F01699">
            <w:pPr>
              <w:pStyle w:val="BodyTextIndent3"/>
              <w:shd w:val="clear" w:color="auto" w:fill="FFFFFF" w:themeFill="background1"/>
              <w:tabs>
                <w:tab w:val="left" w:pos="851"/>
              </w:tabs>
              <w:ind w:left="52" w:firstLine="0"/>
              <w:rPr>
                <w:color w:val="000000"/>
                <w:szCs w:val="24"/>
              </w:rPr>
            </w:pPr>
            <w:r w:rsidRPr="00131A0F">
              <w:rPr>
                <w:szCs w:val="24"/>
                <w:lang w:eastAsia="lv-LV"/>
              </w:rPr>
              <w:t>Iekļaujams kvalifikācijas prasībās</w:t>
            </w:r>
          </w:p>
        </w:tc>
      </w:tr>
      <w:tr w:rsidR="00552F39" w:rsidRPr="000D642D" w14:paraId="4E584C03" w14:textId="77777777" w:rsidTr="00F01699">
        <w:trPr>
          <w:trHeight w:val="50"/>
        </w:trPr>
        <w:tc>
          <w:tcPr>
            <w:tcW w:w="666" w:type="dxa"/>
            <w:vAlign w:val="center"/>
          </w:tcPr>
          <w:p w14:paraId="576EF632" w14:textId="77777777" w:rsidR="00552F39" w:rsidRDefault="00552F39" w:rsidP="00F01699">
            <w:pPr>
              <w:pStyle w:val="NoSpacing"/>
              <w:jc w:val="center"/>
            </w:pPr>
            <w:r>
              <w:t>7.</w:t>
            </w:r>
          </w:p>
        </w:tc>
        <w:tc>
          <w:tcPr>
            <w:tcW w:w="2991" w:type="dxa"/>
            <w:tcBorders>
              <w:top w:val="single" w:sz="4" w:space="0" w:color="auto"/>
              <w:bottom w:val="single" w:sz="4" w:space="0" w:color="auto"/>
            </w:tcBorders>
          </w:tcPr>
          <w:p w14:paraId="56E7C536" w14:textId="77777777" w:rsidR="00552F39" w:rsidRPr="00BE29BE" w:rsidRDefault="00552F39" w:rsidP="00F01699">
            <w:pPr>
              <w:pStyle w:val="NoSpacing"/>
              <w:jc w:val="both"/>
            </w:pPr>
            <w:r w:rsidRPr="00BE29BE">
              <w:t>Pretendenta rīcībā līguma izpildes laikā būs</w:t>
            </w:r>
            <w:r w:rsidRPr="00BE29BE">
              <w:rPr>
                <w:b/>
              </w:rPr>
              <w:t xml:space="preserve"> vismaz </w:t>
            </w:r>
            <w:r w:rsidRPr="00BE29BE">
              <w:rPr>
                <w:b/>
                <w:u w:val="single"/>
              </w:rPr>
              <w:t>2 (divi) konsultanti</w:t>
            </w:r>
            <w:r w:rsidRPr="00BE29BE">
              <w:t>, kuri atbilst šādām prasībām:</w:t>
            </w:r>
          </w:p>
          <w:p w14:paraId="14859BC9" w14:textId="77777777" w:rsidR="00552F39" w:rsidRDefault="00552F39" w:rsidP="00F01699">
            <w:pPr>
              <w:pStyle w:val="NoSpacing"/>
              <w:numPr>
                <w:ilvl w:val="0"/>
                <w:numId w:val="27"/>
              </w:numPr>
              <w:jc w:val="both"/>
            </w:pPr>
            <w:r w:rsidRPr="00BE29BE">
              <w:t xml:space="preserve">iepriekšējo 3 (trīs) gadu laikā </w:t>
            </w:r>
            <w:r w:rsidRPr="00BE29BE">
              <w:rPr>
                <w:i/>
              </w:rPr>
              <w:t xml:space="preserve"> līdz piedāvājumu iesniegšanas termiņam</w:t>
            </w:r>
            <w:r w:rsidRPr="00BE29BE">
              <w:t xml:space="preserve"> ir pieredze </w:t>
            </w:r>
            <w:r w:rsidRPr="00BE29BE">
              <w:rPr>
                <w:b/>
              </w:rPr>
              <w:t>vismaz 1 (viena) līguma</w:t>
            </w:r>
            <w:r w:rsidRPr="00BE29BE">
              <w:t xml:space="preserve"> izpildē (bijis patstāvīgi piesaistītais konsultants), kur iegūta pieredze korporatīvo klientu apkalpošanā ceļojumu pakalpojumu sniegšanā;</w:t>
            </w:r>
          </w:p>
          <w:p w14:paraId="64B62876" w14:textId="77777777" w:rsidR="00552F39" w:rsidRPr="00BE29BE" w:rsidRDefault="00552F39" w:rsidP="00F01699">
            <w:pPr>
              <w:pStyle w:val="NoSpacing"/>
              <w:numPr>
                <w:ilvl w:val="0"/>
                <w:numId w:val="27"/>
              </w:numPr>
              <w:jc w:val="both"/>
            </w:pPr>
            <w:r w:rsidRPr="00BE29BE">
              <w:t>kuri Pakalpojuma izpildē spēj komunicēt ar Pasūtītāja darbiniekiem latviešu valodā (vismaz C1 līmenī).</w:t>
            </w:r>
          </w:p>
        </w:tc>
        <w:tc>
          <w:tcPr>
            <w:tcW w:w="4135" w:type="dxa"/>
          </w:tcPr>
          <w:p w14:paraId="3B3B2AC8" w14:textId="77777777" w:rsidR="00552F39" w:rsidRPr="00BE29BE" w:rsidRDefault="00552F39" w:rsidP="00F01699">
            <w:pPr>
              <w:pStyle w:val="NoSpacing"/>
              <w:jc w:val="both"/>
            </w:pPr>
            <w:r w:rsidRPr="00BE29BE">
              <w:t>Pakalpojuma sniegšanā iesaistītā personāla CV, kas satur raksturojumu un/vai apliecinājumu atbilstībai konkursa nolikuma prasībām;</w:t>
            </w:r>
          </w:p>
          <w:p w14:paraId="67E5146B" w14:textId="77777777" w:rsidR="00552F39" w:rsidRPr="00BE29BE" w:rsidRDefault="00552F39" w:rsidP="00F01699">
            <w:pPr>
              <w:pStyle w:val="NoSpacing"/>
              <w:jc w:val="both"/>
              <w:rPr>
                <w:color w:val="000000"/>
              </w:rPr>
            </w:pPr>
          </w:p>
          <w:p w14:paraId="5A4D3DF0" w14:textId="77777777" w:rsidR="00552F39" w:rsidRPr="00BE29BE" w:rsidRDefault="00552F39" w:rsidP="00F01699">
            <w:pPr>
              <w:pStyle w:val="NoSpacing"/>
              <w:jc w:val="both"/>
            </w:pPr>
            <w:r w:rsidRPr="00BE29BE">
              <w:t>Piesaistīto speciālistu parakstīti pieejamības apliecinājumi, vai cita dokumentācija, kas apliecina, ka speciālisti līguma izpildei būs pieejami.</w:t>
            </w:r>
          </w:p>
        </w:tc>
        <w:tc>
          <w:tcPr>
            <w:tcW w:w="3827" w:type="dxa"/>
          </w:tcPr>
          <w:p w14:paraId="604DFDB2" w14:textId="77777777" w:rsidR="00552F39" w:rsidRPr="008F71BA" w:rsidRDefault="00552F39" w:rsidP="00F01699">
            <w:pPr>
              <w:jc w:val="both"/>
              <w:rPr>
                <w:sz w:val="24"/>
                <w:szCs w:val="24"/>
              </w:rPr>
            </w:pPr>
            <w:r w:rsidRPr="008F71BA">
              <w:rPr>
                <w:sz w:val="24"/>
                <w:szCs w:val="24"/>
              </w:rPr>
              <w:t>Vēlamies norādīt, ka Pasūtītāja darbiniekiem ir jābūt pieredzei darbā ar klientiem, kas ir norādīti prasībā par uzņēmumu/iestādi. Ja uzņēmumam tiek prasīta pieredze darbā ar iestādi, kam nodrošinātas, piemēram, 100 aviobiļetes, tad arī darbiniekam ir jābūt pieredzei darbā ar šāda apjoma klientu.</w:t>
            </w:r>
          </w:p>
        </w:tc>
        <w:tc>
          <w:tcPr>
            <w:tcW w:w="3402" w:type="dxa"/>
          </w:tcPr>
          <w:p w14:paraId="2B0A89E1" w14:textId="77777777" w:rsidR="00552F39" w:rsidRDefault="00552F39" w:rsidP="00F01699">
            <w:pPr>
              <w:jc w:val="both"/>
            </w:pPr>
            <w:r w:rsidRPr="00132E6A">
              <w:rPr>
                <w:sz w:val="24"/>
                <w:szCs w:val="24"/>
              </w:rPr>
              <w:t>Iesniegtais priekšlikums ir noraidāms. Pasūtītāja ieskatā, apspriedes noteikumos izvirzītā prasība ir samērīga atbilstoši iepirkuma priekšmetam un veicina konkurenci.</w:t>
            </w:r>
          </w:p>
        </w:tc>
      </w:tr>
      <w:tr w:rsidR="00552F39" w:rsidRPr="00E4460F" w14:paraId="3941E6FF" w14:textId="77777777" w:rsidTr="00F01699">
        <w:trPr>
          <w:trHeight w:val="50"/>
        </w:trPr>
        <w:tc>
          <w:tcPr>
            <w:tcW w:w="666" w:type="dxa"/>
            <w:vAlign w:val="center"/>
          </w:tcPr>
          <w:p w14:paraId="2C68EFAD" w14:textId="77777777" w:rsidR="00552F39" w:rsidRDefault="00552F39" w:rsidP="00F01699">
            <w:pPr>
              <w:pStyle w:val="NoSpacing"/>
              <w:jc w:val="center"/>
            </w:pPr>
            <w:r>
              <w:t>8.</w:t>
            </w:r>
          </w:p>
        </w:tc>
        <w:tc>
          <w:tcPr>
            <w:tcW w:w="2991" w:type="dxa"/>
            <w:tcBorders>
              <w:top w:val="single" w:sz="4" w:space="0" w:color="auto"/>
            </w:tcBorders>
          </w:tcPr>
          <w:p w14:paraId="50BF787E" w14:textId="77777777" w:rsidR="00552F39" w:rsidRPr="001A4BE0" w:rsidRDefault="00552F39" w:rsidP="00F01699">
            <w:pPr>
              <w:pStyle w:val="NoSpacing"/>
              <w:jc w:val="both"/>
            </w:pPr>
            <w:r w:rsidRPr="001A4BE0">
              <w:t xml:space="preserve">Pretendenta apstiprinātajā gada pārskatā par iepriekšējo </w:t>
            </w:r>
            <w:r w:rsidRPr="001A4BE0">
              <w:lastRenderedPageBreak/>
              <w:t>pārskata periodu (2024. gads) likviditātes koeficients (apgrozāmie līdzekļi / īstermiņa saistības) ir ne mazāks par 1,00 (viens komats nulle).</w:t>
            </w:r>
          </w:p>
        </w:tc>
        <w:tc>
          <w:tcPr>
            <w:tcW w:w="4135" w:type="dxa"/>
          </w:tcPr>
          <w:p w14:paraId="5C7E5FE6" w14:textId="77777777" w:rsidR="00552F39" w:rsidRPr="001A4BE0" w:rsidRDefault="00552F39" w:rsidP="00F01699">
            <w:pPr>
              <w:pStyle w:val="NoSpacing"/>
              <w:jc w:val="both"/>
            </w:pPr>
            <w:r w:rsidRPr="001A4BE0">
              <w:lastRenderedPageBreak/>
              <w:t xml:space="preserve">Pretendenta apstiprinātā gada pārskats par iepriekšējo pārskata periodu </w:t>
            </w:r>
            <w:r w:rsidRPr="001A4BE0">
              <w:lastRenderedPageBreak/>
              <w:t>(2024.gadu) izraksts. Ja nav pienācis normatīvajos aktos noteiktais termiņš gada pārskata iesniegšanai par pēdējo finanšu pārskata gadu, tad pretendents ir tiesīgs iesniegt operatīvo bilanci.</w:t>
            </w:r>
          </w:p>
        </w:tc>
        <w:tc>
          <w:tcPr>
            <w:tcW w:w="3827" w:type="dxa"/>
          </w:tcPr>
          <w:p w14:paraId="7731EA7F" w14:textId="77777777" w:rsidR="00552F39" w:rsidRPr="00E4460F" w:rsidRDefault="00552F39" w:rsidP="00F01699">
            <w:pPr>
              <w:pStyle w:val="BodyTextIndent3"/>
              <w:shd w:val="clear" w:color="auto" w:fill="FFFFFF" w:themeFill="background1"/>
              <w:tabs>
                <w:tab w:val="left" w:pos="851"/>
              </w:tabs>
              <w:ind w:left="52" w:firstLine="0"/>
              <w:rPr>
                <w:color w:val="000000"/>
                <w:szCs w:val="24"/>
                <w:highlight w:val="yellow"/>
              </w:rPr>
            </w:pPr>
            <w:r w:rsidRPr="00B059FD">
              <w:rPr>
                <w:color w:val="000000"/>
                <w:szCs w:val="24"/>
              </w:rPr>
              <w:lastRenderedPageBreak/>
              <w:t>Nav priekšlikumu</w:t>
            </w:r>
          </w:p>
        </w:tc>
        <w:tc>
          <w:tcPr>
            <w:tcW w:w="3402" w:type="dxa"/>
          </w:tcPr>
          <w:p w14:paraId="50FDF236" w14:textId="77777777" w:rsidR="00552F39" w:rsidRPr="00B059FD" w:rsidRDefault="00552F39" w:rsidP="00F01699">
            <w:pPr>
              <w:pStyle w:val="BodyTextIndent3"/>
              <w:shd w:val="clear" w:color="auto" w:fill="FFFFFF" w:themeFill="background1"/>
              <w:tabs>
                <w:tab w:val="left" w:pos="851"/>
              </w:tabs>
              <w:ind w:left="52" w:firstLine="0"/>
              <w:rPr>
                <w:color w:val="000000"/>
                <w:szCs w:val="24"/>
              </w:rPr>
            </w:pPr>
            <w:r w:rsidRPr="00131A0F">
              <w:rPr>
                <w:szCs w:val="24"/>
                <w:lang w:eastAsia="lv-LV"/>
              </w:rPr>
              <w:t>Iekļaujams kvalifikācijas prasībās</w:t>
            </w:r>
          </w:p>
        </w:tc>
      </w:tr>
    </w:tbl>
    <w:p w14:paraId="30479543" w14:textId="77777777" w:rsidR="00552F39" w:rsidRPr="00CD5102" w:rsidRDefault="00552F39" w:rsidP="00552F39">
      <w:pPr>
        <w:pStyle w:val="ListParagraph"/>
        <w:numPr>
          <w:ilvl w:val="0"/>
          <w:numId w:val="1"/>
        </w:numPr>
        <w:spacing w:line="360" w:lineRule="auto"/>
        <w:jc w:val="both"/>
        <w:rPr>
          <w:rFonts w:cs="Times New Roman"/>
          <w:sz w:val="24"/>
          <w:szCs w:val="24"/>
        </w:rPr>
      </w:pPr>
      <w:r w:rsidRPr="00CD5102">
        <w:rPr>
          <w:rFonts w:eastAsia="Times New Roman" w:cs="Times New Roman"/>
          <w:b/>
          <w:sz w:val="24"/>
          <w:szCs w:val="24"/>
          <w:lang w:eastAsia="lv-LV"/>
        </w:rPr>
        <w:t>Par tehniskās specifikācijas projektu</w:t>
      </w:r>
    </w:p>
    <w:tbl>
      <w:tblPr>
        <w:tblStyle w:val="TableGrid"/>
        <w:tblW w:w="15026" w:type="dxa"/>
        <w:tblInd w:w="-5" w:type="dxa"/>
        <w:tblLook w:val="04A0" w:firstRow="1" w:lastRow="0" w:firstColumn="1" w:lastColumn="0" w:noHBand="0" w:noVBand="1"/>
      </w:tblPr>
      <w:tblGrid>
        <w:gridCol w:w="756"/>
        <w:gridCol w:w="5056"/>
        <w:gridCol w:w="4820"/>
        <w:gridCol w:w="4394"/>
      </w:tblGrid>
      <w:tr w:rsidR="00552F39" w:rsidRPr="00F27561" w14:paraId="7DFE4F28" w14:textId="77777777" w:rsidTr="00F01699">
        <w:tc>
          <w:tcPr>
            <w:tcW w:w="756" w:type="dxa"/>
            <w:shd w:val="clear" w:color="auto" w:fill="FBE4D5" w:themeFill="accent2" w:themeFillTint="33"/>
          </w:tcPr>
          <w:p w14:paraId="4535EFE6" w14:textId="77777777" w:rsidR="00552F39" w:rsidRPr="00F27561" w:rsidRDefault="00552F39" w:rsidP="00F01699">
            <w:pPr>
              <w:jc w:val="center"/>
              <w:rPr>
                <w:b/>
                <w:bCs/>
              </w:rPr>
            </w:pPr>
            <w:r w:rsidRPr="00F27561">
              <w:rPr>
                <w:b/>
                <w:bCs/>
              </w:rPr>
              <w:t>Nr.</w:t>
            </w:r>
          </w:p>
          <w:p w14:paraId="41412C1D" w14:textId="77777777" w:rsidR="00552F39" w:rsidRPr="00F27561" w:rsidRDefault="00552F39" w:rsidP="00F01699">
            <w:pPr>
              <w:jc w:val="center"/>
              <w:rPr>
                <w:b/>
                <w:bCs/>
              </w:rPr>
            </w:pPr>
            <w:r w:rsidRPr="00F27561">
              <w:rPr>
                <w:b/>
                <w:bCs/>
              </w:rPr>
              <w:t>p.k.</w:t>
            </w:r>
          </w:p>
        </w:tc>
        <w:tc>
          <w:tcPr>
            <w:tcW w:w="5056" w:type="dxa"/>
            <w:shd w:val="clear" w:color="auto" w:fill="FBE4D5" w:themeFill="accent2" w:themeFillTint="33"/>
            <w:vAlign w:val="center"/>
          </w:tcPr>
          <w:p w14:paraId="7C461B0A" w14:textId="77777777" w:rsidR="00552F39" w:rsidRPr="00F27561" w:rsidRDefault="00552F39" w:rsidP="00F01699">
            <w:pPr>
              <w:pStyle w:val="ListParagraph"/>
              <w:ind w:left="0"/>
              <w:contextualSpacing w:val="0"/>
              <w:jc w:val="center"/>
              <w:rPr>
                <w:b/>
                <w:bCs/>
              </w:rPr>
            </w:pPr>
            <w:r w:rsidRPr="00F27561">
              <w:rPr>
                <w:b/>
              </w:rPr>
              <w:t>Tehniskās specifikācijas prasība</w:t>
            </w:r>
            <w:r w:rsidRPr="00F27561">
              <w:rPr>
                <w:rStyle w:val="FootnoteReference"/>
                <w:b/>
              </w:rPr>
              <w:footnoteReference w:id="2"/>
            </w:r>
          </w:p>
        </w:tc>
        <w:tc>
          <w:tcPr>
            <w:tcW w:w="4820" w:type="dxa"/>
            <w:shd w:val="clear" w:color="auto" w:fill="FBE4D5" w:themeFill="accent2" w:themeFillTint="33"/>
          </w:tcPr>
          <w:p w14:paraId="28884BEA" w14:textId="77777777" w:rsidR="00552F39" w:rsidRPr="00F27561" w:rsidRDefault="00552F39" w:rsidP="00F01699">
            <w:pPr>
              <w:pStyle w:val="ListParagraph"/>
              <w:ind w:left="0"/>
              <w:contextualSpacing w:val="0"/>
              <w:jc w:val="center"/>
              <w:rPr>
                <w:b/>
                <w:bCs/>
              </w:rPr>
            </w:pPr>
            <w:r w:rsidRPr="00F27561">
              <w:rPr>
                <w:b/>
                <w:bCs/>
              </w:rPr>
              <w:t>Ieinteresētā piegādātāja priekšlikums, komentārs</w:t>
            </w:r>
          </w:p>
        </w:tc>
        <w:tc>
          <w:tcPr>
            <w:tcW w:w="4394" w:type="dxa"/>
            <w:shd w:val="clear" w:color="auto" w:fill="FBE4D5" w:themeFill="accent2" w:themeFillTint="33"/>
          </w:tcPr>
          <w:p w14:paraId="0FD51E76" w14:textId="77777777" w:rsidR="00552F39" w:rsidRPr="00F27561" w:rsidRDefault="00552F39" w:rsidP="00F01699">
            <w:pPr>
              <w:pStyle w:val="ListParagraph"/>
              <w:ind w:left="0"/>
              <w:contextualSpacing w:val="0"/>
              <w:jc w:val="center"/>
              <w:rPr>
                <w:b/>
                <w:bCs/>
              </w:rPr>
            </w:pPr>
            <w:r w:rsidRPr="00F76832">
              <w:rPr>
                <w:rFonts w:cs="Times New Roman"/>
                <w:b/>
                <w:bCs/>
                <w:sz w:val="24"/>
                <w:szCs w:val="24"/>
              </w:rPr>
              <w:t>Iepirkuma komisijas secinājumi un vērtējums</w:t>
            </w:r>
          </w:p>
        </w:tc>
      </w:tr>
      <w:tr w:rsidR="00552F39" w:rsidRPr="00BE0B31" w14:paraId="72106F08" w14:textId="77777777" w:rsidTr="00F01699">
        <w:tc>
          <w:tcPr>
            <w:tcW w:w="756" w:type="dxa"/>
          </w:tcPr>
          <w:p w14:paraId="202FBDE0" w14:textId="77777777" w:rsidR="00552F39" w:rsidRPr="00B059FD" w:rsidRDefault="00552F39" w:rsidP="00F01699">
            <w:pPr>
              <w:jc w:val="center"/>
              <w:rPr>
                <w:b/>
                <w:bCs/>
              </w:rPr>
            </w:pPr>
            <w:r w:rsidRPr="00B059FD">
              <w:rPr>
                <w:b/>
                <w:bCs/>
              </w:rPr>
              <w:t>1.</w:t>
            </w:r>
          </w:p>
        </w:tc>
        <w:tc>
          <w:tcPr>
            <w:tcW w:w="5056" w:type="dxa"/>
          </w:tcPr>
          <w:p w14:paraId="6293F617" w14:textId="77777777" w:rsidR="00552F39" w:rsidRPr="00A34A87" w:rsidRDefault="00552F39" w:rsidP="00F01699">
            <w:pPr>
              <w:ind w:left="34"/>
              <w:jc w:val="both"/>
              <w:rPr>
                <w:sz w:val="24"/>
                <w:szCs w:val="24"/>
              </w:rPr>
            </w:pPr>
            <w:r w:rsidRPr="00B059FD">
              <w:rPr>
                <w:sz w:val="23"/>
                <w:szCs w:val="23"/>
              </w:rPr>
              <w:t xml:space="preserve">2.16. Pēc biļešu izpirkšanas Pretendentam jānodrošina iespēja mainīt brauciena laiku un datumu, uz biļetes norādītās personas vārdu, uzvārdu, kā arī ceļojuma (komandējuma) atcelšanas gadījumā jāparedz iespēja atmaksāt Pasūtītāja iztērētos līdzekļus atbilstoši attiecīgo pārvadājumu pakalpojumu sniedzēju nosacījumiem desmit darba dienu laikā, ja to paredz attiecīgais aviobiļešu tarifs. Ja pasūtītāja komandējamā persona uzrāda apliecinošo dokumentu no </w:t>
            </w:r>
            <w:r w:rsidRPr="00A34A87">
              <w:rPr>
                <w:sz w:val="24"/>
                <w:szCs w:val="24"/>
              </w:rPr>
              <w:t>stacionāra, biļetes cena tiek kompensēta pilnā apmērā, ja to nodrošina tiešais pakalpojumu sniedzējs.</w:t>
            </w:r>
          </w:p>
          <w:p w14:paraId="6154C7A4" w14:textId="77777777" w:rsidR="00552F39" w:rsidRPr="00B059FD" w:rsidRDefault="00552F39" w:rsidP="00F01699">
            <w:pPr>
              <w:ind w:left="360" w:right="187"/>
              <w:jc w:val="both"/>
              <w:rPr>
                <w:sz w:val="23"/>
                <w:szCs w:val="23"/>
                <w:highlight w:val="yellow"/>
              </w:rPr>
            </w:pPr>
          </w:p>
          <w:p w14:paraId="0C7BBF04" w14:textId="77777777" w:rsidR="00552F39" w:rsidRPr="00B059FD" w:rsidRDefault="00552F39" w:rsidP="00F01699">
            <w:pPr>
              <w:pStyle w:val="ListParagraph"/>
              <w:ind w:left="0"/>
              <w:contextualSpacing w:val="0"/>
              <w:jc w:val="center"/>
              <w:rPr>
                <w:b/>
                <w:bCs/>
              </w:rPr>
            </w:pPr>
          </w:p>
        </w:tc>
        <w:tc>
          <w:tcPr>
            <w:tcW w:w="4820" w:type="dxa"/>
          </w:tcPr>
          <w:p w14:paraId="025BA72B" w14:textId="77777777" w:rsidR="00552F39" w:rsidRPr="00A34A87" w:rsidRDefault="00552F39" w:rsidP="00F01699">
            <w:pPr>
              <w:jc w:val="both"/>
              <w:rPr>
                <w:sz w:val="24"/>
                <w:szCs w:val="24"/>
              </w:rPr>
            </w:pPr>
            <w:r w:rsidRPr="00A34A87">
              <w:rPr>
                <w:sz w:val="24"/>
                <w:szCs w:val="24"/>
              </w:rPr>
              <w:t xml:space="preserve">1) Biļešu datumu, izbraukšanas laiku vai vārda/uzvārda maiņa tūrisma aģentūras nodrošina saskaņā ar tiešo pakalpojumu sniedzēju noteikumiem. Ja konkrētās tarifu klases būs iekļauta maiņa, tad to varēs nodrošināt. Diemžēl ir vairākas aviokompānijas, kuru noteikumi neparedz mainīt vārdu un uzvārdu. Līdz ar to pat, ja ir nepieciešams mainīt vārdu un uzvārdu, Pretendents to nespēs nodrošināt, jo to neparedz tiešo pakalpojumu sniedzēju noteikumi. </w:t>
            </w:r>
          </w:p>
          <w:p w14:paraId="1128BE44" w14:textId="77777777" w:rsidR="00552F39" w:rsidRPr="00A34A87" w:rsidRDefault="00552F39" w:rsidP="00F01699">
            <w:pPr>
              <w:jc w:val="both"/>
              <w:rPr>
                <w:sz w:val="24"/>
                <w:szCs w:val="24"/>
              </w:rPr>
            </w:pPr>
            <w:r w:rsidRPr="00A34A87">
              <w:rPr>
                <w:sz w:val="24"/>
                <w:szCs w:val="24"/>
              </w:rPr>
              <w:t>2)Par naudas atmaksas termiņu atceltu biļešu gadījumā vēlamies norādīt, ka atsevišķiem piegādātājiem – pārvadātāju pakalpojumu sniedzējiem var būt noteikts garāks iztērēto līdzekļu atgūšanas termiņš nekā 10 darba dienas.</w:t>
            </w:r>
          </w:p>
          <w:p w14:paraId="6317FF89" w14:textId="77777777" w:rsidR="00552F39" w:rsidRPr="00A34A87" w:rsidRDefault="00552F39" w:rsidP="00F01699">
            <w:pPr>
              <w:jc w:val="both"/>
              <w:rPr>
                <w:sz w:val="24"/>
                <w:szCs w:val="24"/>
              </w:rPr>
            </w:pPr>
            <w:r w:rsidRPr="00A34A87">
              <w:rPr>
                <w:sz w:val="24"/>
                <w:szCs w:val="24"/>
              </w:rPr>
              <w:t xml:space="preserve">3)Par izziņām no stacionāra un pilnīgu biļešu atgriešanu: diemžēl nav iespējams atcelt biļeti uz tā pamata, ka pasūtītājs nevar lidot saslimšanas dēļ un par to viņam ir izsniegta izziņa no stacionāra. Aviokompānijas noteikumos nav paredzēti šādi nosacījumi. </w:t>
            </w:r>
            <w:r w:rsidRPr="00A34A87">
              <w:rPr>
                <w:sz w:val="24"/>
                <w:szCs w:val="24"/>
              </w:rPr>
              <w:lastRenderedPageBreak/>
              <w:t xml:space="preserve">Eiropas lielākās aviokompānijas (Lufthansa, KLM) paredz naudas atmaksa gadījumos, ja tiek izsniegts sertifikāts par nāves gadījumu. Aviokompānijas </w:t>
            </w:r>
            <w:proofErr w:type="spellStart"/>
            <w:r w:rsidRPr="00A34A87">
              <w:rPr>
                <w:sz w:val="24"/>
                <w:szCs w:val="24"/>
              </w:rPr>
              <w:t>Airbaltic</w:t>
            </w:r>
            <w:proofErr w:type="spellEnd"/>
            <w:r w:rsidRPr="00A34A87">
              <w:rPr>
                <w:sz w:val="24"/>
                <w:szCs w:val="24"/>
              </w:rPr>
              <w:t xml:space="preserve"> lētākajiem tarifiem nav izņēmumu gadījumu uz kuru pamata var atgriezt naudu. Līdz ar to Pasūtītāja darbiniekam ir jābūt noformētai ceļojuma apdrošināšanai, kura paredz anulācijas risku un saskaņā ar apdrošināšanas noteikumiem tiek veikta atmaksa par iegādāto aviobiļeti. Tas, vai maksa tiek veikta pilnā apjomā vai daļēji, to nosaka apdrošināšanas kompānijas noteikumi. Parasti apdrošinātāji vēršas pie ceļojumu aģentūras un uzzina, cik ir iespējams atgūt atceļot konkrēto biļeti (piemēram, nodokļu apmēru) un sedz atlikušo starpību.</w:t>
            </w:r>
          </w:p>
          <w:p w14:paraId="2AB30A88" w14:textId="77777777" w:rsidR="00552F39" w:rsidRPr="00A34A87" w:rsidRDefault="00552F39" w:rsidP="00F01699">
            <w:pPr>
              <w:jc w:val="both"/>
              <w:rPr>
                <w:sz w:val="24"/>
                <w:szCs w:val="24"/>
              </w:rPr>
            </w:pPr>
          </w:p>
          <w:p w14:paraId="31A7BC21" w14:textId="77777777" w:rsidR="00552F39" w:rsidRPr="00A34A87" w:rsidRDefault="00552F39" w:rsidP="00F01699">
            <w:pPr>
              <w:jc w:val="both"/>
              <w:rPr>
                <w:sz w:val="24"/>
                <w:szCs w:val="24"/>
              </w:rPr>
            </w:pPr>
            <w:r w:rsidRPr="00A34A87">
              <w:rPr>
                <w:sz w:val="24"/>
                <w:szCs w:val="24"/>
              </w:rPr>
              <w:t>Vēlamies ieteikt veikt sekojošas izmaiņas:</w:t>
            </w:r>
          </w:p>
          <w:p w14:paraId="0AE904B9" w14:textId="77777777" w:rsidR="00552F39" w:rsidRPr="00A34A87" w:rsidRDefault="00552F39" w:rsidP="00F01699">
            <w:pPr>
              <w:rPr>
                <w:sz w:val="24"/>
                <w:szCs w:val="24"/>
              </w:rPr>
            </w:pPr>
          </w:p>
          <w:p w14:paraId="2866F2AB" w14:textId="77777777" w:rsidR="00552F39" w:rsidRPr="00A34A87" w:rsidRDefault="00552F39" w:rsidP="00F01699">
            <w:pPr>
              <w:jc w:val="both"/>
              <w:rPr>
                <w:color w:val="C00000"/>
                <w:sz w:val="24"/>
                <w:szCs w:val="24"/>
              </w:rPr>
            </w:pPr>
            <w:r w:rsidRPr="00A34A87">
              <w:rPr>
                <w:sz w:val="24"/>
                <w:szCs w:val="24"/>
              </w:rPr>
              <w:t xml:space="preserve">2.16. Pēc biļešu izpirkšanas Pretendentam jānodrošina iespēja mainīt brauciena laiku un datumu, uz biļetes norādītās personas vārdu, uzvārdu </w:t>
            </w:r>
            <w:r w:rsidRPr="00A34A87">
              <w:rPr>
                <w:color w:val="C00000"/>
                <w:sz w:val="24"/>
                <w:szCs w:val="24"/>
              </w:rPr>
              <w:t>saskaņā ar tiešo pakalpojumu sniedzēju noteikumiem</w:t>
            </w:r>
            <w:r w:rsidRPr="00A34A87">
              <w:rPr>
                <w:sz w:val="24"/>
                <w:szCs w:val="24"/>
              </w:rPr>
              <w:t xml:space="preserve">, kā arī ceļojuma (komandējuma) atcelšanas gadījumā jāparedz iespēja atmaksāt Pasūtītāja iztērētos līdzekļus atbilstoši attiecīgo pārvadājumu pakalpojumu sniedzēju nosacījumiem desmit darba dienu laikā </w:t>
            </w:r>
            <w:r w:rsidRPr="00A34A87">
              <w:rPr>
                <w:color w:val="C00000"/>
                <w:sz w:val="24"/>
                <w:szCs w:val="24"/>
              </w:rPr>
              <w:t>vai ilgākā termiņā, ja to nosaka attiecīgo pārvadājumu pakalpojumu sniedzēju nosacījumi</w:t>
            </w:r>
            <w:r w:rsidRPr="00A34A87">
              <w:rPr>
                <w:sz w:val="24"/>
                <w:szCs w:val="24"/>
              </w:rPr>
              <w:t xml:space="preserve">, ja to paredz attiecīgais aviobiļešu tarifs. </w:t>
            </w:r>
            <w:r w:rsidRPr="00A34A87">
              <w:rPr>
                <w:color w:val="C00000"/>
                <w:sz w:val="24"/>
                <w:szCs w:val="24"/>
              </w:rPr>
              <w:t xml:space="preserve">Ja pasūtītāja komandējamai personai ir noformēta ceļojuma apdrošināšanas polise, kas paredz ceļojuma anulāciju, un tiek uzrādīts </w:t>
            </w:r>
            <w:r w:rsidRPr="00A34A87">
              <w:rPr>
                <w:color w:val="C00000"/>
                <w:sz w:val="24"/>
                <w:szCs w:val="24"/>
              </w:rPr>
              <w:lastRenderedPageBreak/>
              <w:t>apliecinošs dokuments no stacionāra, biļetes cena tiek kompensēta saskaņā ar apdrošināšanas kompānijas noteikumiem.</w:t>
            </w:r>
          </w:p>
        </w:tc>
        <w:tc>
          <w:tcPr>
            <w:tcW w:w="4394" w:type="dxa"/>
          </w:tcPr>
          <w:p w14:paraId="10784C36" w14:textId="77777777" w:rsidR="00552F39" w:rsidRPr="00B059FD" w:rsidRDefault="00552F39" w:rsidP="00F01699">
            <w:pPr>
              <w:jc w:val="both"/>
              <w:rPr>
                <w:b/>
                <w:bCs/>
              </w:rPr>
            </w:pPr>
            <w:r w:rsidRPr="00132E6A">
              <w:rPr>
                <w:sz w:val="24"/>
                <w:szCs w:val="24"/>
              </w:rPr>
              <w:lastRenderedPageBreak/>
              <w:t>Prasība netiks grozīta, jo pasūtītājs ir definējis tehniskās specifikācijas prasības  atbilstoši savām vajadzībām.</w:t>
            </w:r>
          </w:p>
        </w:tc>
      </w:tr>
      <w:tr w:rsidR="00552F39" w:rsidRPr="00B059FD" w14:paraId="44377B98" w14:textId="77777777" w:rsidTr="00F01699">
        <w:tc>
          <w:tcPr>
            <w:tcW w:w="756" w:type="dxa"/>
          </w:tcPr>
          <w:p w14:paraId="7B8087AE" w14:textId="77777777" w:rsidR="00552F39" w:rsidRPr="00F27561" w:rsidRDefault="00552F39" w:rsidP="00F01699">
            <w:pPr>
              <w:jc w:val="both"/>
              <w:rPr>
                <w:b/>
                <w:bCs/>
              </w:rPr>
            </w:pPr>
            <w:r w:rsidRPr="00F27561">
              <w:rPr>
                <w:b/>
                <w:bCs/>
              </w:rPr>
              <w:lastRenderedPageBreak/>
              <w:t>2.</w:t>
            </w:r>
          </w:p>
        </w:tc>
        <w:tc>
          <w:tcPr>
            <w:tcW w:w="5056" w:type="dxa"/>
          </w:tcPr>
          <w:p w14:paraId="0CE20F22" w14:textId="77777777" w:rsidR="00552F39" w:rsidRPr="000D14B4" w:rsidRDefault="00552F39" w:rsidP="00F01699">
            <w:pPr>
              <w:spacing w:after="160" w:line="259" w:lineRule="auto"/>
              <w:ind w:left="27"/>
              <w:jc w:val="both"/>
              <w:rPr>
                <w:sz w:val="23"/>
                <w:szCs w:val="23"/>
                <w:highlight w:val="yellow"/>
              </w:rPr>
            </w:pPr>
            <w:bookmarkStart w:id="5" w:name="_Hlk198022127"/>
            <w:r w:rsidRPr="00B059FD">
              <w:rPr>
                <w:kern w:val="3"/>
                <w:sz w:val="23"/>
                <w:szCs w:val="23"/>
              </w:rPr>
              <w:t xml:space="preserve">3.6. </w:t>
            </w:r>
            <w:r w:rsidRPr="000D14B4">
              <w:rPr>
                <w:kern w:val="3"/>
                <w:sz w:val="23"/>
                <w:szCs w:val="23"/>
              </w:rPr>
              <w:t>Pēc Pasūtītāja pieprasījuma Pretendentam jāgarantē naktsmītnes rezervācija un iespēja Pasūtītājam veikt apmaksu uz vietas naktsmītnē. Cenā ir jābūt iekļautiem visiem normatīvos aktos paredzētajiem nodokļiem un nodevām, kā arī brokastu izdevumiem.</w:t>
            </w:r>
            <w:bookmarkEnd w:id="5"/>
          </w:p>
        </w:tc>
        <w:tc>
          <w:tcPr>
            <w:tcW w:w="4820" w:type="dxa"/>
          </w:tcPr>
          <w:p w14:paraId="576B34A3" w14:textId="77777777" w:rsidR="00552F39" w:rsidRPr="00A34A87" w:rsidRDefault="00552F39" w:rsidP="00F01699">
            <w:pPr>
              <w:spacing w:before="100" w:beforeAutospacing="1" w:after="100" w:afterAutospacing="1"/>
              <w:jc w:val="both"/>
              <w:rPr>
                <w:noProof/>
                <w:color w:val="000000" w:themeColor="text1"/>
                <w:sz w:val="24"/>
                <w:szCs w:val="24"/>
              </w:rPr>
            </w:pPr>
            <w:r w:rsidRPr="00A34A87">
              <w:rPr>
                <w:noProof/>
                <w:color w:val="000000" w:themeColor="text1"/>
                <w:sz w:val="24"/>
                <w:szCs w:val="24"/>
              </w:rPr>
              <w:t xml:space="preserve">Diemžēl ir gadījumi, kad pilsētas nodokli nav iespējams apmaksāt iepriekš, jo pilsētas nodokļa maksājumi tiek administrēti atsevišķi no viesnīcas ienākumiem un tas ir pilsētas administrācijas noteikts maksājums, līdz ar to ir gadījumi, kad samaksa par pilsētas nodokli tie atteikta un Pasūtītāja darbiniekam tas ir jāmaksā uz vietas viensīcā. </w:t>
            </w:r>
          </w:p>
          <w:p w14:paraId="46CF2E47" w14:textId="77777777" w:rsidR="00552F39" w:rsidRPr="00A34A87" w:rsidRDefault="00552F39" w:rsidP="00F01699">
            <w:pPr>
              <w:jc w:val="both"/>
              <w:rPr>
                <w:color w:val="000000" w:themeColor="text1"/>
                <w:sz w:val="24"/>
                <w:szCs w:val="24"/>
              </w:rPr>
            </w:pPr>
            <w:r w:rsidRPr="00A34A87">
              <w:rPr>
                <w:color w:val="000000" w:themeColor="text1"/>
                <w:sz w:val="24"/>
                <w:szCs w:val="24"/>
              </w:rPr>
              <w:t>Vēlamies ieteikt veikt sekojošas izmaiņas:</w:t>
            </w:r>
          </w:p>
          <w:p w14:paraId="152F2433" w14:textId="77777777" w:rsidR="00552F39" w:rsidRPr="00A34A87" w:rsidRDefault="00552F39" w:rsidP="00F01699">
            <w:pPr>
              <w:spacing w:before="100" w:beforeAutospacing="1" w:after="100" w:afterAutospacing="1"/>
              <w:jc w:val="both"/>
              <w:rPr>
                <w:noProof/>
                <w:color w:val="000000" w:themeColor="text1"/>
                <w:sz w:val="24"/>
                <w:szCs w:val="24"/>
              </w:rPr>
            </w:pPr>
            <w:r w:rsidRPr="00A34A87">
              <w:rPr>
                <w:noProof/>
                <w:color w:val="000000" w:themeColor="text1"/>
                <w:sz w:val="24"/>
                <w:szCs w:val="24"/>
              </w:rPr>
              <w:t xml:space="preserve">3.6 Pēc Pasūtītāja pieprasījuma Pretendentam jāgarantē naktsmītnes rezervācija un iespēja Pasūtītājam veikt apmaksu uz vietas naktsmītnē. Cenā ir jābūt iekļautiem visiem normatīvos aktos paredzētajiem nodokļiem un nodevām, kā arī brokastu izdevumiem, </w:t>
            </w:r>
            <w:r w:rsidRPr="00A34A87">
              <w:rPr>
                <w:noProof/>
                <w:color w:val="C00000"/>
                <w:sz w:val="24"/>
                <w:szCs w:val="24"/>
                <w:lang w:val="en-GB"/>
              </w:rPr>
              <w:t>vai arī jāinformē Pasūtītāja pārstāvis, ja rezervācijā nav iespējams iekļaut brokastis, nodokļus vai nodevas.</w:t>
            </w:r>
          </w:p>
        </w:tc>
        <w:tc>
          <w:tcPr>
            <w:tcW w:w="4394" w:type="dxa"/>
          </w:tcPr>
          <w:p w14:paraId="4C8C7A2A" w14:textId="77777777" w:rsidR="00552F39" w:rsidRPr="00B059FD" w:rsidRDefault="00552F39" w:rsidP="00F01699">
            <w:pPr>
              <w:spacing w:before="100" w:beforeAutospacing="1" w:after="100" w:afterAutospacing="1"/>
              <w:jc w:val="both"/>
              <w:rPr>
                <w:noProof/>
                <w:color w:val="000000" w:themeColor="text1"/>
              </w:rPr>
            </w:pPr>
            <w:r w:rsidRPr="00132E6A">
              <w:rPr>
                <w:sz w:val="24"/>
                <w:szCs w:val="24"/>
              </w:rPr>
              <w:t>Prasība netiks grozīta, jo pasūtītājs ir definējis tehniskās specifikācijas prasības  atbilstoši savām vajadzībām.</w:t>
            </w:r>
          </w:p>
        </w:tc>
      </w:tr>
      <w:tr w:rsidR="00552F39" w:rsidRPr="00B059FD" w14:paraId="226D72CD" w14:textId="77777777" w:rsidTr="00F01699">
        <w:tc>
          <w:tcPr>
            <w:tcW w:w="756" w:type="dxa"/>
          </w:tcPr>
          <w:p w14:paraId="1F8D43FF" w14:textId="77777777" w:rsidR="00552F39" w:rsidRPr="00B059FD" w:rsidRDefault="00552F39" w:rsidP="00F01699">
            <w:pPr>
              <w:jc w:val="center"/>
              <w:rPr>
                <w:b/>
                <w:bCs/>
              </w:rPr>
            </w:pPr>
            <w:r w:rsidRPr="00B059FD">
              <w:rPr>
                <w:b/>
                <w:bCs/>
              </w:rPr>
              <w:t>3.</w:t>
            </w:r>
          </w:p>
        </w:tc>
        <w:tc>
          <w:tcPr>
            <w:tcW w:w="5056" w:type="dxa"/>
          </w:tcPr>
          <w:p w14:paraId="097655F2" w14:textId="77777777" w:rsidR="00552F39" w:rsidRPr="00A34A87" w:rsidRDefault="00552F39" w:rsidP="00F01699">
            <w:pPr>
              <w:pStyle w:val="ListParagraph"/>
              <w:ind w:left="0"/>
              <w:contextualSpacing w:val="0"/>
              <w:jc w:val="both"/>
              <w:rPr>
                <w:b/>
                <w:bCs/>
                <w:sz w:val="24"/>
                <w:szCs w:val="24"/>
              </w:rPr>
            </w:pPr>
            <w:bookmarkStart w:id="6" w:name="_Hlk198022279"/>
            <w:r w:rsidRPr="00A34A87">
              <w:rPr>
                <w:sz w:val="24"/>
                <w:szCs w:val="24"/>
              </w:rPr>
              <w:t xml:space="preserve">4.1. Pretendents nodrošina apdrošināšanas polišu noformēšanu un izdošanu katram ceļojumam (komandējumam) individuāli, apdrošinot Ministru kabineta 2010.gada 12.oktobra noteikumos Nr. 969 "Kārtība, kādā atlīdzināmi ar komandējumiem saistītie izdevumi" noteiktos riskus (t.sk., medicīniskie un transportēšanas izdevumi, nelaimes gadījums, bagāžas pazaudēšana, sabojāšana vai aizkavēšanās, ceļojuma apdrošināšanu, kas rodas reisu aizkavēšanās dēļ, civiltiesiskā atbildība, personu apliecinoša dokumenta nozaudēšana vai zādzība, izdevumi, </w:t>
            </w:r>
            <w:r w:rsidRPr="00A34A87">
              <w:rPr>
                <w:sz w:val="24"/>
                <w:szCs w:val="24"/>
              </w:rPr>
              <w:lastRenderedPageBreak/>
              <w:t>kas rodas neparedzētās situācijās), ja vien Pretendents un Pasūtītājs nav vienojušies citādāk.</w:t>
            </w:r>
            <w:bookmarkEnd w:id="6"/>
          </w:p>
        </w:tc>
        <w:tc>
          <w:tcPr>
            <w:tcW w:w="4820" w:type="dxa"/>
          </w:tcPr>
          <w:p w14:paraId="1BCBE342" w14:textId="77777777" w:rsidR="00552F39" w:rsidRPr="00A34A87" w:rsidRDefault="00552F39" w:rsidP="00F01699">
            <w:pPr>
              <w:spacing w:before="100" w:beforeAutospacing="1" w:after="100" w:afterAutospacing="1"/>
              <w:jc w:val="both"/>
              <w:rPr>
                <w:rFonts w:eastAsiaTheme="minorEastAsia"/>
                <w:noProof/>
                <w:sz w:val="24"/>
                <w:szCs w:val="24"/>
              </w:rPr>
            </w:pPr>
            <w:r w:rsidRPr="00A34A87">
              <w:rPr>
                <w:rFonts w:eastAsiaTheme="minorEastAsia"/>
                <w:noProof/>
                <w:sz w:val="24"/>
                <w:szCs w:val="24"/>
              </w:rPr>
              <w:lastRenderedPageBreak/>
              <w:t>Atsaucoties uz 4.7.punktā norādīto prasību, ka Apdrošinātājs sedz Apdrošinātās personas pierādāmos izdevumus, kas tai radušies saistībā ar plānotā ceļojuma anulēšanu/atcelšanu, pārtraukšanu vai nokavēšanu, tad vēlamies norādīt, ka ir jābūt noformētai polisei, kurā ir paredzēti šie riski. Tehniskās specifikācijas 4.1. punkts nosaka, ka minimāli ir jābūt noformētai polisei, kas atbilst MK noteikumos noteiktajām prasībām, bet tie neparedz ceļojuma atcelšanas risku.</w:t>
            </w:r>
          </w:p>
          <w:p w14:paraId="77DA133F" w14:textId="77777777" w:rsidR="00552F39" w:rsidRPr="00A34A87" w:rsidRDefault="00552F39" w:rsidP="00F01699">
            <w:pPr>
              <w:spacing w:before="100" w:beforeAutospacing="1" w:after="100" w:afterAutospacing="1"/>
              <w:jc w:val="both"/>
              <w:rPr>
                <w:rFonts w:eastAsiaTheme="minorEastAsia"/>
                <w:noProof/>
                <w:sz w:val="24"/>
                <w:szCs w:val="24"/>
              </w:rPr>
            </w:pPr>
            <w:r w:rsidRPr="00A34A87">
              <w:rPr>
                <w:rFonts w:eastAsiaTheme="minorEastAsia"/>
                <w:noProof/>
                <w:sz w:val="24"/>
                <w:szCs w:val="24"/>
              </w:rPr>
              <w:lastRenderedPageBreak/>
              <w:t>Vēlamies ietikt izteikt 4.1. punktu sekojošā redakcijā, norādot konkrētus riskus:</w:t>
            </w:r>
          </w:p>
          <w:p w14:paraId="0421418A" w14:textId="77777777" w:rsidR="00552F39" w:rsidRPr="00A34A87" w:rsidRDefault="00552F39" w:rsidP="00F01699">
            <w:pPr>
              <w:spacing w:before="100" w:beforeAutospacing="1" w:after="100" w:afterAutospacing="1"/>
              <w:jc w:val="both"/>
              <w:rPr>
                <w:rFonts w:eastAsiaTheme="minorEastAsia"/>
                <w:bCs/>
                <w:noProof/>
                <w:sz w:val="24"/>
                <w:szCs w:val="24"/>
              </w:rPr>
            </w:pPr>
            <w:r w:rsidRPr="00A34A87">
              <w:rPr>
                <w:rFonts w:eastAsiaTheme="minorEastAsia"/>
                <w:bCs/>
                <w:noProof/>
                <w:sz w:val="24"/>
                <w:szCs w:val="24"/>
              </w:rPr>
              <w:t>Pretendents pēc Pasūtītāja pieprasījuma nodrošina apdrošināšanas polišu noformēšanu un izdošanu  (nosūtot elektroniski) katram ceļojumam individuāli, apdrošinot Ministru kabineta 12.10.2010. noteikumos Nr. 969 „Kārtība, kādā atlīdzināmi ar komandējumiem saistītie izdevumi” noteiktos riskus, ja Pasūtītājs nav noteicis citādi.</w:t>
            </w:r>
          </w:p>
          <w:p w14:paraId="0ADC031C" w14:textId="77777777" w:rsidR="00552F39" w:rsidRPr="00A34A87" w:rsidRDefault="00552F39" w:rsidP="00F01699">
            <w:pPr>
              <w:spacing w:before="100" w:beforeAutospacing="1" w:after="100" w:afterAutospacing="1"/>
              <w:jc w:val="both"/>
              <w:rPr>
                <w:rFonts w:eastAsiaTheme="minorEastAsia"/>
                <w:noProof/>
                <w:color w:val="FF0000"/>
                <w:sz w:val="24"/>
                <w:szCs w:val="24"/>
              </w:rPr>
            </w:pPr>
            <w:r w:rsidRPr="00A34A87">
              <w:rPr>
                <w:rFonts w:eastAsiaTheme="minorEastAsia"/>
                <w:bCs/>
                <w:noProof/>
                <w:color w:val="C00000"/>
                <w:sz w:val="24"/>
                <w:szCs w:val="24"/>
              </w:rPr>
              <w:t>Pretendenta piedāvātajā apdrošināšanas polisē jāparedz vismaz šādu</w:t>
            </w:r>
            <w:r w:rsidRPr="00A34A87">
              <w:rPr>
                <w:rFonts w:eastAsiaTheme="minorEastAsia"/>
                <w:b/>
                <w:noProof/>
                <w:color w:val="C00000"/>
                <w:sz w:val="24"/>
                <w:szCs w:val="24"/>
              </w:rPr>
              <w:t xml:space="preserve"> risku apdrošināšana</w:t>
            </w:r>
            <w:r w:rsidRPr="00A34A87">
              <w:rPr>
                <w:rFonts w:eastAsiaTheme="minorEastAsia"/>
                <w:noProof/>
                <w:color w:val="C00000"/>
                <w:sz w:val="24"/>
                <w:szCs w:val="24"/>
              </w:rPr>
              <w:t xml:space="preserve">: Medicīnas izdevumi, neatliekamās zobārstniecības izdevumi, medicīniskais transports, medicīniskais transports mītnes zemē, apdrošinātā repatriācija saslimšanas gadījumā, apdrošinātā repatriācija nāves gadījumā, apdrošināšanas izdevumi ārzemēs, ceļojuma izdevumi 1 (vienam) ģimenes loceklim, slimnīcas dienas nauda, nelaimes gadījumu apdrošināšana nāves gadījumā, nelaimes gadījumu apdrošināšana sakropļojuma/invaliditātes gadījumā, personiskā civiltiesiskā atbildība, ceļojuma anulācija/atcelšana, pārtraukšana, bagāžas nozaudēšana avio pārvadājuma laikā, bagāžas sabojāšana avio pārvadājuma laikā, bagāžas zādzība ceļojuma laikā, bagāžas aizkavēšanās, nokavēta ierašanās izlidošanas vietā, lidojuma aizkavēšanās vai īslaicīga atcelšana, nokavēts tranzīts, personas apliecinošu dokumentu </w:t>
            </w:r>
            <w:r w:rsidRPr="00A34A87">
              <w:rPr>
                <w:rFonts w:eastAsiaTheme="minorEastAsia"/>
                <w:noProof/>
                <w:color w:val="C00000"/>
                <w:sz w:val="24"/>
                <w:szCs w:val="24"/>
              </w:rPr>
              <w:lastRenderedPageBreak/>
              <w:t>nozaudēšana vai zādzība. Pasūtītāja pašrisks 0%.</w:t>
            </w:r>
          </w:p>
        </w:tc>
        <w:tc>
          <w:tcPr>
            <w:tcW w:w="4394" w:type="dxa"/>
          </w:tcPr>
          <w:p w14:paraId="356FF096" w14:textId="77777777" w:rsidR="00552F39" w:rsidRPr="00B059FD" w:rsidRDefault="00552F39" w:rsidP="00F01699">
            <w:pPr>
              <w:spacing w:before="100" w:beforeAutospacing="1" w:after="100" w:afterAutospacing="1"/>
              <w:jc w:val="both"/>
              <w:rPr>
                <w:rFonts w:eastAsiaTheme="minorEastAsia"/>
                <w:noProof/>
              </w:rPr>
            </w:pPr>
            <w:r w:rsidRPr="00132E6A">
              <w:rPr>
                <w:sz w:val="24"/>
                <w:szCs w:val="24"/>
              </w:rPr>
              <w:lastRenderedPageBreak/>
              <w:t>Prasība netiks grozīta, jo pasūtītājs ir definējis tehniskās specifikācijas prasības  atbilstoši savām vajadzībām.</w:t>
            </w:r>
          </w:p>
        </w:tc>
      </w:tr>
      <w:tr w:rsidR="00552F39" w:rsidRPr="00BE0B31" w14:paraId="23EE3360" w14:textId="77777777" w:rsidTr="00F01699">
        <w:tc>
          <w:tcPr>
            <w:tcW w:w="756" w:type="dxa"/>
          </w:tcPr>
          <w:p w14:paraId="5BD9E0D0" w14:textId="77777777" w:rsidR="00552F39" w:rsidRPr="00BE0B31" w:rsidRDefault="00552F39" w:rsidP="00F01699">
            <w:pPr>
              <w:jc w:val="center"/>
              <w:rPr>
                <w:b/>
                <w:bCs/>
              </w:rPr>
            </w:pPr>
            <w:r w:rsidRPr="00BE0B31">
              <w:rPr>
                <w:b/>
                <w:bCs/>
              </w:rPr>
              <w:lastRenderedPageBreak/>
              <w:t>4.</w:t>
            </w:r>
          </w:p>
        </w:tc>
        <w:tc>
          <w:tcPr>
            <w:tcW w:w="5056" w:type="dxa"/>
          </w:tcPr>
          <w:p w14:paraId="50926A32" w14:textId="77777777" w:rsidR="00552F39" w:rsidRPr="00A34A87" w:rsidRDefault="00552F39" w:rsidP="00F01699">
            <w:pPr>
              <w:pStyle w:val="ListParagraph"/>
              <w:ind w:left="0"/>
              <w:contextualSpacing w:val="0"/>
              <w:jc w:val="both"/>
              <w:rPr>
                <w:b/>
                <w:bCs/>
                <w:sz w:val="24"/>
                <w:szCs w:val="24"/>
              </w:rPr>
            </w:pPr>
            <w:r w:rsidRPr="00A34A87">
              <w:rPr>
                <w:sz w:val="24"/>
                <w:szCs w:val="24"/>
              </w:rPr>
              <w:t>4.7. Apdrošinātājs sedz Apdrošinātās personas pierādāmos izdevumus, kas tai radušies saistībā ar plānotā ceļojuma anulēšanu/atcelšanu, pārtraukšanu vai nokavēšanu Apdrošinātās personas akūtas saslimšanas vai hroniskas saslimšanas pēkšņas saasināšanās, kuras dēļ tā, saskaņā ar ārsta atzinumu nevar doties komandējumā vai nevar turpināt iesākto ceļojumu.</w:t>
            </w:r>
          </w:p>
        </w:tc>
        <w:tc>
          <w:tcPr>
            <w:tcW w:w="4820" w:type="dxa"/>
          </w:tcPr>
          <w:p w14:paraId="1C00E9D1" w14:textId="77777777" w:rsidR="00552F39" w:rsidRPr="00A34A87" w:rsidRDefault="00552F39" w:rsidP="00F01699">
            <w:pPr>
              <w:pStyle w:val="ListParagraph"/>
              <w:ind w:left="0"/>
              <w:contextualSpacing w:val="0"/>
              <w:jc w:val="both"/>
              <w:rPr>
                <w:sz w:val="24"/>
                <w:szCs w:val="24"/>
              </w:rPr>
            </w:pPr>
            <w:r w:rsidRPr="00A34A87">
              <w:rPr>
                <w:sz w:val="24"/>
                <w:szCs w:val="24"/>
              </w:rPr>
              <w:t>Apdrošinātāji nodrošina izmaksu atlīdzināšanu saskaņā ar noteikumiem.</w:t>
            </w:r>
          </w:p>
          <w:p w14:paraId="6A16AEBF" w14:textId="77777777" w:rsidR="00552F39" w:rsidRPr="00A34A87" w:rsidRDefault="00552F39" w:rsidP="00F01699">
            <w:pPr>
              <w:spacing w:before="100" w:beforeAutospacing="1" w:after="100" w:afterAutospacing="1"/>
              <w:jc w:val="both"/>
              <w:rPr>
                <w:rFonts w:eastAsiaTheme="minorEastAsia"/>
                <w:noProof/>
                <w:sz w:val="24"/>
                <w:szCs w:val="24"/>
              </w:rPr>
            </w:pPr>
            <w:r w:rsidRPr="00A34A87">
              <w:rPr>
                <w:rFonts w:eastAsiaTheme="minorEastAsia"/>
                <w:noProof/>
                <w:sz w:val="24"/>
                <w:szCs w:val="24"/>
              </w:rPr>
              <w:t>Vēlamies ietikt izteikt 4.7. punktu sekojošā redakcijā, norādot konkrētus riskus:</w:t>
            </w:r>
          </w:p>
          <w:p w14:paraId="033ABB98" w14:textId="77777777" w:rsidR="00552F39" w:rsidRPr="00A34A87" w:rsidRDefault="00552F39" w:rsidP="00F01699">
            <w:pPr>
              <w:pStyle w:val="ListParagraph"/>
              <w:ind w:left="0"/>
              <w:contextualSpacing w:val="0"/>
              <w:jc w:val="both"/>
              <w:rPr>
                <w:sz w:val="24"/>
                <w:szCs w:val="24"/>
              </w:rPr>
            </w:pPr>
            <w:r w:rsidRPr="00A34A87">
              <w:rPr>
                <w:sz w:val="24"/>
                <w:szCs w:val="24"/>
              </w:rPr>
              <w:t>4.7. Apdrošinātājs sedz Apdrošinātās personas pierādāmos izdevumus</w:t>
            </w:r>
            <w:r w:rsidRPr="00A34A87">
              <w:rPr>
                <w:color w:val="C00000"/>
                <w:sz w:val="24"/>
                <w:szCs w:val="24"/>
              </w:rPr>
              <w:t xml:space="preserve"> saskaņā ar apdrošināšanas noteikumiem</w:t>
            </w:r>
            <w:r w:rsidRPr="00A34A87">
              <w:rPr>
                <w:sz w:val="24"/>
                <w:szCs w:val="24"/>
              </w:rPr>
              <w:t>, kas tai radušies saistībā ar plānotā ceļojuma anulēšanu/atcelšanu, pārtraukšanu vai nokavēšanu Apdrošinātās personas akūtas saslimšanas vai hroniskas saslimšanas pēkšņas saasināšanās, kuras dēļ tā, saskaņā ar ārsta atzinumu nevar doties komandējumā vai nevar turpināt iesākto ceļojumu.</w:t>
            </w:r>
          </w:p>
        </w:tc>
        <w:tc>
          <w:tcPr>
            <w:tcW w:w="4394" w:type="dxa"/>
          </w:tcPr>
          <w:p w14:paraId="7F3B6066" w14:textId="77777777" w:rsidR="00552F39" w:rsidRPr="00BE0B31" w:rsidRDefault="00552F39" w:rsidP="00F01699">
            <w:pPr>
              <w:pStyle w:val="ListParagraph"/>
              <w:ind w:left="0"/>
              <w:contextualSpacing w:val="0"/>
              <w:jc w:val="both"/>
            </w:pPr>
            <w:r w:rsidRPr="00132E6A">
              <w:rPr>
                <w:sz w:val="24"/>
                <w:szCs w:val="24"/>
              </w:rPr>
              <w:t>Prasība netiks grozīta, jo pasūtītājs ir definējis tehniskās specifikācijas prasības  atbilstoši savām vajadzībām.</w:t>
            </w:r>
          </w:p>
        </w:tc>
      </w:tr>
    </w:tbl>
    <w:p w14:paraId="0435C045" w14:textId="77777777" w:rsidR="00552F39" w:rsidRPr="00F76832" w:rsidRDefault="00552F39" w:rsidP="00552F39">
      <w:pPr>
        <w:spacing w:after="0" w:line="240" w:lineRule="auto"/>
        <w:jc w:val="both"/>
        <w:rPr>
          <w:rFonts w:eastAsia="Times New Roman" w:cs="Times New Roman"/>
          <w:sz w:val="24"/>
          <w:szCs w:val="24"/>
          <w:lang w:eastAsia="lv-LV"/>
        </w:rPr>
      </w:pPr>
    </w:p>
    <w:p w14:paraId="1D1DDB1B" w14:textId="77777777" w:rsidR="00552F39" w:rsidRPr="00F76832" w:rsidRDefault="00552F39" w:rsidP="00552F39">
      <w:pPr>
        <w:pStyle w:val="ListParagraph"/>
        <w:numPr>
          <w:ilvl w:val="0"/>
          <w:numId w:val="1"/>
        </w:numPr>
        <w:tabs>
          <w:tab w:val="center" w:pos="4153"/>
          <w:tab w:val="right" w:pos="8306"/>
        </w:tabs>
        <w:spacing w:after="0" w:line="240" w:lineRule="auto"/>
        <w:outlineLvl w:val="0"/>
        <w:rPr>
          <w:b/>
          <w:sz w:val="24"/>
          <w:szCs w:val="24"/>
        </w:rPr>
      </w:pPr>
      <w:r w:rsidRPr="00F76832">
        <w:rPr>
          <w:b/>
          <w:sz w:val="24"/>
          <w:szCs w:val="24"/>
        </w:rPr>
        <w:t xml:space="preserve"> Par termiņu</w:t>
      </w:r>
    </w:p>
    <w:tbl>
      <w:tblPr>
        <w:tblStyle w:val="TableGrid7"/>
        <w:tblW w:w="15026" w:type="dxa"/>
        <w:tblInd w:w="-5" w:type="dxa"/>
        <w:tblLook w:val="04A0" w:firstRow="1" w:lastRow="0" w:firstColumn="1" w:lastColumn="0" w:noHBand="0" w:noVBand="1"/>
      </w:tblPr>
      <w:tblGrid>
        <w:gridCol w:w="1134"/>
        <w:gridCol w:w="5954"/>
        <w:gridCol w:w="3544"/>
        <w:gridCol w:w="4394"/>
      </w:tblGrid>
      <w:tr w:rsidR="00552F39" w:rsidRPr="00F76832" w14:paraId="776DA1F4" w14:textId="77777777" w:rsidTr="00F01699">
        <w:tc>
          <w:tcPr>
            <w:tcW w:w="1134" w:type="dxa"/>
          </w:tcPr>
          <w:p w14:paraId="1D6B4B97" w14:textId="77777777" w:rsidR="00552F39" w:rsidRPr="00F76832" w:rsidRDefault="00552F39" w:rsidP="00F01699">
            <w:pPr>
              <w:jc w:val="center"/>
              <w:rPr>
                <w:b/>
                <w:bCs/>
                <w:sz w:val="24"/>
                <w:szCs w:val="24"/>
                <w:lang w:val="lv-LV"/>
              </w:rPr>
            </w:pPr>
            <w:r w:rsidRPr="00F76832">
              <w:rPr>
                <w:b/>
                <w:bCs/>
                <w:sz w:val="24"/>
                <w:szCs w:val="24"/>
                <w:lang w:val="lv-LV"/>
              </w:rPr>
              <w:t>Nr.</w:t>
            </w:r>
          </w:p>
          <w:p w14:paraId="383F9CD9" w14:textId="77777777" w:rsidR="00552F39" w:rsidRPr="00F76832" w:rsidRDefault="00552F39" w:rsidP="00F01699">
            <w:pPr>
              <w:jc w:val="center"/>
              <w:rPr>
                <w:b/>
                <w:bCs/>
                <w:sz w:val="24"/>
                <w:szCs w:val="24"/>
                <w:lang w:val="lv-LV"/>
              </w:rPr>
            </w:pPr>
            <w:r w:rsidRPr="00F76832">
              <w:rPr>
                <w:b/>
                <w:bCs/>
                <w:sz w:val="24"/>
                <w:szCs w:val="24"/>
                <w:lang w:val="lv-LV"/>
              </w:rPr>
              <w:t>p.k.</w:t>
            </w:r>
          </w:p>
        </w:tc>
        <w:tc>
          <w:tcPr>
            <w:tcW w:w="5954" w:type="dxa"/>
          </w:tcPr>
          <w:p w14:paraId="7B710520" w14:textId="77777777" w:rsidR="00552F39" w:rsidRPr="00F76832" w:rsidRDefault="00552F39" w:rsidP="00F01699">
            <w:pPr>
              <w:pStyle w:val="ListParagraph"/>
              <w:ind w:left="0"/>
              <w:jc w:val="center"/>
              <w:rPr>
                <w:b/>
                <w:bCs/>
                <w:sz w:val="24"/>
                <w:szCs w:val="24"/>
                <w:lang w:val="lv-LV"/>
              </w:rPr>
            </w:pPr>
            <w:r w:rsidRPr="00F76832">
              <w:rPr>
                <w:b/>
                <w:sz w:val="24"/>
                <w:szCs w:val="24"/>
                <w:lang w:val="lv-LV"/>
              </w:rPr>
              <w:t>Nosaukums</w:t>
            </w:r>
          </w:p>
        </w:tc>
        <w:tc>
          <w:tcPr>
            <w:tcW w:w="3544" w:type="dxa"/>
            <w:tcBorders>
              <w:bottom w:val="single" w:sz="4" w:space="0" w:color="auto"/>
            </w:tcBorders>
            <w:shd w:val="clear" w:color="auto" w:fill="auto"/>
          </w:tcPr>
          <w:p w14:paraId="39DE83BA" w14:textId="77777777" w:rsidR="00552F39" w:rsidRPr="00F76832" w:rsidRDefault="00552F39" w:rsidP="00F01699">
            <w:pPr>
              <w:tabs>
                <w:tab w:val="center" w:pos="4153"/>
                <w:tab w:val="right" w:pos="8306"/>
              </w:tabs>
              <w:jc w:val="center"/>
              <w:outlineLvl w:val="0"/>
              <w:rPr>
                <w:b/>
                <w:sz w:val="24"/>
                <w:szCs w:val="24"/>
                <w:lang w:val="lv-LV"/>
              </w:rPr>
            </w:pPr>
            <w:r w:rsidRPr="00F27561">
              <w:rPr>
                <w:b/>
                <w:bCs/>
                <w:lang w:val="lv-LV"/>
              </w:rPr>
              <w:t xml:space="preserve">Ieinteresētā piegādātāja priekšlikums, </w:t>
            </w:r>
            <w:r w:rsidRPr="006D716F">
              <w:rPr>
                <w:b/>
                <w:bCs/>
                <w:sz w:val="24"/>
                <w:szCs w:val="24"/>
                <w:lang w:val="lv-LV"/>
              </w:rPr>
              <w:t>komentārs</w:t>
            </w:r>
          </w:p>
        </w:tc>
        <w:tc>
          <w:tcPr>
            <w:tcW w:w="4394" w:type="dxa"/>
            <w:tcBorders>
              <w:bottom w:val="single" w:sz="4" w:space="0" w:color="auto"/>
            </w:tcBorders>
            <w:shd w:val="clear" w:color="auto" w:fill="auto"/>
          </w:tcPr>
          <w:p w14:paraId="28704E03" w14:textId="77777777" w:rsidR="00552F39" w:rsidRPr="00F76832" w:rsidRDefault="00552F39" w:rsidP="00F01699">
            <w:pPr>
              <w:tabs>
                <w:tab w:val="center" w:pos="4153"/>
                <w:tab w:val="right" w:pos="8306"/>
              </w:tabs>
              <w:jc w:val="center"/>
              <w:outlineLvl w:val="0"/>
              <w:rPr>
                <w:b/>
                <w:sz w:val="24"/>
                <w:szCs w:val="24"/>
                <w:lang w:val="lv-LV"/>
              </w:rPr>
            </w:pPr>
            <w:r w:rsidRPr="00F76832">
              <w:rPr>
                <w:rFonts w:eastAsia="Times New Roman" w:cs="Times New Roman"/>
                <w:b/>
                <w:sz w:val="24"/>
                <w:szCs w:val="24"/>
                <w:lang w:val="lv-LV" w:eastAsia="lv-LV"/>
              </w:rPr>
              <w:t>Iepirkuma komisijas secinājumi un vērtējums</w:t>
            </w:r>
          </w:p>
        </w:tc>
      </w:tr>
      <w:tr w:rsidR="00552F39" w:rsidRPr="00F76832" w14:paraId="73617DC2" w14:textId="77777777" w:rsidTr="00F01699">
        <w:tc>
          <w:tcPr>
            <w:tcW w:w="1134" w:type="dxa"/>
          </w:tcPr>
          <w:p w14:paraId="43EAF7D0" w14:textId="77777777" w:rsidR="00552F39" w:rsidRPr="00F76832" w:rsidRDefault="00552F39" w:rsidP="00F01699">
            <w:pPr>
              <w:jc w:val="center"/>
              <w:rPr>
                <w:b/>
                <w:bCs/>
                <w:sz w:val="24"/>
                <w:szCs w:val="24"/>
                <w:lang w:val="lv-LV"/>
              </w:rPr>
            </w:pPr>
            <w:r w:rsidRPr="00F76832">
              <w:rPr>
                <w:b/>
                <w:bCs/>
                <w:sz w:val="24"/>
                <w:szCs w:val="24"/>
                <w:lang w:val="lv-LV"/>
              </w:rPr>
              <w:t>1.</w:t>
            </w:r>
          </w:p>
        </w:tc>
        <w:tc>
          <w:tcPr>
            <w:tcW w:w="5954" w:type="dxa"/>
            <w:vAlign w:val="center"/>
          </w:tcPr>
          <w:p w14:paraId="2831CF3D" w14:textId="77777777" w:rsidR="00552F39" w:rsidRPr="00F76832" w:rsidRDefault="00552F39" w:rsidP="00F01699">
            <w:pPr>
              <w:pStyle w:val="ListParagraph"/>
              <w:ind w:left="0"/>
              <w:jc w:val="both"/>
              <w:rPr>
                <w:sz w:val="24"/>
                <w:szCs w:val="24"/>
                <w:lang w:val="lv-LV"/>
              </w:rPr>
            </w:pPr>
            <w:r w:rsidRPr="00F76832">
              <w:rPr>
                <w:sz w:val="24"/>
                <w:szCs w:val="24"/>
                <w:lang w:val="lv-LV"/>
              </w:rPr>
              <w:t xml:space="preserve">Piedāvājuma sagatavošanai un iesniegšanai nepieciešamais termiņš </w:t>
            </w:r>
            <w:r w:rsidRPr="00F76832">
              <w:rPr>
                <w:sz w:val="24"/>
                <w:szCs w:val="24"/>
                <w:u w:val="single"/>
                <w:lang w:val="lv-LV"/>
              </w:rPr>
              <w:t>kalendārajās dienas.</w:t>
            </w:r>
          </w:p>
        </w:tc>
        <w:tc>
          <w:tcPr>
            <w:tcW w:w="3544" w:type="dxa"/>
          </w:tcPr>
          <w:p w14:paraId="19E8277C" w14:textId="77777777" w:rsidR="00552F39" w:rsidRPr="006D716F" w:rsidRDefault="00552F39" w:rsidP="00F01699">
            <w:pPr>
              <w:pStyle w:val="ListParagraph"/>
              <w:ind w:left="0"/>
              <w:jc w:val="both"/>
              <w:rPr>
                <w:sz w:val="24"/>
                <w:szCs w:val="24"/>
                <w:lang w:val="lv-LV"/>
              </w:rPr>
            </w:pPr>
            <w:r w:rsidRPr="006D716F">
              <w:rPr>
                <w:sz w:val="24"/>
                <w:szCs w:val="24"/>
                <w:lang w:val="lv-LV"/>
              </w:rPr>
              <w:t>Ne mazāk kā 20 kalendārās dienas</w:t>
            </w:r>
          </w:p>
        </w:tc>
        <w:tc>
          <w:tcPr>
            <w:tcW w:w="4394" w:type="dxa"/>
          </w:tcPr>
          <w:p w14:paraId="7A3F8F18" w14:textId="77777777" w:rsidR="00552F39" w:rsidRPr="00F76832" w:rsidRDefault="00552F39" w:rsidP="00F01699">
            <w:pPr>
              <w:pStyle w:val="ListParagraph"/>
              <w:ind w:left="0"/>
              <w:jc w:val="both"/>
              <w:rPr>
                <w:sz w:val="24"/>
                <w:szCs w:val="24"/>
                <w:lang w:val="lv-LV"/>
              </w:rPr>
            </w:pPr>
            <w:r w:rsidRPr="00F76832">
              <w:rPr>
                <w:sz w:val="24"/>
                <w:szCs w:val="24"/>
                <w:lang w:val="lv-LV"/>
              </w:rPr>
              <w:t>Piedāvājumu iesniegšanas termiņš tiks noteikts atbilstoši Publisko iepirkumu likuma regulējumam.</w:t>
            </w:r>
          </w:p>
        </w:tc>
      </w:tr>
    </w:tbl>
    <w:p w14:paraId="7E2266FF" w14:textId="6D9009BA" w:rsidR="00552F39" w:rsidRDefault="00552F39" w:rsidP="00552F39">
      <w:pPr>
        <w:spacing w:after="0" w:line="240" w:lineRule="auto"/>
        <w:jc w:val="both"/>
        <w:rPr>
          <w:rFonts w:eastAsia="Times New Roman" w:cs="Times New Roman"/>
          <w:sz w:val="24"/>
          <w:szCs w:val="24"/>
          <w:lang w:eastAsia="lv-LV"/>
        </w:rPr>
      </w:pPr>
    </w:p>
    <w:p w14:paraId="49D22825" w14:textId="1E5AEBC9" w:rsidR="00552F39" w:rsidRDefault="00552F39" w:rsidP="00552F39">
      <w:pPr>
        <w:spacing w:after="0" w:line="240" w:lineRule="auto"/>
        <w:jc w:val="both"/>
        <w:rPr>
          <w:rFonts w:eastAsia="Times New Roman" w:cs="Times New Roman"/>
          <w:sz w:val="24"/>
          <w:szCs w:val="24"/>
          <w:lang w:eastAsia="lv-LV"/>
        </w:rPr>
      </w:pPr>
    </w:p>
    <w:p w14:paraId="2114376B" w14:textId="1F9EBC98" w:rsidR="00552F39" w:rsidRDefault="00552F39" w:rsidP="00552F39">
      <w:pPr>
        <w:spacing w:after="0" w:line="240" w:lineRule="auto"/>
        <w:jc w:val="both"/>
        <w:rPr>
          <w:rFonts w:eastAsia="Times New Roman" w:cs="Times New Roman"/>
          <w:sz w:val="24"/>
          <w:szCs w:val="24"/>
          <w:lang w:eastAsia="lv-LV"/>
        </w:rPr>
      </w:pPr>
    </w:p>
    <w:p w14:paraId="27B5D9F4" w14:textId="06772B1A" w:rsidR="00552F39" w:rsidRDefault="00552F39" w:rsidP="00552F39">
      <w:pPr>
        <w:spacing w:after="0" w:line="240" w:lineRule="auto"/>
        <w:jc w:val="both"/>
        <w:rPr>
          <w:rFonts w:eastAsia="Times New Roman" w:cs="Times New Roman"/>
          <w:sz w:val="24"/>
          <w:szCs w:val="24"/>
          <w:lang w:eastAsia="lv-LV"/>
        </w:rPr>
      </w:pPr>
    </w:p>
    <w:p w14:paraId="24BD4689" w14:textId="0C47B131" w:rsidR="00552F39" w:rsidRDefault="00552F39" w:rsidP="00552F39">
      <w:pPr>
        <w:spacing w:after="0" w:line="240" w:lineRule="auto"/>
        <w:jc w:val="both"/>
        <w:rPr>
          <w:rFonts w:eastAsia="Times New Roman" w:cs="Times New Roman"/>
          <w:sz w:val="24"/>
          <w:szCs w:val="24"/>
          <w:lang w:eastAsia="lv-LV"/>
        </w:rPr>
      </w:pPr>
    </w:p>
    <w:p w14:paraId="356559DA" w14:textId="0C34CAC1" w:rsidR="00552F39" w:rsidRDefault="00552F39" w:rsidP="00552F39">
      <w:pPr>
        <w:spacing w:after="0" w:line="240" w:lineRule="auto"/>
        <w:jc w:val="both"/>
        <w:rPr>
          <w:rFonts w:eastAsia="Times New Roman" w:cs="Times New Roman"/>
          <w:sz w:val="24"/>
          <w:szCs w:val="24"/>
          <w:lang w:eastAsia="lv-LV"/>
        </w:rPr>
      </w:pPr>
    </w:p>
    <w:p w14:paraId="6052F752" w14:textId="69E7013E" w:rsidR="00552F39" w:rsidRDefault="00552F39" w:rsidP="00552F39">
      <w:pPr>
        <w:spacing w:after="0" w:line="240" w:lineRule="auto"/>
        <w:jc w:val="both"/>
        <w:rPr>
          <w:rFonts w:eastAsia="Times New Roman" w:cs="Times New Roman"/>
          <w:sz w:val="24"/>
          <w:szCs w:val="24"/>
          <w:lang w:eastAsia="lv-LV"/>
        </w:rPr>
      </w:pPr>
    </w:p>
    <w:p w14:paraId="5E279C69" w14:textId="30A84FC6" w:rsidR="00552F39" w:rsidRDefault="00552F39" w:rsidP="00552F39">
      <w:pPr>
        <w:spacing w:after="0" w:line="240" w:lineRule="auto"/>
        <w:jc w:val="both"/>
        <w:rPr>
          <w:rFonts w:eastAsia="Times New Roman" w:cs="Times New Roman"/>
          <w:sz w:val="24"/>
          <w:szCs w:val="24"/>
          <w:lang w:eastAsia="lv-LV"/>
        </w:rPr>
      </w:pPr>
    </w:p>
    <w:p w14:paraId="44091A6C" w14:textId="77777777" w:rsidR="00552F39" w:rsidRPr="00F76832" w:rsidRDefault="00552F39" w:rsidP="00552F39">
      <w:pPr>
        <w:spacing w:after="0" w:line="240" w:lineRule="auto"/>
        <w:jc w:val="both"/>
        <w:rPr>
          <w:rFonts w:eastAsia="Times New Roman" w:cs="Times New Roman"/>
          <w:sz w:val="24"/>
          <w:szCs w:val="24"/>
          <w:lang w:eastAsia="lv-LV"/>
        </w:rPr>
      </w:pPr>
    </w:p>
    <w:p w14:paraId="08D637A8" w14:textId="77777777" w:rsidR="00552F39" w:rsidRPr="00F76832" w:rsidRDefault="00552F39" w:rsidP="00552F39">
      <w:pPr>
        <w:pStyle w:val="ListParagraph"/>
        <w:numPr>
          <w:ilvl w:val="0"/>
          <w:numId w:val="1"/>
        </w:numPr>
        <w:spacing w:after="0" w:line="240" w:lineRule="auto"/>
        <w:ind w:right="253"/>
        <w:jc w:val="both"/>
        <w:rPr>
          <w:rFonts w:eastAsia="Times New Roman" w:cs="Times New Roman"/>
          <w:sz w:val="24"/>
          <w:szCs w:val="24"/>
          <w:lang w:eastAsia="lv-LV"/>
        </w:rPr>
      </w:pPr>
      <w:r w:rsidRPr="00F76832">
        <w:rPr>
          <w:rFonts w:eastAsia="Times New Roman" w:cs="Times New Roman"/>
          <w:b/>
          <w:bCs/>
          <w:sz w:val="24"/>
          <w:szCs w:val="24"/>
          <w:lang w:eastAsia="lv-LV"/>
        </w:rPr>
        <w:lastRenderedPageBreak/>
        <w:t>Vērtējums par apspriedes laikā saņemtajiem ieinteresēto piegādātāju priekšlikumiem:</w:t>
      </w:r>
      <w:r w:rsidRPr="00F76832">
        <w:rPr>
          <w:rFonts w:eastAsia="Times New Roman" w:cs="Times New Roman"/>
          <w:sz w:val="24"/>
          <w:szCs w:val="24"/>
          <w:lang w:eastAsia="lv-LV"/>
        </w:rPr>
        <w:t xml:space="preserve"> visi saņemtie priekšlikumi ir izvērtēti un iespēju robežās tiks ņemti vērā, izstrādājot iepirkuma dokumentāciju.</w:t>
      </w:r>
    </w:p>
    <w:p w14:paraId="1D21D49E" w14:textId="77777777" w:rsidR="00552F39" w:rsidRPr="00CD5102" w:rsidRDefault="00552F39" w:rsidP="00552F39">
      <w:pPr>
        <w:pStyle w:val="ListParagraph"/>
        <w:numPr>
          <w:ilvl w:val="0"/>
          <w:numId w:val="1"/>
        </w:numPr>
        <w:spacing w:after="0" w:line="240" w:lineRule="auto"/>
        <w:ind w:left="641" w:right="255" w:hanging="357"/>
        <w:jc w:val="both"/>
        <w:rPr>
          <w:rFonts w:eastAsia="Times New Roman" w:cs="Times New Roman"/>
          <w:sz w:val="24"/>
          <w:szCs w:val="24"/>
          <w:lang w:eastAsia="lv-LV"/>
        </w:rPr>
      </w:pPr>
      <w:r w:rsidRPr="00F76832">
        <w:rPr>
          <w:rFonts w:eastAsia="Times New Roman" w:cs="Times New Roman"/>
          <w:b/>
          <w:bCs/>
          <w:sz w:val="24"/>
          <w:szCs w:val="24"/>
          <w:lang w:eastAsia="lv-LV"/>
        </w:rPr>
        <w:t>Iespējamā konkurence iepirkumā:</w:t>
      </w:r>
      <w:r w:rsidRPr="00F76832">
        <w:rPr>
          <w:rFonts w:eastAsia="Times New Roman" w:cs="Times New Roman"/>
          <w:sz w:val="24"/>
          <w:szCs w:val="24"/>
          <w:lang w:eastAsia="lv-LV"/>
        </w:rPr>
        <w:t xml:space="preserve">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w:t>
      </w:r>
    </w:p>
    <w:p w14:paraId="61D54E23" w14:textId="6328D200" w:rsidR="006F5EB0" w:rsidRDefault="006F5EB0" w:rsidP="006F5EB0">
      <w:pPr>
        <w:rPr>
          <w:rFonts w:cs="Times New Roman"/>
          <w:sz w:val="24"/>
          <w:szCs w:val="24"/>
        </w:rPr>
      </w:pPr>
    </w:p>
    <w:p w14:paraId="300D427C" w14:textId="1020DEB1" w:rsidR="00552F39" w:rsidRDefault="00552F39" w:rsidP="006F5EB0">
      <w:pPr>
        <w:rPr>
          <w:rFonts w:cs="Times New Roman"/>
          <w:sz w:val="24"/>
          <w:szCs w:val="24"/>
        </w:rPr>
      </w:pPr>
      <w:r>
        <w:rPr>
          <w:rFonts w:cs="Times New Roman"/>
          <w:sz w:val="24"/>
          <w:szCs w:val="24"/>
        </w:rPr>
        <w:t>Komisijas priekšsēdētāja</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Inguna Abzalone</w:t>
      </w:r>
    </w:p>
    <w:p w14:paraId="580BF2CF" w14:textId="5D6EC61D" w:rsidR="00552F39" w:rsidRDefault="00552F39" w:rsidP="006F5EB0">
      <w:pPr>
        <w:rPr>
          <w:rFonts w:cs="Times New Roman"/>
          <w:sz w:val="24"/>
          <w:szCs w:val="24"/>
        </w:rPr>
      </w:pPr>
    </w:p>
    <w:p w14:paraId="7DB33B58" w14:textId="523DFEDB" w:rsidR="00552F39" w:rsidRDefault="00552F39" w:rsidP="006F5EB0">
      <w:pPr>
        <w:rPr>
          <w:rFonts w:cs="Times New Roman"/>
          <w:sz w:val="24"/>
          <w:szCs w:val="24"/>
        </w:rPr>
      </w:pPr>
    </w:p>
    <w:p w14:paraId="2F66F3A6" w14:textId="1B9DE3D9" w:rsidR="00552F39" w:rsidRDefault="00552F39" w:rsidP="006F5EB0">
      <w:pPr>
        <w:rPr>
          <w:rFonts w:cs="Times New Roman"/>
          <w:sz w:val="24"/>
          <w:szCs w:val="24"/>
        </w:rPr>
      </w:pPr>
    </w:p>
    <w:p w14:paraId="51CB08AD" w14:textId="77777777" w:rsidR="00552F39" w:rsidRDefault="00552F39" w:rsidP="00552F39">
      <w:pPr>
        <w:spacing w:after="0" w:line="240" w:lineRule="auto"/>
        <w:jc w:val="both"/>
        <w:rPr>
          <w:rFonts w:cs="Times New Roman"/>
          <w:noProof/>
          <w:sz w:val="16"/>
          <w:szCs w:val="16"/>
        </w:rPr>
      </w:pPr>
    </w:p>
    <w:p w14:paraId="7518AA0A" w14:textId="77777777" w:rsidR="00552F39" w:rsidRPr="00E77FAF" w:rsidRDefault="00552F39" w:rsidP="00552F39">
      <w:pPr>
        <w:spacing w:after="0" w:line="240" w:lineRule="auto"/>
        <w:jc w:val="both"/>
        <w:rPr>
          <w:rFonts w:cs="Times New Roman"/>
          <w:sz w:val="16"/>
          <w:szCs w:val="16"/>
        </w:rPr>
      </w:pPr>
      <w:r>
        <w:rPr>
          <w:rFonts w:cs="Times New Roman"/>
          <w:noProof/>
          <w:sz w:val="16"/>
          <w:szCs w:val="16"/>
        </w:rPr>
        <w:t>Aivars Meikšāns</w:t>
      </w:r>
      <w:r w:rsidRPr="00E77FAF">
        <w:rPr>
          <w:rFonts w:cs="Times New Roman"/>
          <w:sz w:val="16"/>
          <w:szCs w:val="16"/>
        </w:rPr>
        <w:t xml:space="preserve">, </w:t>
      </w:r>
      <w:r>
        <w:rPr>
          <w:rFonts w:cs="Times New Roman"/>
          <w:noProof/>
          <w:sz w:val="16"/>
          <w:szCs w:val="16"/>
        </w:rPr>
        <w:t>20256081</w:t>
      </w:r>
    </w:p>
    <w:p w14:paraId="4E402FA1" w14:textId="77777777" w:rsidR="00552F39" w:rsidRPr="00E77FAF" w:rsidRDefault="00552F39" w:rsidP="00552F39">
      <w:pPr>
        <w:pStyle w:val="Footer"/>
        <w:rPr>
          <w:sz w:val="20"/>
          <w:szCs w:val="20"/>
        </w:rPr>
      </w:pPr>
      <w:r>
        <w:rPr>
          <w:rFonts w:cs="Times New Roman"/>
          <w:noProof/>
          <w:sz w:val="16"/>
          <w:szCs w:val="16"/>
        </w:rPr>
        <w:t>aivars.meiksans</w:t>
      </w:r>
      <w:r w:rsidRPr="00E77FAF">
        <w:rPr>
          <w:rFonts w:cs="Times New Roman"/>
          <w:noProof/>
          <w:sz w:val="16"/>
          <w:szCs w:val="16"/>
        </w:rPr>
        <w:t>@valic.gov.lv</w:t>
      </w:r>
    </w:p>
    <w:p w14:paraId="133ACCAF" w14:textId="77777777" w:rsidR="00552F39" w:rsidRDefault="00552F39" w:rsidP="006F5EB0">
      <w:pPr>
        <w:rPr>
          <w:rFonts w:cs="Times New Roman"/>
          <w:sz w:val="24"/>
          <w:szCs w:val="24"/>
        </w:rPr>
      </w:pPr>
      <w:bookmarkStart w:id="7" w:name="_GoBack"/>
      <w:bookmarkEnd w:id="7"/>
    </w:p>
    <w:p w14:paraId="628398F6" w14:textId="77777777" w:rsidR="00552F39" w:rsidRPr="006F5EB0" w:rsidRDefault="00552F39" w:rsidP="006F5EB0">
      <w:pPr>
        <w:rPr>
          <w:rFonts w:cs="Times New Roman"/>
          <w:sz w:val="24"/>
          <w:szCs w:val="24"/>
        </w:rPr>
      </w:pPr>
    </w:p>
    <w:p w14:paraId="4CD13873" w14:textId="4F23839C" w:rsidR="00940D3C" w:rsidRPr="006F5EB0" w:rsidRDefault="006F5EB0" w:rsidP="006F5EB0">
      <w:pPr>
        <w:tabs>
          <w:tab w:val="left" w:pos="1415"/>
        </w:tabs>
        <w:rPr>
          <w:rFonts w:cs="Times New Roman"/>
          <w:sz w:val="24"/>
          <w:szCs w:val="24"/>
        </w:rPr>
      </w:pPr>
      <w:r>
        <w:rPr>
          <w:rFonts w:cs="Times New Roman"/>
          <w:sz w:val="24"/>
          <w:szCs w:val="24"/>
        </w:rPr>
        <w:tab/>
      </w:r>
    </w:p>
    <w:sectPr w:rsidR="00940D3C" w:rsidRPr="006F5EB0" w:rsidSect="00CD5102">
      <w:footerReference w:type="default" r:id="rId9"/>
      <w:pgSz w:w="16838" w:h="11906" w:orient="landscape"/>
      <w:pgMar w:top="709" w:right="85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9B31C" w14:textId="77777777" w:rsidR="007B1729" w:rsidRDefault="007B1729" w:rsidP="00A32977">
      <w:pPr>
        <w:spacing w:after="0" w:line="240" w:lineRule="auto"/>
      </w:pPr>
      <w:r>
        <w:separator/>
      </w:r>
    </w:p>
  </w:endnote>
  <w:endnote w:type="continuationSeparator" w:id="0">
    <w:p w14:paraId="5D2329A2" w14:textId="77777777" w:rsidR="007B1729" w:rsidRDefault="007B1729" w:rsidP="00A32977">
      <w:pPr>
        <w:spacing w:after="0" w:line="240" w:lineRule="auto"/>
      </w:pPr>
      <w:r>
        <w:continuationSeparator/>
      </w:r>
    </w:p>
  </w:endnote>
  <w:endnote w:type="continuationNotice" w:id="1">
    <w:p w14:paraId="3B1C2047" w14:textId="77777777" w:rsidR="00EF2E28" w:rsidRDefault="00EF2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919351"/>
      <w:docPartObj>
        <w:docPartGallery w:val="Page Numbers (Bottom of Page)"/>
        <w:docPartUnique/>
      </w:docPartObj>
    </w:sdtPr>
    <w:sdtEndPr>
      <w:rPr>
        <w:noProof/>
      </w:rPr>
    </w:sdtEndPr>
    <w:sdtContent>
      <w:p w14:paraId="5201016D" w14:textId="6736B08C" w:rsidR="00CD5102" w:rsidRDefault="00007676" w:rsidP="00007676">
        <w:pPr>
          <w:pStyle w:val="Footer"/>
          <w:jc w:val="center"/>
          <w:rPr>
            <w:sz w:val="20"/>
            <w:szCs w:val="20"/>
          </w:rPr>
        </w:pPr>
        <w:r w:rsidRPr="00467C3A">
          <w:rPr>
            <w:sz w:val="20"/>
            <w:szCs w:val="20"/>
          </w:rPr>
          <w:t>DOKUMENTS IR PARAKSTĪTS AR DROŠU ELEKTRONISKO PARAKSTU UN SATUR LAIKA ZĪMOGU</w:t>
        </w:r>
      </w:p>
      <w:p w14:paraId="3A734FD0" w14:textId="0BA08E8A" w:rsidR="00CD5102" w:rsidRDefault="00CD5102">
        <w:pPr>
          <w:pStyle w:val="Footer"/>
          <w:jc w:val="center"/>
        </w:pPr>
      </w:p>
      <w:p w14:paraId="02CE03F4" w14:textId="363C180C" w:rsidR="00DB570F" w:rsidRPr="00B66CE8" w:rsidRDefault="00DB570F">
        <w:pPr>
          <w:pStyle w:val="Footer"/>
          <w:jc w:val="center"/>
        </w:pPr>
        <w:r w:rsidRPr="00B66CE8">
          <w:fldChar w:fldCharType="begin"/>
        </w:r>
        <w:r w:rsidRPr="00B66CE8">
          <w:instrText xml:space="preserve"> PAGE   \* MERGEFORMAT </w:instrText>
        </w:r>
        <w:r w:rsidRPr="00B66CE8">
          <w:fldChar w:fldCharType="separate"/>
        </w:r>
        <w:r w:rsidRPr="00B66CE8">
          <w:rPr>
            <w:noProof/>
          </w:rPr>
          <w:t>2</w:t>
        </w:r>
        <w:r w:rsidRPr="00B66CE8">
          <w:rPr>
            <w:noProof/>
          </w:rPr>
          <w:fldChar w:fldCharType="end"/>
        </w:r>
      </w:p>
    </w:sdtContent>
  </w:sdt>
  <w:p w14:paraId="6AB18EC3" w14:textId="0287B17B" w:rsidR="00DB570F" w:rsidRPr="00B66CE8" w:rsidRDefault="00D25D09" w:rsidP="00D25D09">
    <w:pPr>
      <w:pStyle w:val="Footer"/>
      <w:rPr>
        <w:sz w:val="18"/>
      </w:rPr>
    </w:pPr>
    <w:r w:rsidRPr="00D25D09">
      <w:rPr>
        <w:rFonts w:cs="Times New Roman"/>
        <w:szCs w:val="22"/>
      </w:rPr>
      <w:t>VALIC 2025/0</w:t>
    </w:r>
    <w:r w:rsidR="006F5EB0">
      <w:rPr>
        <w:rFonts w:cs="Times New Roman"/>
        <w:szCs w:val="22"/>
      </w:rPr>
      <w:t>26</w:t>
    </w:r>
    <w:r w:rsidRPr="00D25D09">
      <w:rPr>
        <w:rFonts w:cs="Times New Roman"/>
        <w:szCs w:val="22"/>
      </w:rPr>
      <w:t>/</w:t>
    </w:r>
    <w:r w:rsidR="006F5EB0">
      <w:rPr>
        <w:rFonts w:cs="Times New Roman"/>
        <w:szCs w:val="22"/>
      </w:rPr>
      <w:t>T</w:t>
    </w:r>
    <w:r w:rsidRPr="00D25D09">
      <w:rPr>
        <w:rFonts w:cs="Times New Roman"/>
        <w:szCs w:val="22"/>
      </w:rPr>
      <w:t>N-P-AK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124CD" w14:textId="77777777" w:rsidR="007B1729" w:rsidRDefault="007B1729" w:rsidP="00A32977">
      <w:pPr>
        <w:spacing w:after="0" w:line="240" w:lineRule="auto"/>
      </w:pPr>
      <w:r>
        <w:separator/>
      </w:r>
    </w:p>
  </w:footnote>
  <w:footnote w:type="continuationSeparator" w:id="0">
    <w:p w14:paraId="31D86342" w14:textId="77777777" w:rsidR="007B1729" w:rsidRDefault="007B1729" w:rsidP="00A32977">
      <w:pPr>
        <w:spacing w:after="0" w:line="240" w:lineRule="auto"/>
      </w:pPr>
      <w:r>
        <w:continuationSeparator/>
      </w:r>
    </w:p>
  </w:footnote>
  <w:footnote w:type="continuationNotice" w:id="1">
    <w:p w14:paraId="144CF7F7" w14:textId="77777777" w:rsidR="00EF2E28" w:rsidRDefault="00EF2E28">
      <w:pPr>
        <w:spacing w:after="0" w:line="240" w:lineRule="auto"/>
      </w:pPr>
    </w:p>
  </w:footnote>
  <w:footnote w:id="2">
    <w:p w14:paraId="35E667CC" w14:textId="77777777" w:rsidR="00552F39" w:rsidRDefault="00552F39" w:rsidP="00552F39">
      <w:pPr>
        <w:pStyle w:val="FootnoteText"/>
      </w:pPr>
      <w:r>
        <w:rPr>
          <w:rStyle w:val="FootnoteReference"/>
        </w:rPr>
        <w:footnoteRef/>
      </w:r>
      <w:r>
        <w:t xml:space="preserve"> Jānorāda konkrēts tehniskās specifikācijas nosaukums un konkrēta prasība.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35EB6"/>
    <w:multiLevelType w:val="hybridMultilevel"/>
    <w:tmpl w:val="4F8E62B6"/>
    <w:lvl w:ilvl="0" w:tplc="1D3E4DB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360" w:hanging="360"/>
      </w:pPr>
      <w:rPr>
        <w:rFonts w:ascii="Courier New" w:hAnsi="Courier New" w:cs="Courier New" w:hint="default"/>
      </w:rPr>
    </w:lvl>
    <w:lvl w:ilvl="2" w:tplc="04260005" w:tentative="1">
      <w:start w:val="1"/>
      <w:numFmt w:val="bullet"/>
      <w:lvlText w:val=""/>
      <w:lvlJc w:val="left"/>
      <w:pPr>
        <w:ind w:left="360" w:hanging="360"/>
      </w:pPr>
      <w:rPr>
        <w:rFonts w:ascii="Wingdings" w:hAnsi="Wingdings" w:hint="default"/>
      </w:rPr>
    </w:lvl>
    <w:lvl w:ilvl="3" w:tplc="04260001" w:tentative="1">
      <w:start w:val="1"/>
      <w:numFmt w:val="bullet"/>
      <w:lvlText w:val=""/>
      <w:lvlJc w:val="left"/>
      <w:pPr>
        <w:ind w:left="1080" w:hanging="360"/>
      </w:pPr>
      <w:rPr>
        <w:rFonts w:ascii="Symbol" w:hAnsi="Symbol" w:hint="default"/>
      </w:rPr>
    </w:lvl>
    <w:lvl w:ilvl="4" w:tplc="04260003" w:tentative="1">
      <w:start w:val="1"/>
      <w:numFmt w:val="bullet"/>
      <w:lvlText w:val="o"/>
      <w:lvlJc w:val="left"/>
      <w:pPr>
        <w:ind w:left="1800" w:hanging="360"/>
      </w:pPr>
      <w:rPr>
        <w:rFonts w:ascii="Courier New" w:hAnsi="Courier New" w:cs="Courier New" w:hint="default"/>
      </w:rPr>
    </w:lvl>
    <w:lvl w:ilvl="5" w:tplc="04260005" w:tentative="1">
      <w:start w:val="1"/>
      <w:numFmt w:val="bullet"/>
      <w:lvlText w:val=""/>
      <w:lvlJc w:val="left"/>
      <w:pPr>
        <w:ind w:left="2520" w:hanging="360"/>
      </w:pPr>
      <w:rPr>
        <w:rFonts w:ascii="Wingdings" w:hAnsi="Wingdings" w:hint="default"/>
      </w:rPr>
    </w:lvl>
    <w:lvl w:ilvl="6" w:tplc="04260001" w:tentative="1">
      <w:start w:val="1"/>
      <w:numFmt w:val="bullet"/>
      <w:lvlText w:val=""/>
      <w:lvlJc w:val="left"/>
      <w:pPr>
        <w:ind w:left="3240" w:hanging="360"/>
      </w:pPr>
      <w:rPr>
        <w:rFonts w:ascii="Symbol" w:hAnsi="Symbol" w:hint="default"/>
      </w:rPr>
    </w:lvl>
    <w:lvl w:ilvl="7" w:tplc="04260003" w:tentative="1">
      <w:start w:val="1"/>
      <w:numFmt w:val="bullet"/>
      <w:lvlText w:val="o"/>
      <w:lvlJc w:val="left"/>
      <w:pPr>
        <w:ind w:left="3960" w:hanging="360"/>
      </w:pPr>
      <w:rPr>
        <w:rFonts w:ascii="Courier New" w:hAnsi="Courier New" w:cs="Courier New" w:hint="default"/>
      </w:rPr>
    </w:lvl>
    <w:lvl w:ilvl="8" w:tplc="04260005" w:tentative="1">
      <w:start w:val="1"/>
      <w:numFmt w:val="bullet"/>
      <w:lvlText w:val=""/>
      <w:lvlJc w:val="left"/>
      <w:pPr>
        <w:ind w:left="4680" w:hanging="360"/>
      </w:pPr>
      <w:rPr>
        <w:rFonts w:ascii="Wingdings" w:hAnsi="Wingdings" w:hint="default"/>
      </w:rPr>
    </w:lvl>
  </w:abstractNum>
  <w:abstractNum w:abstractNumId="1" w15:restartNumberingAfterBreak="0">
    <w:nsid w:val="144126B1"/>
    <w:multiLevelType w:val="hybridMultilevel"/>
    <w:tmpl w:val="0DB2D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3F53FE"/>
    <w:multiLevelType w:val="multilevel"/>
    <w:tmpl w:val="15AA99FC"/>
    <w:lvl w:ilvl="0">
      <w:start w:val="1"/>
      <w:numFmt w:val="decimal"/>
      <w:lvlText w:val="%1."/>
      <w:lvlJc w:val="left"/>
      <w:pPr>
        <w:ind w:left="720" w:hanging="360"/>
      </w:pPr>
      <w:rPr>
        <w:rFonts w:hint="default"/>
        <w:sz w:val="24"/>
        <w:szCs w:val="24"/>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8CF6BE7"/>
    <w:multiLevelType w:val="multilevel"/>
    <w:tmpl w:val="A80ECE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9A75B43"/>
    <w:multiLevelType w:val="hybridMultilevel"/>
    <w:tmpl w:val="9770180C"/>
    <w:lvl w:ilvl="0" w:tplc="8E54BDDE">
      <w:start w:val="1"/>
      <w:numFmt w:val="bullet"/>
      <w:lvlText w:val=""/>
      <w:lvlJc w:val="left"/>
      <w:pPr>
        <w:ind w:left="720" w:hanging="360"/>
      </w:pPr>
      <w:rPr>
        <w:rFonts w:ascii="Symbol" w:hAnsi="Symbol" w:hint="default"/>
        <w:sz w:val="16"/>
        <w:szCs w:val="16"/>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6EE2480"/>
    <w:multiLevelType w:val="multilevel"/>
    <w:tmpl w:val="10D041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93B663D"/>
    <w:multiLevelType w:val="hybridMultilevel"/>
    <w:tmpl w:val="C8922520"/>
    <w:lvl w:ilvl="0" w:tplc="E57ECCD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0C0D79"/>
    <w:multiLevelType w:val="hybridMultilevel"/>
    <w:tmpl w:val="A436481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E978A5"/>
    <w:multiLevelType w:val="hybridMultilevel"/>
    <w:tmpl w:val="46D828E8"/>
    <w:lvl w:ilvl="0" w:tplc="234A1AA8">
      <w:numFmt w:val="bullet"/>
      <w:lvlText w:val="•"/>
      <w:lvlJc w:val="left"/>
      <w:pPr>
        <w:ind w:left="360" w:hanging="360"/>
      </w:pPr>
      <w:rPr>
        <w:rFonts w:ascii="Times New Roman" w:eastAsia="Calibri"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FEF18A2"/>
    <w:multiLevelType w:val="multilevel"/>
    <w:tmpl w:val="F89296B6"/>
    <w:lvl w:ilvl="0">
      <w:start w:val="1"/>
      <w:numFmt w:val="decimal"/>
      <w:lvlText w:val="%1."/>
      <w:lvlJc w:val="left"/>
      <w:pPr>
        <w:ind w:left="644" w:hanging="360"/>
      </w:pPr>
      <w:rPr>
        <w:rFonts w:hint="default"/>
        <w:b/>
      </w:rPr>
    </w:lvl>
    <w:lvl w:ilvl="1">
      <w:start w:val="1"/>
      <w:numFmt w:val="decimal"/>
      <w:lvlText w:val="%1.%2."/>
      <w:lvlJc w:val="left"/>
      <w:pPr>
        <w:ind w:left="1069"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0" w15:restartNumberingAfterBreak="0">
    <w:nsid w:val="311A78EE"/>
    <w:multiLevelType w:val="hybridMultilevel"/>
    <w:tmpl w:val="F92CC3FC"/>
    <w:lvl w:ilvl="0" w:tplc="234A1AA8">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44733C4"/>
    <w:multiLevelType w:val="multilevel"/>
    <w:tmpl w:val="F89296B6"/>
    <w:lvl w:ilvl="0">
      <w:start w:val="1"/>
      <w:numFmt w:val="decimal"/>
      <w:lvlText w:val="%1."/>
      <w:lvlJc w:val="left"/>
      <w:pPr>
        <w:ind w:left="644" w:hanging="360"/>
      </w:pPr>
      <w:rPr>
        <w:rFonts w:hint="default"/>
        <w:b/>
      </w:rPr>
    </w:lvl>
    <w:lvl w:ilvl="1">
      <w:start w:val="1"/>
      <w:numFmt w:val="decimal"/>
      <w:lvlText w:val="%1.%2."/>
      <w:lvlJc w:val="left"/>
      <w:pPr>
        <w:ind w:left="1069"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2" w15:restartNumberingAfterBreak="0">
    <w:nsid w:val="37C95414"/>
    <w:multiLevelType w:val="hybridMultilevel"/>
    <w:tmpl w:val="F8B49A80"/>
    <w:lvl w:ilvl="0" w:tplc="FBDE0A1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8ED168E"/>
    <w:multiLevelType w:val="multilevel"/>
    <w:tmpl w:val="E67E1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A65763A"/>
    <w:multiLevelType w:val="hybridMultilevel"/>
    <w:tmpl w:val="040CB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A81752"/>
    <w:multiLevelType w:val="multilevel"/>
    <w:tmpl w:val="A88A46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E1B4AB0"/>
    <w:multiLevelType w:val="multilevel"/>
    <w:tmpl w:val="F45854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A7E0011"/>
    <w:multiLevelType w:val="hybridMultilevel"/>
    <w:tmpl w:val="CA72FDA8"/>
    <w:lvl w:ilvl="0" w:tplc="C748C4A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0FB7962"/>
    <w:multiLevelType w:val="multilevel"/>
    <w:tmpl w:val="E028DE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45D4682"/>
    <w:multiLevelType w:val="hybridMultilevel"/>
    <w:tmpl w:val="B3AA2032"/>
    <w:lvl w:ilvl="0" w:tplc="234A1AA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4B265B0"/>
    <w:multiLevelType w:val="multilevel"/>
    <w:tmpl w:val="F89296B6"/>
    <w:lvl w:ilvl="0">
      <w:start w:val="1"/>
      <w:numFmt w:val="decimal"/>
      <w:lvlText w:val="%1."/>
      <w:lvlJc w:val="left"/>
      <w:pPr>
        <w:ind w:left="644" w:hanging="360"/>
      </w:pPr>
      <w:rPr>
        <w:rFonts w:hint="default"/>
        <w:b/>
      </w:rPr>
    </w:lvl>
    <w:lvl w:ilvl="1">
      <w:start w:val="1"/>
      <w:numFmt w:val="decimal"/>
      <w:lvlText w:val="%1.%2."/>
      <w:lvlJc w:val="left"/>
      <w:pPr>
        <w:ind w:left="1069"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5D8D2C2F"/>
    <w:multiLevelType w:val="hybridMultilevel"/>
    <w:tmpl w:val="89B448C2"/>
    <w:lvl w:ilvl="0" w:tplc="234A1AA8">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63297194"/>
    <w:multiLevelType w:val="hybridMultilevel"/>
    <w:tmpl w:val="AFAE56C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4040DD"/>
    <w:multiLevelType w:val="multilevel"/>
    <w:tmpl w:val="EA16EB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35145DB"/>
    <w:multiLevelType w:val="hybridMultilevel"/>
    <w:tmpl w:val="73867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B44BCB"/>
    <w:multiLevelType w:val="multilevel"/>
    <w:tmpl w:val="49FA57E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20"/>
  </w:num>
  <w:num w:numId="2">
    <w:abstractNumId w:val="17"/>
  </w:num>
  <w:num w:numId="3">
    <w:abstractNumId w:val="1"/>
  </w:num>
  <w:num w:numId="4">
    <w:abstractNumId w:val="26"/>
  </w:num>
  <w:num w:numId="5">
    <w:abstractNumId w:val="4"/>
  </w:num>
  <w:num w:numId="6">
    <w:abstractNumId w:val="12"/>
  </w:num>
  <w:num w:numId="7">
    <w:abstractNumId w:val="7"/>
  </w:num>
  <w:num w:numId="8">
    <w:abstractNumId w:val="24"/>
  </w:num>
  <w:num w:numId="9">
    <w:abstractNumId w:val="0"/>
  </w:num>
  <w:num w:numId="10">
    <w:abstractNumId w:val="25"/>
  </w:num>
  <w:num w:numId="11">
    <w:abstractNumId w:val="2"/>
  </w:num>
  <w:num w:numId="12">
    <w:abstractNumId w:val="19"/>
  </w:num>
  <w:num w:numId="13">
    <w:abstractNumId w:val="21"/>
  </w:num>
  <w:num w:numId="14">
    <w:abstractNumId w:val="10"/>
  </w:num>
  <w:num w:numId="15">
    <w:abstractNumId w:val="8"/>
  </w:num>
  <w:num w:numId="16">
    <w:abstractNumId w:val="16"/>
  </w:num>
  <w:num w:numId="17">
    <w:abstractNumId w:val="15"/>
  </w:num>
  <w:num w:numId="18">
    <w:abstractNumId w:val="13"/>
  </w:num>
  <w:num w:numId="19">
    <w:abstractNumId w:val="5"/>
  </w:num>
  <w:num w:numId="20">
    <w:abstractNumId w:val="3"/>
  </w:num>
  <w:num w:numId="21">
    <w:abstractNumId w:val="18"/>
  </w:num>
  <w:num w:numId="22">
    <w:abstractNumId w:val="14"/>
  </w:num>
  <w:num w:numId="23">
    <w:abstractNumId w:val="9"/>
  </w:num>
  <w:num w:numId="24">
    <w:abstractNumId w:val="11"/>
  </w:num>
  <w:num w:numId="25">
    <w:abstractNumId w:val="6"/>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7F"/>
    <w:rsid w:val="0000629F"/>
    <w:rsid w:val="00007676"/>
    <w:rsid w:val="00007ED6"/>
    <w:rsid w:val="00022AAC"/>
    <w:rsid w:val="00030DB2"/>
    <w:rsid w:val="00031977"/>
    <w:rsid w:val="000371AB"/>
    <w:rsid w:val="000406EE"/>
    <w:rsid w:val="00044BE6"/>
    <w:rsid w:val="00046E5F"/>
    <w:rsid w:val="000471CE"/>
    <w:rsid w:val="000523E9"/>
    <w:rsid w:val="000531EF"/>
    <w:rsid w:val="000617D1"/>
    <w:rsid w:val="0006475A"/>
    <w:rsid w:val="000729D8"/>
    <w:rsid w:val="00081818"/>
    <w:rsid w:val="00091D2A"/>
    <w:rsid w:val="00094F7A"/>
    <w:rsid w:val="000A1C12"/>
    <w:rsid w:val="000D0FCC"/>
    <w:rsid w:val="000D58B9"/>
    <w:rsid w:val="000E1DFB"/>
    <w:rsid w:val="000E4811"/>
    <w:rsid w:val="000F09E5"/>
    <w:rsid w:val="0010458F"/>
    <w:rsid w:val="00111429"/>
    <w:rsid w:val="00114A31"/>
    <w:rsid w:val="00131A0F"/>
    <w:rsid w:val="00132E6A"/>
    <w:rsid w:val="00133A74"/>
    <w:rsid w:val="00153C1B"/>
    <w:rsid w:val="00165009"/>
    <w:rsid w:val="001668CD"/>
    <w:rsid w:val="0017162C"/>
    <w:rsid w:val="00176C3B"/>
    <w:rsid w:val="00182795"/>
    <w:rsid w:val="00184852"/>
    <w:rsid w:val="00185697"/>
    <w:rsid w:val="00194C8B"/>
    <w:rsid w:val="001955B6"/>
    <w:rsid w:val="001A5EBA"/>
    <w:rsid w:val="001B2A3D"/>
    <w:rsid w:val="001B3ACD"/>
    <w:rsid w:val="001B7DC2"/>
    <w:rsid w:val="001C6362"/>
    <w:rsid w:val="001F4D4B"/>
    <w:rsid w:val="001F6589"/>
    <w:rsid w:val="001F76F4"/>
    <w:rsid w:val="002029D2"/>
    <w:rsid w:val="002030FB"/>
    <w:rsid w:val="002115C1"/>
    <w:rsid w:val="00216DDB"/>
    <w:rsid w:val="00227793"/>
    <w:rsid w:val="002362DB"/>
    <w:rsid w:val="002559FB"/>
    <w:rsid w:val="00260D4C"/>
    <w:rsid w:val="00263644"/>
    <w:rsid w:val="0029116D"/>
    <w:rsid w:val="00292C88"/>
    <w:rsid w:val="002A3F37"/>
    <w:rsid w:val="002B18FF"/>
    <w:rsid w:val="002B5577"/>
    <w:rsid w:val="002C6201"/>
    <w:rsid w:val="002D0037"/>
    <w:rsid w:val="002E58F3"/>
    <w:rsid w:val="002F1184"/>
    <w:rsid w:val="002F30AD"/>
    <w:rsid w:val="00301D54"/>
    <w:rsid w:val="00303771"/>
    <w:rsid w:val="00304522"/>
    <w:rsid w:val="00315D43"/>
    <w:rsid w:val="00317E7E"/>
    <w:rsid w:val="00321326"/>
    <w:rsid w:val="00321EFD"/>
    <w:rsid w:val="00327B4C"/>
    <w:rsid w:val="00333278"/>
    <w:rsid w:val="003440FC"/>
    <w:rsid w:val="003444F2"/>
    <w:rsid w:val="00344927"/>
    <w:rsid w:val="00347646"/>
    <w:rsid w:val="00362FAA"/>
    <w:rsid w:val="00366AF7"/>
    <w:rsid w:val="0038017F"/>
    <w:rsid w:val="003A2215"/>
    <w:rsid w:val="003A3886"/>
    <w:rsid w:val="003A3F2B"/>
    <w:rsid w:val="003A479D"/>
    <w:rsid w:val="003B4AE9"/>
    <w:rsid w:val="003B6C6D"/>
    <w:rsid w:val="003F5437"/>
    <w:rsid w:val="00420EAB"/>
    <w:rsid w:val="0043257B"/>
    <w:rsid w:val="00434C99"/>
    <w:rsid w:val="00434D90"/>
    <w:rsid w:val="0043646A"/>
    <w:rsid w:val="00441E78"/>
    <w:rsid w:val="00443B2F"/>
    <w:rsid w:val="00445BEE"/>
    <w:rsid w:val="004533A7"/>
    <w:rsid w:val="00453A2F"/>
    <w:rsid w:val="00467DA1"/>
    <w:rsid w:val="00477533"/>
    <w:rsid w:val="00484378"/>
    <w:rsid w:val="004A7771"/>
    <w:rsid w:val="004B5E70"/>
    <w:rsid w:val="004C2471"/>
    <w:rsid w:val="004C4492"/>
    <w:rsid w:val="004E5A93"/>
    <w:rsid w:val="004F63E9"/>
    <w:rsid w:val="0050469E"/>
    <w:rsid w:val="0050595C"/>
    <w:rsid w:val="00506DD0"/>
    <w:rsid w:val="00523B17"/>
    <w:rsid w:val="00526FD3"/>
    <w:rsid w:val="005315F9"/>
    <w:rsid w:val="00540ED0"/>
    <w:rsid w:val="0054297C"/>
    <w:rsid w:val="00543AF6"/>
    <w:rsid w:val="005453A5"/>
    <w:rsid w:val="00552F39"/>
    <w:rsid w:val="005564D2"/>
    <w:rsid w:val="0057381C"/>
    <w:rsid w:val="005749FE"/>
    <w:rsid w:val="00577335"/>
    <w:rsid w:val="00590D06"/>
    <w:rsid w:val="005A435E"/>
    <w:rsid w:val="005D4E1A"/>
    <w:rsid w:val="005E5E38"/>
    <w:rsid w:val="005F5D65"/>
    <w:rsid w:val="005F721A"/>
    <w:rsid w:val="00620F07"/>
    <w:rsid w:val="006344EC"/>
    <w:rsid w:val="00652D07"/>
    <w:rsid w:val="00661291"/>
    <w:rsid w:val="006624C4"/>
    <w:rsid w:val="00677DE0"/>
    <w:rsid w:val="00682DD8"/>
    <w:rsid w:val="00692BDD"/>
    <w:rsid w:val="00694E28"/>
    <w:rsid w:val="006A058A"/>
    <w:rsid w:val="006C5BE0"/>
    <w:rsid w:val="006C664F"/>
    <w:rsid w:val="006D716F"/>
    <w:rsid w:val="006F5EB0"/>
    <w:rsid w:val="00713948"/>
    <w:rsid w:val="00717121"/>
    <w:rsid w:val="00750FD1"/>
    <w:rsid w:val="007553B9"/>
    <w:rsid w:val="007642D6"/>
    <w:rsid w:val="007726DC"/>
    <w:rsid w:val="00776A32"/>
    <w:rsid w:val="00783182"/>
    <w:rsid w:val="00785A59"/>
    <w:rsid w:val="007874F0"/>
    <w:rsid w:val="00794278"/>
    <w:rsid w:val="007A2546"/>
    <w:rsid w:val="007A2BE3"/>
    <w:rsid w:val="007B1729"/>
    <w:rsid w:val="007B51A1"/>
    <w:rsid w:val="007C3DA3"/>
    <w:rsid w:val="00800609"/>
    <w:rsid w:val="00812020"/>
    <w:rsid w:val="00821FB1"/>
    <w:rsid w:val="0083029B"/>
    <w:rsid w:val="00837221"/>
    <w:rsid w:val="0086182E"/>
    <w:rsid w:val="008622AD"/>
    <w:rsid w:val="00865613"/>
    <w:rsid w:val="00881769"/>
    <w:rsid w:val="00881FDA"/>
    <w:rsid w:val="0088555A"/>
    <w:rsid w:val="00896821"/>
    <w:rsid w:val="008A116A"/>
    <w:rsid w:val="008A7537"/>
    <w:rsid w:val="008B205A"/>
    <w:rsid w:val="008E38FB"/>
    <w:rsid w:val="008F71BA"/>
    <w:rsid w:val="008F7571"/>
    <w:rsid w:val="00906C98"/>
    <w:rsid w:val="009105F6"/>
    <w:rsid w:val="009242AE"/>
    <w:rsid w:val="009347F1"/>
    <w:rsid w:val="00940D3C"/>
    <w:rsid w:val="00945750"/>
    <w:rsid w:val="0096411B"/>
    <w:rsid w:val="00975B8C"/>
    <w:rsid w:val="00981315"/>
    <w:rsid w:val="009831CF"/>
    <w:rsid w:val="00986213"/>
    <w:rsid w:val="009913B8"/>
    <w:rsid w:val="009A4475"/>
    <w:rsid w:val="009A4E5E"/>
    <w:rsid w:val="009A5C7F"/>
    <w:rsid w:val="009B119D"/>
    <w:rsid w:val="009B1DBC"/>
    <w:rsid w:val="009C514A"/>
    <w:rsid w:val="009C6162"/>
    <w:rsid w:val="009D5502"/>
    <w:rsid w:val="009E34FE"/>
    <w:rsid w:val="009E70F0"/>
    <w:rsid w:val="009F20B3"/>
    <w:rsid w:val="009F4042"/>
    <w:rsid w:val="00A0239C"/>
    <w:rsid w:val="00A159ED"/>
    <w:rsid w:val="00A21332"/>
    <w:rsid w:val="00A32977"/>
    <w:rsid w:val="00A34A87"/>
    <w:rsid w:val="00A40510"/>
    <w:rsid w:val="00A47E9F"/>
    <w:rsid w:val="00A56AE0"/>
    <w:rsid w:val="00A6530E"/>
    <w:rsid w:val="00A71470"/>
    <w:rsid w:val="00A76611"/>
    <w:rsid w:val="00A80D0F"/>
    <w:rsid w:val="00A866AA"/>
    <w:rsid w:val="00AA2536"/>
    <w:rsid w:val="00AA71F5"/>
    <w:rsid w:val="00AB254F"/>
    <w:rsid w:val="00AE2E00"/>
    <w:rsid w:val="00B01061"/>
    <w:rsid w:val="00B1458E"/>
    <w:rsid w:val="00B16224"/>
    <w:rsid w:val="00B23D58"/>
    <w:rsid w:val="00B42945"/>
    <w:rsid w:val="00B513CA"/>
    <w:rsid w:val="00B60645"/>
    <w:rsid w:val="00B64629"/>
    <w:rsid w:val="00B66CE8"/>
    <w:rsid w:val="00B7400D"/>
    <w:rsid w:val="00B8301C"/>
    <w:rsid w:val="00BA01F4"/>
    <w:rsid w:val="00BC1101"/>
    <w:rsid w:val="00BF3F97"/>
    <w:rsid w:val="00BF6427"/>
    <w:rsid w:val="00C05E11"/>
    <w:rsid w:val="00C12539"/>
    <w:rsid w:val="00C1612B"/>
    <w:rsid w:val="00C16354"/>
    <w:rsid w:val="00C16504"/>
    <w:rsid w:val="00C17254"/>
    <w:rsid w:val="00C40C7B"/>
    <w:rsid w:val="00C50D13"/>
    <w:rsid w:val="00C54B8C"/>
    <w:rsid w:val="00C57123"/>
    <w:rsid w:val="00C63F26"/>
    <w:rsid w:val="00C64990"/>
    <w:rsid w:val="00C67FB8"/>
    <w:rsid w:val="00C71D18"/>
    <w:rsid w:val="00C812E6"/>
    <w:rsid w:val="00C82796"/>
    <w:rsid w:val="00C86C83"/>
    <w:rsid w:val="00C908CA"/>
    <w:rsid w:val="00C95BC9"/>
    <w:rsid w:val="00CB59A1"/>
    <w:rsid w:val="00CB6766"/>
    <w:rsid w:val="00CB748A"/>
    <w:rsid w:val="00CD2FF0"/>
    <w:rsid w:val="00CD5102"/>
    <w:rsid w:val="00CE2B30"/>
    <w:rsid w:val="00CF0303"/>
    <w:rsid w:val="00CF0BB8"/>
    <w:rsid w:val="00CF1045"/>
    <w:rsid w:val="00D00BF2"/>
    <w:rsid w:val="00D13E76"/>
    <w:rsid w:val="00D22DC4"/>
    <w:rsid w:val="00D24EC9"/>
    <w:rsid w:val="00D25D09"/>
    <w:rsid w:val="00D34CD5"/>
    <w:rsid w:val="00D456BE"/>
    <w:rsid w:val="00D532AD"/>
    <w:rsid w:val="00D56D7E"/>
    <w:rsid w:val="00D65305"/>
    <w:rsid w:val="00D7125E"/>
    <w:rsid w:val="00D77336"/>
    <w:rsid w:val="00D85A70"/>
    <w:rsid w:val="00DB55FE"/>
    <w:rsid w:val="00DB570F"/>
    <w:rsid w:val="00DC0E18"/>
    <w:rsid w:val="00DC4E49"/>
    <w:rsid w:val="00DC5D55"/>
    <w:rsid w:val="00DD7782"/>
    <w:rsid w:val="00E0192D"/>
    <w:rsid w:val="00E1062E"/>
    <w:rsid w:val="00E233B0"/>
    <w:rsid w:val="00E24E90"/>
    <w:rsid w:val="00E30438"/>
    <w:rsid w:val="00E400C4"/>
    <w:rsid w:val="00E468BC"/>
    <w:rsid w:val="00E5125C"/>
    <w:rsid w:val="00E56513"/>
    <w:rsid w:val="00E71739"/>
    <w:rsid w:val="00E82505"/>
    <w:rsid w:val="00EA093E"/>
    <w:rsid w:val="00EA2BCE"/>
    <w:rsid w:val="00EA6D11"/>
    <w:rsid w:val="00EB7015"/>
    <w:rsid w:val="00EC7406"/>
    <w:rsid w:val="00ED4C05"/>
    <w:rsid w:val="00ED4F9D"/>
    <w:rsid w:val="00ED5B91"/>
    <w:rsid w:val="00EE4E16"/>
    <w:rsid w:val="00EF2E28"/>
    <w:rsid w:val="00EF7949"/>
    <w:rsid w:val="00F12B75"/>
    <w:rsid w:val="00F14AF3"/>
    <w:rsid w:val="00F33A93"/>
    <w:rsid w:val="00F362B0"/>
    <w:rsid w:val="00F37E3F"/>
    <w:rsid w:val="00F501C9"/>
    <w:rsid w:val="00F524DA"/>
    <w:rsid w:val="00F662E6"/>
    <w:rsid w:val="00F76832"/>
    <w:rsid w:val="00F84BA1"/>
    <w:rsid w:val="00F85513"/>
    <w:rsid w:val="00F96129"/>
    <w:rsid w:val="00FA0EF3"/>
    <w:rsid w:val="00FB48AC"/>
    <w:rsid w:val="00FB4FE7"/>
    <w:rsid w:val="00FC2CEC"/>
    <w:rsid w:val="00FC2EBA"/>
    <w:rsid w:val="00FD4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DEDA"/>
  <w15:chartTrackingRefBased/>
  <w15:docId w15:val="{8E76025E-2FB6-404D-AEC2-AA77FAC4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DC2"/>
    <w:rPr>
      <w:rFonts w:ascii="Times New Roman" w:hAnsi="Times New Roman" w:cs="Verdana"/>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H&amp;P List Paragraph,Syle 1,Normal bullet 2,Bullet list,Saistīto dokumentu saraksts,List Paragraph1,Numurets,Colorful List - Accent 12,PPS_Bullet,Virsraksti,Saraksta rindkopa,Colorful List - Accent 11,Paragrafo elenco,Bullet 1,Dot p"/>
    <w:basedOn w:val="Normal"/>
    <w:link w:val="ListParagraphChar"/>
    <w:uiPriority w:val="34"/>
    <w:qFormat/>
    <w:rsid w:val="009A5C7F"/>
    <w:pPr>
      <w:ind w:left="720"/>
      <w:contextualSpacing/>
    </w:pPr>
  </w:style>
  <w:style w:type="character" w:styleId="CommentReference">
    <w:name w:val="annotation reference"/>
    <w:basedOn w:val="DefaultParagraphFont"/>
    <w:uiPriority w:val="99"/>
    <w:semiHidden/>
    <w:unhideWhenUsed/>
    <w:rsid w:val="009A5C7F"/>
    <w:rPr>
      <w:sz w:val="16"/>
      <w:szCs w:val="16"/>
    </w:rPr>
  </w:style>
  <w:style w:type="paragraph" w:styleId="CommentText">
    <w:name w:val="annotation text"/>
    <w:basedOn w:val="Normal"/>
    <w:link w:val="CommentTextChar"/>
    <w:uiPriority w:val="99"/>
    <w:unhideWhenUsed/>
    <w:rsid w:val="009A5C7F"/>
    <w:pPr>
      <w:spacing w:line="240" w:lineRule="auto"/>
    </w:pPr>
    <w:rPr>
      <w:sz w:val="20"/>
      <w:szCs w:val="20"/>
    </w:rPr>
  </w:style>
  <w:style w:type="character" w:customStyle="1" w:styleId="CommentTextChar">
    <w:name w:val="Comment Text Char"/>
    <w:basedOn w:val="DefaultParagraphFont"/>
    <w:link w:val="CommentText"/>
    <w:uiPriority w:val="99"/>
    <w:rsid w:val="009A5C7F"/>
    <w:rPr>
      <w:rFonts w:ascii="Times New Roman" w:hAnsi="Times New Roman" w:cs="Verdana"/>
      <w:sz w:val="20"/>
      <w:szCs w:val="20"/>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Dot p Char"/>
    <w:link w:val="ListParagraph"/>
    <w:uiPriority w:val="34"/>
    <w:qFormat/>
    <w:locked/>
    <w:rsid w:val="009A5C7F"/>
    <w:rPr>
      <w:rFonts w:ascii="Times New Roman" w:hAnsi="Times New Roman" w:cs="Verdana"/>
      <w:szCs w:val="18"/>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
    <w:rsid w:val="009A5C7F"/>
    <w:pPr>
      <w:tabs>
        <w:tab w:val="center" w:pos="4153"/>
        <w:tab w:val="right" w:pos="8306"/>
      </w:tabs>
      <w:spacing w:after="0" w:line="240" w:lineRule="auto"/>
      <w:jc w:val="both"/>
    </w:pPr>
    <w:rPr>
      <w:rFonts w:eastAsia="Times New Roman" w:cs="Times New Roman"/>
      <w:sz w:val="24"/>
      <w:szCs w:val="24"/>
      <w:lang w:eastAsia="lv-LV"/>
    </w:rPr>
  </w:style>
  <w:style w:type="character" w:customStyle="1" w:styleId="HeaderChar">
    <w:name w:val="Header Char"/>
    <w:aliases w:val="Galvene Rakstz.1 Char,Galvene Rakstz. Rakstz.1 Char,Galvene Rakstz.2 Rakstz. Rakstz. Char,Galvene Rakstz.1 Rakstz. Rakstz. Rakstz. Char,Galvene Rakstz. Rakstz. Rakstz. Rakstz. Rakstz. Char,Galvene Rakstz. Rakstz.1 Rakstz. Rakstz. Char"/>
    <w:basedOn w:val="DefaultParagraphFont"/>
    <w:link w:val="Header"/>
    <w:rsid w:val="009A5C7F"/>
    <w:rPr>
      <w:rFonts w:ascii="Times New Roman" w:eastAsia="Times New Roman" w:hAnsi="Times New Roman" w:cs="Times New Roman"/>
      <w:sz w:val="24"/>
      <w:szCs w:val="24"/>
      <w:lang w:eastAsia="lv-LV"/>
    </w:rPr>
  </w:style>
  <w:style w:type="table" w:styleId="TableGrid">
    <w:name w:val="Table Grid"/>
    <w:basedOn w:val="TableNormal"/>
    <w:uiPriority w:val="39"/>
    <w:rsid w:val="009A5C7F"/>
    <w:pPr>
      <w:spacing w:after="0" w:line="240" w:lineRule="auto"/>
    </w:pPr>
    <w:rPr>
      <w:rFonts w:ascii="Times New Roman" w:hAnsi="Times New Roman" w:cs="Verdana"/>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5C7F"/>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A5C7F"/>
    <w:rPr>
      <w:rFonts w:ascii="Segoe UI" w:hAnsi="Segoe UI" w:cs="Segoe UI"/>
      <w:sz w:val="18"/>
      <w:szCs w:val="18"/>
    </w:rPr>
  </w:style>
  <w:style w:type="table" w:customStyle="1" w:styleId="TableGrid1">
    <w:name w:val="Table Grid1"/>
    <w:basedOn w:val="TableNormal"/>
    <w:next w:val="TableGrid"/>
    <w:uiPriority w:val="59"/>
    <w:rsid w:val="009A4E5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B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6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6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6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3DA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C3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329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977"/>
    <w:rPr>
      <w:rFonts w:ascii="Times New Roman" w:hAnsi="Times New Roman" w:cs="Verdana"/>
      <w:szCs w:val="18"/>
    </w:rPr>
  </w:style>
  <w:style w:type="table" w:customStyle="1" w:styleId="TableGrid17">
    <w:name w:val="Table Grid17"/>
    <w:basedOn w:val="TableNormal"/>
    <w:next w:val="TableGrid"/>
    <w:uiPriority w:val="59"/>
    <w:rsid w:val="00975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5B8C"/>
    <w:rPr>
      <w:b/>
      <w:bCs/>
    </w:rPr>
  </w:style>
  <w:style w:type="character" w:customStyle="1" w:styleId="CommentSubjectChar">
    <w:name w:val="Comment Subject Char"/>
    <w:basedOn w:val="CommentTextChar"/>
    <w:link w:val="CommentSubject"/>
    <w:uiPriority w:val="99"/>
    <w:semiHidden/>
    <w:rsid w:val="00975B8C"/>
    <w:rPr>
      <w:rFonts w:ascii="Times New Roman" w:hAnsi="Times New Roman" w:cs="Verdana"/>
      <w:b/>
      <w:bCs/>
      <w:sz w:val="20"/>
      <w:szCs w:val="20"/>
    </w:rPr>
  </w:style>
  <w:style w:type="paragraph" w:styleId="NoSpacing">
    <w:name w:val="No Spacing"/>
    <w:link w:val="NoSpacingChar"/>
    <w:uiPriority w:val="1"/>
    <w:qFormat/>
    <w:rsid w:val="002B5577"/>
    <w:pPr>
      <w:spacing w:after="0"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2B5577"/>
    <w:pPr>
      <w:widowControl w:val="0"/>
      <w:spacing w:after="0" w:line="240" w:lineRule="auto"/>
      <w:ind w:firstLine="426"/>
      <w:jc w:val="both"/>
    </w:pPr>
    <w:rPr>
      <w:rFonts w:eastAsia="Times New Roman" w:cs="Times New Roman"/>
      <w:sz w:val="24"/>
      <w:szCs w:val="20"/>
    </w:rPr>
  </w:style>
  <w:style w:type="character" w:customStyle="1" w:styleId="BodyTextIndent3Char">
    <w:name w:val="Body Text Indent 3 Char"/>
    <w:basedOn w:val="DefaultParagraphFont"/>
    <w:link w:val="BodyTextIndent3"/>
    <w:rsid w:val="002B5577"/>
    <w:rPr>
      <w:rFonts w:ascii="Times New Roman" w:eastAsia="Times New Roman" w:hAnsi="Times New Roman" w:cs="Times New Roman"/>
      <w:sz w:val="24"/>
      <w:szCs w:val="20"/>
    </w:rPr>
  </w:style>
  <w:style w:type="paragraph" w:styleId="FootnoteText">
    <w:name w:val="footnote text"/>
    <w:aliases w:val="Footnote,Fußnote,Fußnote Char Char,Fußnote Char Char Char Char Char Char,Footnote Text Char Char,Footnote Text Char1 Char Char,Footnote Text Char Char Char Char,Footnote Text Char1 Char Char1 Char Char,f,fn"/>
    <w:basedOn w:val="Normal"/>
    <w:link w:val="FootnoteTextChar"/>
    <w:uiPriority w:val="99"/>
    <w:unhideWhenUsed/>
    <w:qFormat/>
    <w:rsid w:val="00986213"/>
    <w:pPr>
      <w:spacing w:after="0" w:line="240" w:lineRule="auto"/>
    </w:pPr>
    <w:rPr>
      <w:rFonts w:eastAsia="Times New Roman" w:cs="Times New Roman"/>
      <w:sz w:val="20"/>
      <w:szCs w:val="20"/>
      <w:lang w:eastAsia="lv-LV"/>
    </w:rPr>
  </w:style>
  <w:style w:type="character" w:customStyle="1" w:styleId="FootnoteTextChar">
    <w:name w:val="Footnote Text Char"/>
    <w:aliases w:val="Footnote Char,Fußnote Char,Fußnote Char Char Char,Fußnote Char Char Char Char Char Char Char,Footnote Text Char Char Char,Footnote Text Char1 Char Char Char,Footnote Text Char Char Char Char Char,f Char,fn Char"/>
    <w:basedOn w:val="DefaultParagraphFont"/>
    <w:link w:val="FootnoteText"/>
    <w:uiPriority w:val="99"/>
    <w:qFormat/>
    <w:rsid w:val="0098621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86213"/>
    <w:rPr>
      <w:vertAlign w:val="superscript"/>
    </w:rPr>
  </w:style>
  <w:style w:type="paragraph" w:customStyle="1" w:styleId="Default">
    <w:name w:val="Default"/>
    <w:rsid w:val="00317E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NoSpacing"/>
    <w:uiPriority w:val="1"/>
    <w:locked/>
    <w:rsid w:val="00301D54"/>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C71D18"/>
    <w:rPr>
      <w:color w:val="0563C1" w:themeColor="hyperlink"/>
      <w:u w:val="single"/>
    </w:rPr>
  </w:style>
  <w:style w:type="character" w:styleId="UnresolvedMention">
    <w:name w:val="Unresolved Mention"/>
    <w:basedOn w:val="DefaultParagraphFont"/>
    <w:uiPriority w:val="99"/>
    <w:semiHidden/>
    <w:unhideWhenUsed/>
    <w:rsid w:val="00C71D18"/>
    <w:rPr>
      <w:color w:val="605E5C"/>
      <w:shd w:val="clear" w:color="auto" w:fill="E1DFDD"/>
    </w:rPr>
  </w:style>
  <w:style w:type="table" w:customStyle="1" w:styleId="TableGrid3">
    <w:name w:val="Table Grid3"/>
    <w:basedOn w:val="TableNormal"/>
    <w:next w:val="TableGrid"/>
    <w:uiPriority w:val="39"/>
    <w:rsid w:val="00C71D1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E28"/>
    <w:pPr>
      <w:spacing w:after="0" w:line="240" w:lineRule="auto"/>
    </w:pPr>
    <w:rPr>
      <w:rFonts w:ascii="Times New Roman" w:hAnsi="Times New Roman" w:cs="Verdana"/>
      <w:szCs w:val="18"/>
    </w:rPr>
  </w:style>
  <w:style w:type="table" w:customStyle="1" w:styleId="TableGrid4">
    <w:name w:val="Table Grid4"/>
    <w:basedOn w:val="TableNormal"/>
    <w:next w:val="TableGrid"/>
    <w:uiPriority w:val="39"/>
    <w:rsid w:val="00030DB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30DB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64D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564D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6201"/>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2C6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6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i.ptac.gov.lv/registri/turisma-pakalpojumu-sniedzej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8A29-C6A0-4F20-A364-D743CDC5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10678</Words>
  <Characters>6087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Smilgdrīva</dc:creator>
  <cp:keywords/>
  <dc:description/>
  <cp:lastModifiedBy>Aivars Meikšāns</cp:lastModifiedBy>
  <cp:revision>3</cp:revision>
  <cp:lastPrinted>2024-06-12T06:46:00Z</cp:lastPrinted>
  <dcterms:created xsi:type="dcterms:W3CDTF">2025-06-03T06:57:00Z</dcterms:created>
  <dcterms:modified xsi:type="dcterms:W3CDTF">2025-07-08T13:04:00Z</dcterms:modified>
</cp:coreProperties>
</file>