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D26FB" w14:textId="77777777" w:rsidR="00FA4CD0" w:rsidRDefault="00FA4CD0" w:rsidP="00FA4CD0">
      <w:pPr>
        <w:pStyle w:val="ListParagraph"/>
        <w:ind w:left="426"/>
        <w:jc w:val="right"/>
        <w:rPr>
          <w:bCs/>
          <w:sz w:val="20"/>
          <w:szCs w:val="20"/>
        </w:rPr>
      </w:pPr>
      <w:bookmarkStart w:id="0" w:name="OLE_LINK1"/>
      <w:bookmarkStart w:id="1" w:name="_Hlk155709169"/>
      <w:bookmarkStart w:id="2" w:name="_Hlk209636713"/>
      <w:r>
        <w:rPr>
          <w:bCs/>
          <w:sz w:val="20"/>
          <w:szCs w:val="20"/>
        </w:rPr>
        <w:t>Pārtikas drošības, dzīvnieku veselības un vides zinātniskā institūta “BIOR”</w:t>
      </w:r>
    </w:p>
    <w:p w14:paraId="724D3476" w14:textId="77777777" w:rsidR="00FA4CD0" w:rsidRDefault="00FA4CD0" w:rsidP="00FA4CD0">
      <w:pPr>
        <w:pStyle w:val="ListParagraph"/>
        <w:ind w:left="426"/>
        <w:jc w:val="right"/>
        <w:rPr>
          <w:bCs/>
          <w:sz w:val="20"/>
          <w:szCs w:val="20"/>
        </w:rPr>
      </w:pPr>
      <w:r>
        <w:rPr>
          <w:bCs/>
          <w:sz w:val="20"/>
          <w:szCs w:val="20"/>
        </w:rPr>
        <w:t xml:space="preserve">  atklāta konkursa </w:t>
      </w:r>
      <w:bookmarkEnd w:id="0"/>
      <w:r>
        <w:rPr>
          <w:bCs/>
          <w:sz w:val="20"/>
          <w:szCs w:val="20"/>
        </w:rPr>
        <w:t xml:space="preserve">“Laboratorijas iekārtu piegāde’’ </w:t>
      </w:r>
    </w:p>
    <w:p w14:paraId="16E2856F" w14:textId="77777777" w:rsidR="00FA4CD0" w:rsidRDefault="00FA4CD0" w:rsidP="00FA4CD0">
      <w:pPr>
        <w:pStyle w:val="ListParagraph"/>
        <w:ind w:left="426"/>
        <w:jc w:val="right"/>
        <w:rPr>
          <w:bCs/>
          <w:sz w:val="20"/>
          <w:szCs w:val="20"/>
        </w:rPr>
      </w:pPr>
      <w:r>
        <w:rPr>
          <w:bCs/>
          <w:sz w:val="20"/>
          <w:szCs w:val="20"/>
        </w:rPr>
        <w:t>(ID. Nr. BIOR 2025/48/AK) nolikuma</w:t>
      </w:r>
    </w:p>
    <w:bookmarkEnd w:id="1"/>
    <w:p w14:paraId="0B25C2D4" w14:textId="77777777" w:rsidR="00FA4CD0" w:rsidRDefault="00FA4CD0" w:rsidP="00FA4CD0">
      <w:pPr>
        <w:pStyle w:val="ListParagraph"/>
        <w:ind w:left="426"/>
        <w:jc w:val="right"/>
        <w:rPr>
          <w:bCs/>
          <w:sz w:val="20"/>
          <w:szCs w:val="20"/>
        </w:rPr>
      </w:pPr>
      <w:r>
        <w:rPr>
          <w:bCs/>
          <w:sz w:val="20"/>
          <w:szCs w:val="20"/>
        </w:rPr>
        <w:t>2. pielikums</w:t>
      </w:r>
    </w:p>
    <w:p w14:paraId="42AFE7C7" w14:textId="77777777" w:rsidR="00FA4CD0" w:rsidRDefault="00FA4CD0" w:rsidP="00FA4CD0">
      <w:pPr>
        <w:pStyle w:val="ListParagraph"/>
        <w:ind w:left="426"/>
        <w:jc w:val="right"/>
        <w:rPr>
          <w:bCs/>
          <w:sz w:val="20"/>
          <w:szCs w:val="20"/>
        </w:rPr>
      </w:pPr>
    </w:p>
    <w:p w14:paraId="715B8FF0" w14:textId="77777777" w:rsidR="00FA4CD0" w:rsidRDefault="00FA4CD0" w:rsidP="00FA4CD0">
      <w:pPr>
        <w:pStyle w:val="ListParagraph"/>
        <w:spacing w:after="0" w:line="240" w:lineRule="auto"/>
        <w:ind w:left="426"/>
        <w:jc w:val="right"/>
        <w:rPr>
          <w:b/>
          <w:sz w:val="20"/>
          <w:szCs w:val="20"/>
        </w:rPr>
      </w:pPr>
      <w:r>
        <w:rPr>
          <w:b/>
          <w:sz w:val="20"/>
          <w:szCs w:val="20"/>
        </w:rPr>
        <w:t xml:space="preserve">Tehniskās specifikācijas sagatavošanas datums: </w:t>
      </w:r>
      <w:r>
        <w:rPr>
          <w:sz w:val="20"/>
          <w:szCs w:val="20"/>
        </w:rPr>
        <w:t>10.11.2025.</w:t>
      </w:r>
    </w:p>
    <w:p w14:paraId="60ADD170" w14:textId="77777777" w:rsidR="00FA4CD0" w:rsidRDefault="00FA4CD0" w:rsidP="00FA4CD0">
      <w:pPr>
        <w:widowControl/>
        <w:overflowPunct/>
        <w:autoSpaceDE/>
        <w:adjustRightInd/>
        <w:spacing w:before="120" w:after="120"/>
        <w:jc w:val="center"/>
        <w:rPr>
          <w:rFonts w:asciiTheme="minorHAnsi" w:hAnsiTheme="minorHAnsi" w:cstheme="minorHAnsi"/>
          <w:b/>
          <w:bCs/>
          <w:caps/>
          <w:kern w:val="0"/>
          <w:sz w:val="22"/>
          <w:szCs w:val="22"/>
          <w:lang w:val="lv-LV" w:eastAsia="en-US"/>
        </w:rPr>
      </w:pPr>
    </w:p>
    <w:p w14:paraId="5ED5454D" w14:textId="77777777" w:rsidR="002D5382" w:rsidRPr="002D5382" w:rsidRDefault="002D5382" w:rsidP="002D5382">
      <w:pPr>
        <w:jc w:val="center"/>
        <w:rPr>
          <w:rFonts w:asciiTheme="minorHAnsi" w:hAnsiTheme="minorHAnsi" w:cstheme="minorHAnsi"/>
          <w:b/>
          <w:bCs/>
          <w:caps/>
          <w:kern w:val="0"/>
          <w:sz w:val="22"/>
          <w:szCs w:val="22"/>
          <w:lang w:val="pl-PL" w:eastAsia="en-US"/>
        </w:rPr>
      </w:pPr>
      <w:r w:rsidRPr="002D5382">
        <w:rPr>
          <w:rFonts w:asciiTheme="minorHAnsi" w:hAnsiTheme="minorHAnsi" w:cstheme="minorHAnsi"/>
          <w:b/>
          <w:bCs/>
          <w:caps/>
          <w:kern w:val="0"/>
          <w:sz w:val="22"/>
          <w:szCs w:val="22"/>
          <w:lang w:val="pl-PL" w:eastAsia="en-US"/>
        </w:rPr>
        <w:t>tehniskā specifikācija / tehniskais un finanšu piedāvājums</w:t>
      </w:r>
    </w:p>
    <w:p w14:paraId="5691ED08" w14:textId="77777777" w:rsidR="00124298" w:rsidRPr="00124298" w:rsidRDefault="000D6FC0" w:rsidP="00124298">
      <w:pPr>
        <w:spacing w:before="120"/>
        <w:jc w:val="center"/>
        <w:rPr>
          <w:rFonts w:asciiTheme="minorHAnsi" w:hAnsiTheme="minorHAnsi" w:cstheme="minorHAnsi"/>
          <w:b/>
          <w:caps/>
          <w:sz w:val="22"/>
          <w:szCs w:val="22"/>
          <w:lang w:val="lv-LV"/>
        </w:rPr>
      </w:pPr>
      <w:r w:rsidRPr="00124298">
        <w:rPr>
          <w:rFonts w:asciiTheme="minorHAnsi" w:hAnsiTheme="minorHAnsi"/>
          <w:b/>
          <w:bCs/>
          <w:caps/>
          <w:sz w:val="22"/>
          <w:szCs w:val="22"/>
          <w:lang w:val="lv-LV"/>
        </w:rPr>
        <w:t>11. daļa</w:t>
      </w:r>
      <w:r w:rsidR="00124298" w:rsidRPr="00124298">
        <w:rPr>
          <w:rFonts w:asciiTheme="minorHAnsi" w:hAnsiTheme="minorHAnsi"/>
          <w:b/>
          <w:bCs/>
          <w:caps/>
          <w:sz w:val="22"/>
          <w:szCs w:val="22"/>
          <w:lang w:val="lv-LV"/>
        </w:rPr>
        <w:t xml:space="preserve"> “</w:t>
      </w:r>
      <w:bookmarkEnd w:id="2"/>
      <w:r w:rsidR="006725C8" w:rsidRPr="00124298">
        <w:rPr>
          <w:rFonts w:asciiTheme="minorHAnsi" w:hAnsiTheme="minorHAnsi" w:cstheme="minorHAnsi"/>
          <w:b/>
          <w:caps/>
          <w:sz w:val="22"/>
          <w:szCs w:val="22"/>
          <w:lang w:val="lv-LV"/>
        </w:rPr>
        <w:t>Laboratorijas ph METER/MV/TEMPER</w:t>
      </w:r>
      <w:r w:rsidR="00124298" w:rsidRPr="00124298">
        <w:rPr>
          <w:rFonts w:asciiTheme="minorHAnsi" w:hAnsiTheme="minorHAnsi" w:cstheme="minorHAnsi"/>
          <w:b/>
          <w:caps/>
          <w:sz w:val="22"/>
          <w:szCs w:val="22"/>
          <w:lang w:val="lv-LV"/>
        </w:rPr>
        <w:t>”</w:t>
      </w:r>
    </w:p>
    <w:p w14:paraId="75B81CC6" w14:textId="40EF8966" w:rsidR="006725C8" w:rsidRPr="00BF143E" w:rsidRDefault="006725C8" w:rsidP="00124298">
      <w:pPr>
        <w:jc w:val="center"/>
        <w:rPr>
          <w:rFonts w:asciiTheme="minorHAnsi" w:hAnsiTheme="minorHAnsi" w:cstheme="minorHAnsi"/>
          <w:b/>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4"/>
        <w:gridCol w:w="5889"/>
        <w:gridCol w:w="1172"/>
        <w:gridCol w:w="4878"/>
        <w:gridCol w:w="1229"/>
      </w:tblGrid>
      <w:tr w:rsidR="00CB7552" w:rsidRPr="00BF143E" w14:paraId="56AEBE01" w14:textId="0AB00A9B" w:rsidTr="008778EE">
        <w:trPr>
          <w:trHeight w:val="715"/>
          <w:tblHeader/>
        </w:trPr>
        <w:tc>
          <w:tcPr>
            <w:tcW w:w="2501" w:type="pct"/>
            <w:gridSpan w:val="2"/>
            <w:vAlign w:val="center"/>
          </w:tcPr>
          <w:p w14:paraId="2785741F" w14:textId="22EFD87F" w:rsidR="00CB7552" w:rsidRPr="00406B27" w:rsidRDefault="00CB7552" w:rsidP="006725C8">
            <w:pPr>
              <w:jc w:val="center"/>
              <w:rPr>
                <w:rFonts w:asciiTheme="minorHAnsi" w:hAnsiTheme="minorHAnsi" w:cstheme="minorHAnsi"/>
                <w:b/>
                <w:sz w:val="22"/>
                <w:szCs w:val="22"/>
                <w:lang w:val="lv-LV"/>
              </w:rPr>
            </w:pPr>
            <w:bookmarkStart w:id="3" w:name="_Hlk18330433"/>
            <w:r w:rsidRPr="00406B27">
              <w:rPr>
                <w:rFonts w:asciiTheme="minorHAnsi" w:hAnsiTheme="minorHAnsi" w:cstheme="minorHAnsi"/>
                <w:b/>
                <w:sz w:val="22"/>
                <w:szCs w:val="22"/>
                <w:lang w:val="lv-LV"/>
              </w:rPr>
              <w:t>Tehniskā specifikācija</w:t>
            </w:r>
          </w:p>
        </w:tc>
        <w:tc>
          <w:tcPr>
            <w:tcW w:w="402" w:type="pct"/>
            <w:vAlign w:val="center"/>
          </w:tcPr>
          <w:p w14:paraId="45C4A08E" w14:textId="578019D0" w:rsidR="00CB7552" w:rsidRPr="00406B27" w:rsidRDefault="00CB7552" w:rsidP="006725C8">
            <w:pPr>
              <w:jc w:val="center"/>
              <w:rPr>
                <w:rFonts w:asciiTheme="minorHAnsi" w:hAnsiTheme="minorHAnsi" w:cstheme="minorHAnsi"/>
                <w:b/>
                <w:sz w:val="22"/>
                <w:szCs w:val="22"/>
                <w:lang w:val="lv-LV"/>
              </w:rPr>
            </w:pPr>
            <w:r w:rsidRPr="00406B27">
              <w:rPr>
                <w:rFonts w:asciiTheme="minorHAnsi" w:hAnsiTheme="minorHAnsi" w:cstheme="minorHAnsi"/>
                <w:b/>
                <w:sz w:val="22"/>
                <w:szCs w:val="22"/>
                <w:lang w:val="lv-LV"/>
              </w:rPr>
              <w:t>Daudzums</w:t>
            </w:r>
          </w:p>
        </w:tc>
        <w:tc>
          <w:tcPr>
            <w:tcW w:w="1675" w:type="pct"/>
            <w:vAlign w:val="center"/>
          </w:tcPr>
          <w:p w14:paraId="72D4B113" w14:textId="77777777" w:rsidR="00CB7552" w:rsidRPr="00406B27" w:rsidRDefault="00CB7552" w:rsidP="006725C8">
            <w:pPr>
              <w:widowControl/>
              <w:overflowPunct/>
              <w:autoSpaceDE/>
              <w:autoSpaceDN/>
              <w:adjustRightInd/>
              <w:spacing w:line="259" w:lineRule="auto"/>
              <w:jc w:val="center"/>
              <w:rPr>
                <w:rFonts w:asciiTheme="minorHAnsi" w:hAnsiTheme="minorHAnsi" w:cstheme="minorHAnsi"/>
                <w:b/>
                <w:sz w:val="22"/>
                <w:szCs w:val="22"/>
                <w:lang w:val="lv-LV"/>
              </w:rPr>
            </w:pPr>
            <w:r w:rsidRPr="00406B27">
              <w:rPr>
                <w:rFonts w:asciiTheme="minorHAnsi" w:hAnsiTheme="minorHAnsi" w:cstheme="minorHAnsi"/>
                <w:b/>
                <w:sz w:val="22"/>
                <w:szCs w:val="22"/>
                <w:lang w:val="lv-LV"/>
              </w:rPr>
              <w:t>Tehniskais piedāvājums</w:t>
            </w:r>
          </w:p>
          <w:p w14:paraId="23503284" w14:textId="59F133AE" w:rsidR="00CB7552" w:rsidRPr="00BF143E" w:rsidRDefault="00AE6B56" w:rsidP="006725C8">
            <w:pPr>
              <w:jc w:val="center"/>
              <w:rPr>
                <w:rFonts w:asciiTheme="minorHAnsi" w:hAnsiTheme="minorHAnsi" w:cstheme="minorHAnsi"/>
                <w:b/>
                <w:lang w:val="lv-LV"/>
              </w:rPr>
            </w:pPr>
            <w:r w:rsidRPr="0093245D">
              <w:rPr>
                <w:rFonts w:asciiTheme="minorHAnsi" w:hAnsiTheme="minorHAnsi" w:cstheme="minorHAnsi"/>
                <w:bCs/>
                <w:lang w:val="lv-LV"/>
              </w:rPr>
              <w:t xml:space="preserve">Pretendenta piedāvātās iekārtas apraksts, ražotājs, marka, citi parametri atbilstoši tehniskajai specifikācijai. Atsauce uz iekārtas raksturojošās dokumentācijas lpp. vai </w:t>
            </w:r>
            <w:proofErr w:type="spellStart"/>
            <w:r w:rsidRPr="0093245D">
              <w:rPr>
                <w:rFonts w:asciiTheme="minorHAnsi" w:hAnsiTheme="minorHAnsi" w:cstheme="minorHAnsi"/>
                <w:bCs/>
                <w:lang w:val="lv-LV"/>
              </w:rPr>
              <w:t>linku</w:t>
            </w:r>
            <w:proofErr w:type="spellEnd"/>
            <w:r>
              <w:rPr>
                <w:rFonts w:asciiTheme="minorHAnsi" w:hAnsiTheme="minorHAnsi" w:cstheme="minorHAnsi"/>
                <w:bCs/>
                <w:lang w:val="lv-LV"/>
              </w:rPr>
              <w:t>/saiti</w:t>
            </w:r>
            <w:r w:rsidRPr="0093245D">
              <w:rPr>
                <w:rFonts w:asciiTheme="minorHAnsi" w:hAnsiTheme="minorHAnsi" w:cstheme="minorHAnsi"/>
                <w:bCs/>
                <w:lang w:val="lv-LV"/>
              </w:rPr>
              <w:t xml:space="preserve">, </w:t>
            </w:r>
            <w:r w:rsidRPr="0093245D">
              <w:rPr>
                <w:rFonts w:asciiTheme="minorHAnsi" w:eastAsiaTheme="minorHAnsi" w:hAnsiTheme="minorHAnsi" w:cstheme="minorHAnsi"/>
                <w:bCs/>
                <w:lang w:val="lv-LV" w:eastAsia="en-US"/>
              </w:rPr>
              <w:t>kur atrodama informācija par iekārtas atbilstību katrai prasībai</w:t>
            </w:r>
            <w:r>
              <w:rPr>
                <w:rFonts w:asciiTheme="minorHAnsi" w:eastAsiaTheme="minorHAnsi" w:hAnsiTheme="minorHAnsi" w:cstheme="minorHAnsi"/>
                <w:bCs/>
                <w:lang w:val="lv-LV" w:eastAsia="en-US"/>
              </w:rPr>
              <w:t xml:space="preserve">. </w:t>
            </w:r>
            <w:r w:rsidRPr="00930077">
              <w:rPr>
                <w:rFonts w:asciiTheme="minorHAnsi" w:eastAsiaTheme="minorHAnsi" w:hAnsiTheme="minorHAnsi" w:cstheme="minorHAnsi"/>
                <w:bCs/>
                <w:lang w:val="lv-LV" w:eastAsia="en-US"/>
              </w:rPr>
              <w:t xml:space="preserve">Iekārtas elektroenerģijas patēriņš </w:t>
            </w:r>
            <w:proofErr w:type="spellStart"/>
            <w:r w:rsidRPr="00930077">
              <w:rPr>
                <w:rFonts w:asciiTheme="minorHAnsi" w:eastAsiaTheme="minorHAnsi" w:hAnsiTheme="minorHAnsi" w:cstheme="minorHAnsi"/>
                <w:bCs/>
                <w:lang w:val="lv-LV" w:eastAsia="en-US"/>
              </w:rPr>
              <w:t>kW</w:t>
            </w:r>
            <w:proofErr w:type="spellEnd"/>
            <w:r w:rsidRPr="00930077">
              <w:rPr>
                <w:rFonts w:asciiTheme="minorHAnsi" w:eastAsiaTheme="minorHAnsi" w:hAnsiTheme="minorHAnsi" w:cstheme="minorHAnsi"/>
                <w:bCs/>
                <w:lang w:val="lv-LV" w:eastAsia="en-US"/>
              </w:rPr>
              <w:t xml:space="preserve"> stundā</w:t>
            </w:r>
            <w:r>
              <w:rPr>
                <w:rFonts w:asciiTheme="minorHAnsi" w:eastAsiaTheme="minorHAnsi" w:hAnsiTheme="minorHAnsi" w:cstheme="minorHAnsi"/>
                <w:bCs/>
                <w:lang w:val="lv-LV" w:eastAsia="en-US"/>
              </w:rPr>
              <w:t>.</w:t>
            </w:r>
          </w:p>
        </w:tc>
        <w:tc>
          <w:tcPr>
            <w:tcW w:w="422" w:type="pct"/>
            <w:vAlign w:val="center"/>
          </w:tcPr>
          <w:p w14:paraId="07309CF1" w14:textId="0C9BF1FC" w:rsidR="00CB7552" w:rsidRPr="00406B27" w:rsidRDefault="00CB7552" w:rsidP="006725C8">
            <w:pPr>
              <w:widowControl/>
              <w:overflowPunct/>
              <w:autoSpaceDE/>
              <w:autoSpaceDN/>
              <w:adjustRightInd/>
              <w:spacing w:line="259" w:lineRule="auto"/>
              <w:jc w:val="center"/>
              <w:rPr>
                <w:rFonts w:asciiTheme="minorHAnsi" w:hAnsiTheme="minorHAnsi" w:cstheme="minorHAnsi"/>
                <w:b/>
                <w:sz w:val="22"/>
                <w:szCs w:val="22"/>
                <w:lang w:val="lv-LV"/>
              </w:rPr>
            </w:pPr>
            <w:r w:rsidRPr="00406B27">
              <w:rPr>
                <w:rFonts w:asciiTheme="minorHAnsi" w:hAnsiTheme="minorHAnsi" w:cstheme="minorHAnsi"/>
                <w:b/>
                <w:sz w:val="22"/>
                <w:szCs w:val="22"/>
                <w:lang w:val="lv-LV"/>
              </w:rPr>
              <w:t xml:space="preserve">Cena* EUR </w:t>
            </w:r>
          </w:p>
          <w:p w14:paraId="017C3F76" w14:textId="29F7C6C1" w:rsidR="00CB7552" w:rsidRPr="00BF143E" w:rsidRDefault="00CB7552" w:rsidP="006725C8">
            <w:pPr>
              <w:jc w:val="center"/>
              <w:rPr>
                <w:rFonts w:asciiTheme="minorHAnsi" w:hAnsiTheme="minorHAnsi" w:cstheme="minorHAnsi"/>
                <w:b/>
                <w:lang w:val="lv-LV"/>
              </w:rPr>
            </w:pPr>
            <w:r w:rsidRPr="00406B27">
              <w:rPr>
                <w:rFonts w:asciiTheme="minorHAnsi" w:hAnsiTheme="minorHAnsi" w:cstheme="minorHAnsi"/>
                <w:b/>
                <w:sz w:val="22"/>
                <w:szCs w:val="22"/>
                <w:lang w:val="lv-LV"/>
              </w:rPr>
              <w:t>bez PVN</w:t>
            </w:r>
          </w:p>
        </w:tc>
      </w:tr>
      <w:bookmarkEnd w:id="3"/>
      <w:tr w:rsidR="00AE6B56" w:rsidRPr="00BF143E" w14:paraId="005BFE62" w14:textId="1FD74E7C" w:rsidTr="00384B59">
        <w:tblPrEx>
          <w:tblLook w:val="01E0" w:firstRow="1" w:lastRow="1" w:firstColumn="1" w:lastColumn="1" w:noHBand="0" w:noVBand="0"/>
        </w:tblPrEx>
        <w:tc>
          <w:tcPr>
            <w:tcW w:w="479" w:type="pct"/>
            <w:vMerge w:val="restart"/>
          </w:tcPr>
          <w:p w14:paraId="00519D28" w14:textId="77777777" w:rsidR="00AE6B56" w:rsidRPr="00BF143E" w:rsidRDefault="00AE6B56" w:rsidP="006725C8">
            <w:pPr>
              <w:rPr>
                <w:rFonts w:asciiTheme="minorHAnsi" w:hAnsiTheme="minorHAnsi" w:cstheme="minorHAnsi"/>
                <w:lang w:val="lv-LV"/>
              </w:rPr>
            </w:pPr>
            <w:r w:rsidRPr="00BF143E">
              <w:rPr>
                <w:rFonts w:asciiTheme="minorHAnsi" w:hAnsiTheme="minorHAnsi" w:cstheme="minorHAnsi"/>
                <w:lang w:val="lv-LV"/>
              </w:rPr>
              <w:t>Komplektācija un tehniskās prasības</w:t>
            </w:r>
          </w:p>
        </w:tc>
        <w:tc>
          <w:tcPr>
            <w:tcW w:w="2022" w:type="pct"/>
          </w:tcPr>
          <w:p w14:paraId="37C009F8" w14:textId="77777777" w:rsidR="00D15F18" w:rsidRPr="00D15F18" w:rsidRDefault="00D15F18" w:rsidP="00D15F18">
            <w:pPr>
              <w:ind w:left="61" w:hanging="10"/>
              <w:jc w:val="both"/>
              <w:rPr>
                <w:rFonts w:asciiTheme="minorHAnsi" w:hAnsiTheme="minorHAnsi" w:cstheme="minorHAnsi"/>
                <w:b/>
                <w:color w:val="000000" w:themeColor="text1"/>
                <w:lang w:val="lv-LV"/>
              </w:rPr>
            </w:pPr>
            <w:r w:rsidRPr="00D15F18">
              <w:rPr>
                <w:rFonts w:asciiTheme="minorHAnsi" w:hAnsiTheme="minorHAnsi" w:cstheme="minorHAnsi"/>
                <w:b/>
                <w:color w:val="000000" w:themeColor="text1"/>
                <w:lang w:val="lv-LV"/>
              </w:rPr>
              <w:t xml:space="preserve">Laboratorijas </w:t>
            </w:r>
            <w:proofErr w:type="spellStart"/>
            <w:r w:rsidRPr="00D15F18">
              <w:rPr>
                <w:rFonts w:asciiTheme="minorHAnsi" w:hAnsiTheme="minorHAnsi" w:cstheme="minorHAnsi"/>
                <w:b/>
                <w:color w:val="000000" w:themeColor="text1"/>
                <w:lang w:val="lv-LV"/>
              </w:rPr>
              <w:t>ph</w:t>
            </w:r>
            <w:proofErr w:type="spellEnd"/>
            <w:r w:rsidRPr="00D15F18">
              <w:rPr>
                <w:rFonts w:asciiTheme="minorHAnsi" w:hAnsiTheme="minorHAnsi" w:cstheme="minorHAnsi"/>
                <w:b/>
                <w:color w:val="000000" w:themeColor="text1"/>
                <w:lang w:val="lv-LV"/>
              </w:rPr>
              <w:t xml:space="preserve"> METER/MV/TEMPER, paredzēts barotnes </w:t>
            </w:r>
            <w:proofErr w:type="spellStart"/>
            <w:r w:rsidRPr="00D15F18">
              <w:rPr>
                <w:rFonts w:asciiTheme="minorHAnsi" w:hAnsiTheme="minorHAnsi" w:cstheme="minorHAnsi"/>
                <w:b/>
                <w:color w:val="000000" w:themeColor="text1"/>
                <w:lang w:val="lv-LV"/>
              </w:rPr>
              <w:t>pH</w:t>
            </w:r>
            <w:proofErr w:type="spellEnd"/>
            <w:r w:rsidRPr="00D15F18">
              <w:rPr>
                <w:rFonts w:asciiTheme="minorHAnsi" w:hAnsiTheme="minorHAnsi" w:cstheme="minorHAnsi"/>
                <w:b/>
                <w:color w:val="000000" w:themeColor="text1"/>
                <w:lang w:val="lv-LV"/>
              </w:rPr>
              <w:t xml:space="preserve"> noteikšanai</w:t>
            </w:r>
          </w:p>
          <w:p w14:paraId="5606C2A6" w14:textId="03C75127" w:rsidR="00AE6B56" w:rsidRPr="00BF143E" w:rsidRDefault="00AE6B56" w:rsidP="00C450C6">
            <w:pPr>
              <w:ind w:left="476" w:hanging="425"/>
              <w:jc w:val="both"/>
              <w:rPr>
                <w:rFonts w:asciiTheme="minorHAnsi" w:hAnsiTheme="minorHAnsi" w:cstheme="minorHAnsi"/>
                <w:color w:val="000000" w:themeColor="text1"/>
                <w:lang w:val="lv-LV"/>
              </w:rPr>
            </w:pPr>
            <w:r w:rsidRPr="00BF143E">
              <w:rPr>
                <w:rFonts w:asciiTheme="minorHAnsi" w:hAnsiTheme="minorHAnsi" w:cstheme="minorHAnsi"/>
                <w:color w:val="000000" w:themeColor="text1"/>
                <w:lang w:val="lv-LV"/>
              </w:rPr>
              <w:t>Iekārtai:</w:t>
            </w:r>
          </w:p>
          <w:p w14:paraId="4590DF0D" w14:textId="78D82629" w:rsidR="009B70EF" w:rsidRPr="003B69F5" w:rsidRDefault="009B70EF" w:rsidP="000253DB">
            <w:pPr>
              <w:pStyle w:val="ListParagraph"/>
              <w:numPr>
                <w:ilvl w:val="0"/>
                <w:numId w:val="19"/>
              </w:numPr>
              <w:shd w:val="clear" w:color="auto" w:fill="FFFFFF" w:themeFill="background1"/>
              <w:tabs>
                <w:tab w:val="left" w:pos="504"/>
              </w:tabs>
              <w:jc w:val="both"/>
              <w:rPr>
                <w:rFonts w:cstheme="minorHAnsi"/>
                <w:sz w:val="20"/>
                <w:szCs w:val="20"/>
              </w:rPr>
            </w:pPr>
            <w:r w:rsidRPr="003B69F5">
              <w:rPr>
                <w:rFonts w:cstheme="minorHAnsi"/>
                <w:sz w:val="20"/>
                <w:szCs w:val="20"/>
              </w:rPr>
              <w:t>Diapazons</w:t>
            </w:r>
            <w:r w:rsidR="00BC429E">
              <w:rPr>
                <w:rFonts w:cstheme="minorHAnsi"/>
                <w:sz w:val="20"/>
                <w:szCs w:val="20"/>
              </w:rPr>
              <w:t xml:space="preserve"> – </w:t>
            </w:r>
            <w:proofErr w:type="spellStart"/>
            <w:r w:rsidRPr="003B69F5">
              <w:rPr>
                <w:rFonts w:cstheme="minorHAnsi"/>
                <w:sz w:val="20"/>
                <w:szCs w:val="20"/>
              </w:rPr>
              <w:t>pH</w:t>
            </w:r>
            <w:proofErr w:type="spellEnd"/>
            <w:r w:rsidRPr="003B69F5">
              <w:rPr>
                <w:rFonts w:cstheme="minorHAnsi"/>
                <w:sz w:val="20"/>
                <w:szCs w:val="20"/>
              </w:rPr>
              <w:t xml:space="preserve">  </w:t>
            </w:r>
            <w:r w:rsidR="00BC429E">
              <w:rPr>
                <w:rFonts w:cstheme="minorHAnsi"/>
                <w:sz w:val="20"/>
                <w:szCs w:val="20"/>
              </w:rPr>
              <w:t xml:space="preserve">no </w:t>
            </w:r>
            <w:r w:rsidRPr="003B69F5">
              <w:rPr>
                <w:rFonts w:cstheme="minorHAnsi"/>
                <w:sz w:val="20"/>
                <w:szCs w:val="20"/>
              </w:rPr>
              <w:t>-2.00</w:t>
            </w:r>
            <w:r w:rsidR="00BC429E">
              <w:rPr>
                <w:rFonts w:cstheme="minorHAnsi"/>
                <w:sz w:val="20"/>
                <w:szCs w:val="20"/>
              </w:rPr>
              <w:t xml:space="preserve"> līdz </w:t>
            </w:r>
            <w:r w:rsidRPr="003B69F5">
              <w:rPr>
                <w:rFonts w:cstheme="minorHAnsi"/>
                <w:sz w:val="20"/>
                <w:szCs w:val="20"/>
              </w:rPr>
              <w:t>20.00</w:t>
            </w:r>
          </w:p>
          <w:p w14:paraId="61C9C49F" w14:textId="6902082E" w:rsidR="009B70EF" w:rsidRPr="003B69F5" w:rsidRDefault="009B70EF" w:rsidP="000253DB">
            <w:pPr>
              <w:pStyle w:val="ListParagraph"/>
              <w:numPr>
                <w:ilvl w:val="0"/>
                <w:numId w:val="19"/>
              </w:numPr>
              <w:tabs>
                <w:tab w:val="left" w:pos="504"/>
              </w:tabs>
              <w:jc w:val="both"/>
              <w:rPr>
                <w:rFonts w:cstheme="minorHAnsi"/>
                <w:sz w:val="20"/>
                <w:szCs w:val="20"/>
              </w:rPr>
            </w:pPr>
            <w:r w:rsidRPr="003B69F5">
              <w:rPr>
                <w:rFonts w:cstheme="minorHAnsi"/>
                <w:sz w:val="20"/>
                <w:szCs w:val="20"/>
              </w:rPr>
              <w:t>Diapazons</w:t>
            </w:r>
            <w:r w:rsidR="00BC429E">
              <w:rPr>
                <w:rFonts w:cstheme="minorHAnsi"/>
                <w:sz w:val="20"/>
                <w:szCs w:val="20"/>
              </w:rPr>
              <w:t xml:space="preserve"> – </w:t>
            </w:r>
            <w:proofErr w:type="spellStart"/>
            <w:r w:rsidRPr="003B69F5">
              <w:rPr>
                <w:rFonts w:cstheme="minorHAnsi"/>
                <w:sz w:val="20"/>
                <w:szCs w:val="20"/>
              </w:rPr>
              <w:t>mV</w:t>
            </w:r>
            <w:proofErr w:type="spellEnd"/>
            <w:r w:rsidRPr="003B69F5">
              <w:rPr>
                <w:rFonts w:cstheme="minorHAnsi"/>
                <w:sz w:val="20"/>
                <w:szCs w:val="20"/>
              </w:rPr>
              <w:t xml:space="preserve"> </w:t>
            </w:r>
            <w:r w:rsidR="00BC429E">
              <w:rPr>
                <w:rFonts w:cstheme="minorHAnsi"/>
                <w:sz w:val="20"/>
                <w:szCs w:val="20"/>
              </w:rPr>
              <w:t xml:space="preserve">no </w:t>
            </w:r>
            <w:r w:rsidRPr="003B69F5">
              <w:rPr>
                <w:rFonts w:cstheme="minorHAnsi"/>
                <w:sz w:val="20"/>
                <w:szCs w:val="20"/>
              </w:rPr>
              <w:t>-1,999</w:t>
            </w:r>
            <w:r>
              <w:rPr>
                <w:rFonts w:cstheme="minorHAnsi"/>
                <w:sz w:val="20"/>
                <w:szCs w:val="20"/>
              </w:rPr>
              <w:t xml:space="preserve"> līdz</w:t>
            </w:r>
            <w:r w:rsidRPr="003B69F5">
              <w:rPr>
                <w:rFonts w:cstheme="minorHAnsi"/>
                <w:sz w:val="20"/>
                <w:szCs w:val="20"/>
              </w:rPr>
              <w:t xml:space="preserve"> + 1,999</w:t>
            </w:r>
          </w:p>
          <w:p w14:paraId="1488EBDE" w14:textId="2337E98A" w:rsidR="009B70EF" w:rsidRPr="00BF143E" w:rsidRDefault="009B70EF" w:rsidP="000253DB">
            <w:pPr>
              <w:pStyle w:val="ListParagraph"/>
              <w:numPr>
                <w:ilvl w:val="0"/>
                <w:numId w:val="19"/>
              </w:numPr>
              <w:tabs>
                <w:tab w:val="left" w:pos="504"/>
              </w:tabs>
              <w:jc w:val="both"/>
              <w:rPr>
                <w:rFonts w:cstheme="minorHAnsi"/>
                <w:sz w:val="20"/>
                <w:szCs w:val="20"/>
              </w:rPr>
            </w:pPr>
            <w:r>
              <w:rPr>
                <w:rFonts w:cstheme="minorHAnsi"/>
                <w:sz w:val="20"/>
                <w:szCs w:val="20"/>
              </w:rPr>
              <w:t>D</w:t>
            </w:r>
            <w:r w:rsidRPr="00BF143E">
              <w:rPr>
                <w:rFonts w:cstheme="minorHAnsi"/>
                <w:sz w:val="20"/>
                <w:szCs w:val="20"/>
              </w:rPr>
              <w:t>iapazons</w:t>
            </w:r>
            <w:r w:rsidR="00BC429E">
              <w:rPr>
                <w:rFonts w:cstheme="minorHAnsi"/>
                <w:sz w:val="20"/>
                <w:szCs w:val="20"/>
              </w:rPr>
              <w:t xml:space="preserve"> – </w:t>
            </w:r>
            <w:r w:rsidRPr="003B69F5">
              <w:rPr>
                <w:rFonts w:cstheme="minorHAnsi"/>
                <w:sz w:val="20"/>
                <w:szCs w:val="20"/>
              </w:rPr>
              <w:t xml:space="preserve">temperatūra </w:t>
            </w:r>
            <w:r w:rsidR="00BC429E">
              <w:rPr>
                <w:rFonts w:cstheme="minorHAnsi"/>
                <w:sz w:val="20"/>
                <w:szCs w:val="20"/>
              </w:rPr>
              <w:t xml:space="preserve">no </w:t>
            </w:r>
            <w:r w:rsidRPr="003B69F5">
              <w:rPr>
                <w:rFonts w:cstheme="minorHAnsi"/>
                <w:sz w:val="20"/>
                <w:szCs w:val="20"/>
              </w:rPr>
              <w:t>0</w:t>
            </w:r>
            <w:r w:rsidR="00BC429E" w:rsidRPr="003B69F5">
              <w:rPr>
                <w:rFonts w:cstheme="minorHAnsi"/>
                <w:sz w:val="20"/>
                <w:szCs w:val="20"/>
              </w:rPr>
              <w:t>°C</w:t>
            </w:r>
            <w:r w:rsidR="00BC429E">
              <w:rPr>
                <w:rFonts w:cstheme="minorHAnsi"/>
                <w:sz w:val="20"/>
                <w:szCs w:val="20"/>
              </w:rPr>
              <w:t xml:space="preserve"> līdz</w:t>
            </w:r>
            <w:r w:rsidRPr="003B69F5">
              <w:rPr>
                <w:rFonts w:cstheme="minorHAnsi"/>
                <w:sz w:val="20"/>
                <w:szCs w:val="20"/>
              </w:rPr>
              <w:t xml:space="preserve"> + 100°C</w:t>
            </w:r>
          </w:p>
          <w:p w14:paraId="63CD70E6" w14:textId="77777777" w:rsidR="009B70EF" w:rsidRPr="000253DB" w:rsidRDefault="009B70EF" w:rsidP="000253DB">
            <w:pPr>
              <w:pStyle w:val="ListParagraph"/>
              <w:numPr>
                <w:ilvl w:val="0"/>
                <w:numId w:val="19"/>
              </w:numPr>
              <w:tabs>
                <w:tab w:val="left" w:pos="504"/>
              </w:tabs>
              <w:jc w:val="both"/>
              <w:rPr>
                <w:rFonts w:cstheme="minorHAnsi"/>
                <w:sz w:val="20"/>
                <w:szCs w:val="20"/>
              </w:rPr>
            </w:pPr>
            <w:r w:rsidRPr="000253DB">
              <w:rPr>
                <w:rFonts w:cstheme="minorHAnsi"/>
                <w:sz w:val="20"/>
                <w:szCs w:val="20"/>
              </w:rPr>
              <w:t xml:space="preserve">Izšķirtspēja: 0.01/0.1 </w:t>
            </w:r>
            <w:proofErr w:type="spellStart"/>
            <w:r w:rsidRPr="000253DB">
              <w:rPr>
                <w:rFonts w:cstheme="minorHAnsi"/>
                <w:sz w:val="20"/>
                <w:szCs w:val="20"/>
              </w:rPr>
              <w:t>pH</w:t>
            </w:r>
            <w:proofErr w:type="spellEnd"/>
          </w:p>
          <w:p w14:paraId="06EF5E0B" w14:textId="22806956" w:rsidR="000253DB" w:rsidRPr="000253DB" w:rsidRDefault="000253DB" w:rsidP="000253DB">
            <w:pPr>
              <w:pStyle w:val="ListParagraph"/>
              <w:numPr>
                <w:ilvl w:val="0"/>
                <w:numId w:val="19"/>
              </w:numPr>
              <w:spacing w:after="0" w:line="240" w:lineRule="auto"/>
              <w:contextualSpacing w:val="0"/>
              <w:rPr>
                <w:rFonts w:eastAsia="Times New Roman"/>
                <w:sz w:val="20"/>
                <w:szCs w:val="20"/>
              </w:rPr>
            </w:pPr>
            <w:proofErr w:type="spellStart"/>
            <w:r w:rsidRPr="000253DB">
              <w:rPr>
                <w:rFonts w:eastAsia="Times New Roman"/>
                <w:sz w:val="20"/>
                <w:szCs w:val="20"/>
              </w:rPr>
              <w:t>pH</w:t>
            </w:r>
            <w:proofErr w:type="spellEnd"/>
            <w:r w:rsidRPr="000253DB">
              <w:rPr>
                <w:rFonts w:eastAsia="Times New Roman"/>
                <w:sz w:val="20"/>
                <w:szCs w:val="20"/>
              </w:rPr>
              <w:t xml:space="preserve"> mērījuma precizitāte</w:t>
            </w:r>
            <w:r>
              <w:rPr>
                <w:rFonts w:eastAsia="Times New Roman"/>
                <w:sz w:val="20"/>
                <w:szCs w:val="20"/>
              </w:rPr>
              <w:t xml:space="preserve"> </w:t>
            </w:r>
            <w:r w:rsidRPr="000253DB">
              <w:rPr>
                <w:rFonts w:eastAsia="Times New Roman"/>
                <w:sz w:val="20"/>
                <w:szCs w:val="20"/>
              </w:rPr>
              <w:t>(</w:t>
            </w:r>
            <w:proofErr w:type="spellStart"/>
            <w:r w:rsidRPr="000253DB">
              <w:rPr>
                <w:rFonts w:eastAsia="Times New Roman"/>
                <w:sz w:val="20"/>
                <w:szCs w:val="20"/>
              </w:rPr>
              <w:t>accuracy</w:t>
            </w:r>
            <w:proofErr w:type="spellEnd"/>
            <w:r w:rsidRPr="000253DB">
              <w:rPr>
                <w:rFonts w:eastAsia="Times New Roman"/>
                <w:sz w:val="20"/>
                <w:szCs w:val="20"/>
              </w:rPr>
              <w:t>) ne sliktāka kā ±0,01</w:t>
            </w:r>
            <w:r>
              <w:rPr>
                <w:rFonts w:eastAsia="Times New Roman"/>
                <w:sz w:val="20"/>
                <w:szCs w:val="20"/>
              </w:rPr>
              <w:t> </w:t>
            </w:r>
            <w:proofErr w:type="spellStart"/>
            <w:r w:rsidRPr="000253DB">
              <w:rPr>
                <w:rFonts w:eastAsia="Times New Roman"/>
                <w:sz w:val="20"/>
                <w:szCs w:val="20"/>
              </w:rPr>
              <w:t>pH</w:t>
            </w:r>
            <w:proofErr w:type="spellEnd"/>
            <w:r>
              <w:rPr>
                <w:rFonts w:eastAsia="Times New Roman"/>
                <w:sz w:val="20"/>
                <w:szCs w:val="20"/>
              </w:rPr>
              <w:t> </w:t>
            </w:r>
            <w:r w:rsidRPr="000253DB">
              <w:rPr>
                <w:rFonts w:eastAsia="Times New Roman"/>
                <w:sz w:val="20"/>
                <w:szCs w:val="20"/>
              </w:rPr>
              <w:t xml:space="preserve">±1 </w:t>
            </w:r>
          </w:p>
          <w:p w14:paraId="1ADEDF64" w14:textId="64D613ED" w:rsidR="009B70EF" w:rsidRPr="003B69F5" w:rsidRDefault="009B70EF" w:rsidP="000253DB">
            <w:pPr>
              <w:pStyle w:val="ListParagraph"/>
              <w:numPr>
                <w:ilvl w:val="0"/>
                <w:numId w:val="19"/>
              </w:numPr>
              <w:tabs>
                <w:tab w:val="left" w:pos="504"/>
              </w:tabs>
              <w:jc w:val="both"/>
              <w:rPr>
                <w:rFonts w:cstheme="minorHAnsi"/>
                <w:sz w:val="20"/>
                <w:szCs w:val="20"/>
              </w:rPr>
            </w:pPr>
            <w:r w:rsidRPr="003B69F5">
              <w:rPr>
                <w:rFonts w:cstheme="minorHAnsi"/>
                <w:sz w:val="20"/>
                <w:szCs w:val="20"/>
              </w:rPr>
              <w:t xml:space="preserve">Kalibrēšana pēc 3 punktiem, izmantojot </w:t>
            </w:r>
            <w:proofErr w:type="spellStart"/>
            <w:r w:rsidRPr="003B69F5">
              <w:rPr>
                <w:rFonts w:cstheme="minorHAnsi"/>
                <w:sz w:val="20"/>
                <w:szCs w:val="20"/>
              </w:rPr>
              <w:t>buferšķīdumu</w:t>
            </w:r>
            <w:proofErr w:type="spellEnd"/>
            <w:r w:rsidRPr="003B69F5">
              <w:rPr>
                <w:rFonts w:cstheme="minorHAnsi"/>
                <w:sz w:val="20"/>
                <w:szCs w:val="20"/>
              </w:rPr>
              <w:t xml:space="preserve"> (4,01; 7,01; 10,01)</w:t>
            </w:r>
          </w:p>
          <w:p w14:paraId="732CB4F9" w14:textId="77777777" w:rsidR="009B70EF" w:rsidRPr="00BF143E" w:rsidRDefault="009B70EF" w:rsidP="000253DB">
            <w:pPr>
              <w:pStyle w:val="ListParagraph"/>
              <w:numPr>
                <w:ilvl w:val="0"/>
                <w:numId w:val="19"/>
              </w:numPr>
              <w:tabs>
                <w:tab w:val="left" w:pos="504"/>
              </w:tabs>
              <w:jc w:val="both"/>
              <w:rPr>
                <w:rFonts w:cstheme="minorHAnsi"/>
                <w:sz w:val="20"/>
                <w:szCs w:val="20"/>
              </w:rPr>
            </w:pPr>
            <w:r w:rsidRPr="00BF143E">
              <w:rPr>
                <w:rFonts w:cstheme="minorHAnsi"/>
                <w:sz w:val="20"/>
                <w:szCs w:val="20"/>
              </w:rPr>
              <w:t xml:space="preserve">Ekrāns </w:t>
            </w:r>
            <w:r>
              <w:rPr>
                <w:rFonts w:cstheme="minorHAnsi"/>
                <w:sz w:val="20"/>
                <w:szCs w:val="20"/>
              </w:rPr>
              <w:t>–</w:t>
            </w:r>
            <w:r w:rsidRPr="00BF143E">
              <w:rPr>
                <w:rFonts w:cstheme="minorHAnsi"/>
                <w:sz w:val="20"/>
                <w:szCs w:val="20"/>
              </w:rPr>
              <w:t xml:space="preserve"> LCD</w:t>
            </w:r>
          </w:p>
          <w:p w14:paraId="1527B6C3" w14:textId="77777777" w:rsidR="009B70EF" w:rsidRPr="00BF143E" w:rsidRDefault="009B70EF" w:rsidP="000253DB">
            <w:pPr>
              <w:pStyle w:val="ListParagraph"/>
              <w:numPr>
                <w:ilvl w:val="0"/>
                <w:numId w:val="19"/>
              </w:numPr>
              <w:tabs>
                <w:tab w:val="left" w:pos="504"/>
              </w:tabs>
              <w:jc w:val="both"/>
              <w:rPr>
                <w:rFonts w:cstheme="minorHAnsi"/>
                <w:sz w:val="20"/>
                <w:szCs w:val="20"/>
              </w:rPr>
            </w:pPr>
            <w:r w:rsidRPr="00BF143E">
              <w:rPr>
                <w:rFonts w:cstheme="minorHAnsi"/>
                <w:sz w:val="20"/>
                <w:szCs w:val="20"/>
              </w:rPr>
              <w:t>Datu uzglabāšana līdz 450 mērījumiem</w:t>
            </w:r>
          </w:p>
          <w:p w14:paraId="2F9B0586" w14:textId="616DB9F6" w:rsidR="009B70EF" w:rsidRPr="00BF143E" w:rsidRDefault="00E05E91" w:rsidP="000253DB">
            <w:pPr>
              <w:pStyle w:val="ListParagraph"/>
              <w:numPr>
                <w:ilvl w:val="0"/>
                <w:numId w:val="19"/>
              </w:numPr>
              <w:tabs>
                <w:tab w:val="left" w:pos="504"/>
              </w:tabs>
              <w:jc w:val="both"/>
              <w:rPr>
                <w:rFonts w:cstheme="minorHAnsi"/>
                <w:sz w:val="20"/>
                <w:szCs w:val="20"/>
              </w:rPr>
            </w:pPr>
            <w:r>
              <w:rPr>
                <w:rFonts w:cstheme="minorHAnsi"/>
                <w:sz w:val="20"/>
                <w:szCs w:val="20"/>
              </w:rPr>
              <w:t>Darb</w:t>
            </w:r>
            <w:r w:rsidR="009B70EF" w:rsidRPr="00BF143E">
              <w:rPr>
                <w:rFonts w:cstheme="minorHAnsi"/>
                <w:sz w:val="20"/>
                <w:szCs w:val="20"/>
              </w:rPr>
              <w:t>ības pārtraukuma režīmā ietaupa enerģiju</w:t>
            </w:r>
          </w:p>
          <w:p w14:paraId="692F9F5F" w14:textId="77777777" w:rsidR="009B70EF" w:rsidRPr="003B69F5" w:rsidRDefault="009B70EF" w:rsidP="000253DB">
            <w:pPr>
              <w:pStyle w:val="ListParagraph"/>
              <w:numPr>
                <w:ilvl w:val="0"/>
                <w:numId w:val="19"/>
              </w:numPr>
              <w:tabs>
                <w:tab w:val="left" w:pos="504"/>
              </w:tabs>
              <w:jc w:val="both"/>
              <w:rPr>
                <w:rFonts w:cstheme="minorHAnsi"/>
                <w:sz w:val="20"/>
                <w:szCs w:val="20"/>
              </w:rPr>
            </w:pPr>
            <w:r w:rsidRPr="00BF143E">
              <w:rPr>
                <w:rFonts w:cstheme="minorHAnsi"/>
                <w:sz w:val="20"/>
                <w:szCs w:val="20"/>
              </w:rPr>
              <w:t xml:space="preserve">Darba spriegums: 220-240 </w:t>
            </w:r>
            <w:r w:rsidRPr="003B69F5">
              <w:rPr>
                <w:rFonts w:cstheme="minorHAnsi"/>
                <w:sz w:val="20"/>
                <w:szCs w:val="20"/>
              </w:rPr>
              <w:t xml:space="preserve">V, 50 Hz, 12V  </w:t>
            </w:r>
          </w:p>
          <w:p w14:paraId="4D5D020B" w14:textId="6301FA78" w:rsidR="00AE6B56" w:rsidRPr="00BF143E" w:rsidRDefault="009B70EF" w:rsidP="000253DB">
            <w:pPr>
              <w:pStyle w:val="ListParagraph"/>
              <w:numPr>
                <w:ilvl w:val="0"/>
                <w:numId w:val="19"/>
              </w:numPr>
              <w:tabs>
                <w:tab w:val="left" w:pos="504"/>
              </w:tabs>
              <w:jc w:val="both"/>
              <w:rPr>
                <w:rFonts w:cstheme="minorHAnsi"/>
                <w:sz w:val="20"/>
                <w:szCs w:val="20"/>
              </w:rPr>
            </w:pPr>
            <w:r w:rsidRPr="003B69F5">
              <w:rPr>
                <w:rFonts w:cstheme="minorHAnsi"/>
                <w:sz w:val="20"/>
                <w:szCs w:val="20"/>
              </w:rPr>
              <w:t xml:space="preserve">Komplektācijā: </w:t>
            </w:r>
            <w:proofErr w:type="spellStart"/>
            <w:r w:rsidRPr="003B69F5">
              <w:rPr>
                <w:rFonts w:cstheme="minorHAnsi"/>
                <w:sz w:val="20"/>
                <w:szCs w:val="20"/>
              </w:rPr>
              <w:t>pH</w:t>
            </w:r>
            <w:proofErr w:type="spellEnd"/>
            <w:r w:rsidRPr="003B69F5">
              <w:rPr>
                <w:rFonts w:cstheme="minorHAnsi"/>
                <w:sz w:val="20"/>
                <w:szCs w:val="20"/>
              </w:rPr>
              <w:t xml:space="preserve"> metrs aprīkots ar elektroda turētāju, 3 vienā ATC </w:t>
            </w:r>
            <w:proofErr w:type="spellStart"/>
            <w:r w:rsidRPr="003B69F5">
              <w:rPr>
                <w:rFonts w:cstheme="minorHAnsi"/>
                <w:sz w:val="20"/>
                <w:szCs w:val="20"/>
              </w:rPr>
              <w:t>ph</w:t>
            </w:r>
            <w:proofErr w:type="spellEnd"/>
            <w:r w:rsidRPr="003B69F5">
              <w:rPr>
                <w:rFonts w:cstheme="minorHAnsi"/>
                <w:sz w:val="20"/>
                <w:szCs w:val="20"/>
              </w:rPr>
              <w:t xml:space="preserve"> zondi, barošanas vads</w:t>
            </w:r>
          </w:p>
        </w:tc>
        <w:tc>
          <w:tcPr>
            <w:tcW w:w="402" w:type="pct"/>
            <w:vMerge w:val="restart"/>
          </w:tcPr>
          <w:p w14:paraId="264BB4B1" w14:textId="77777777" w:rsidR="00AE6B56" w:rsidRDefault="00AE6B56" w:rsidP="006725C8">
            <w:pPr>
              <w:jc w:val="center"/>
              <w:rPr>
                <w:rFonts w:asciiTheme="minorHAnsi" w:hAnsiTheme="minorHAnsi" w:cstheme="minorHAnsi"/>
                <w:lang w:val="lv-LV"/>
              </w:rPr>
            </w:pPr>
          </w:p>
          <w:p w14:paraId="042436C4" w14:textId="09CD5BE9" w:rsidR="00AE6B56" w:rsidRPr="00BF143E" w:rsidRDefault="00AE6B56" w:rsidP="006725C8">
            <w:pPr>
              <w:jc w:val="center"/>
              <w:rPr>
                <w:rFonts w:asciiTheme="minorHAnsi" w:hAnsiTheme="minorHAnsi" w:cstheme="minorHAnsi"/>
                <w:lang w:val="lv-LV"/>
              </w:rPr>
            </w:pPr>
            <w:r w:rsidRPr="00BF143E">
              <w:rPr>
                <w:rFonts w:asciiTheme="minorHAnsi" w:hAnsiTheme="minorHAnsi" w:cstheme="minorHAnsi"/>
                <w:lang w:val="lv-LV"/>
              </w:rPr>
              <w:t>1</w:t>
            </w:r>
          </w:p>
        </w:tc>
        <w:tc>
          <w:tcPr>
            <w:tcW w:w="1675" w:type="pct"/>
          </w:tcPr>
          <w:p w14:paraId="7C55BDB7" w14:textId="77777777" w:rsidR="00AE6B56" w:rsidRPr="00BF143E" w:rsidRDefault="00AE6B56" w:rsidP="00FE4240">
            <w:pPr>
              <w:rPr>
                <w:rFonts w:asciiTheme="minorHAnsi" w:hAnsiTheme="minorHAnsi" w:cstheme="minorHAnsi"/>
                <w:lang w:val="lv-LV"/>
              </w:rPr>
            </w:pPr>
          </w:p>
        </w:tc>
        <w:tc>
          <w:tcPr>
            <w:tcW w:w="422" w:type="pct"/>
            <w:vMerge w:val="restart"/>
          </w:tcPr>
          <w:p w14:paraId="60079863" w14:textId="77777777" w:rsidR="00AE6B56" w:rsidRPr="00BF143E" w:rsidRDefault="00AE6B56" w:rsidP="00384B59">
            <w:pPr>
              <w:spacing w:before="120"/>
              <w:jc w:val="center"/>
              <w:rPr>
                <w:rFonts w:asciiTheme="minorHAnsi" w:hAnsiTheme="minorHAnsi" w:cstheme="minorHAnsi"/>
                <w:lang w:val="lv-LV"/>
              </w:rPr>
            </w:pPr>
          </w:p>
        </w:tc>
      </w:tr>
      <w:tr w:rsidR="00AE6B56" w:rsidRPr="00BF143E" w14:paraId="78A2B771" w14:textId="77777777" w:rsidTr="00FE4240">
        <w:tblPrEx>
          <w:tblLook w:val="01E0" w:firstRow="1" w:lastRow="1" w:firstColumn="1" w:lastColumn="1" w:noHBand="0" w:noVBand="0"/>
        </w:tblPrEx>
        <w:tc>
          <w:tcPr>
            <w:tcW w:w="479" w:type="pct"/>
            <w:vMerge/>
          </w:tcPr>
          <w:p w14:paraId="0477A163" w14:textId="77777777" w:rsidR="00AE6B56" w:rsidRPr="00BF143E" w:rsidRDefault="00AE6B56" w:rsidP="00AE6B56">
            <w:pPr>
              <w:rPr>
                <w:rFonts w:asciiTheme="minorHAnsi" w:hAnsiTheme="minorHAnsi" w:cstheme="minorHAnsi"/>
                <w:lang w:val="lv-LV"/>
              </w:rPr>
            </w:pPr>
          </w:p>
        </w:tc>
        <w:tc>
          <w:tcPr>
            <w:tcW w:w="2022" w:type="pct"/>
          </w:tcPr>
          <w:p w14:paraId="7C770324" w14:textId="06850E87" w:rsidR="00AE6B56" w:rsidRPr="00BF143E" w:rsidRDefault="00AE6B56" w:rsidP="00AE6B56">
            <w:pPr>
              <w:jc w:val="both"/>
              <w:rPr>
                <w:rFonts w:asciiTheme="minorHAnsi" w:hAnsiTheme="minorHAnsi" w:cstheme="minorHAnsi"/>
                <w:color w:val="000000" w:themeColor="text1"/>
                <w:lang w:val="lv-LV"/>
              </w:rPr>
            </w:pPr>
            <w:r w:rsidRPr="00930077">
              <w:rPr>
                <w:rFonts w:asciiTheme="minorHAnsi" w:hAnsiTheme="minorHAnsi" w:cstheme="minorHAnsi"/>
                <w:lang w:val="lv-LV"/>
              </w:rPr>
              <w:t xml:space="preserve">Iekārtas elektroenerģijas patēriņš </w:t>
            </w:r>
            <w:proofErr w:type="spellStart"/>
            <w:r w:rsidRPr="00930077">
              <w:rPr>
                <w:rFonts w:asciiTheme="minorHAnsi" w:hAnsiTheme="minorHAnsi" w:cstheme="minorHAnsi"/>
                <w:lang w:val="lv-LV"/>
              </w:rPr>
              <w:t>kW</w:t>
            </w:r>
            <w:proofErr w:type="spellEnd"/>
            <w:r w:rsidRPr="00930077">
              <w:rPr>
                <w:rFonts w:asciiTheme="minorHAnsi" w:hAnsiTheme="minorHAnsi" w:cstheme="minorHAnsi"/>
                <w:lang w:val="lv-LV"/>
              </w:rPr>
              <w:t xml:space="preserve"> stundā</w:t>
            </w:r>
          </w:p>
        </w:tc>
        <w:tc>
          <w:tcPr>
            <w:tcW w:w="402" w:type="pct"/>
            <w:vMerge/>
            <w:vAlign w:val="center"/>
          </w:tcPr>
          <w:p w14:paraId="7CC07469" w14:textId="77777777" w:rsidR="00AE6B56" w:rsidRPr="00BF143E" w:rsidRDefault="00AE6B56" w:rsidP="00AE6B56">
            <w:pPr>
              <w:jc w:val="center"/>
              <w:rPr>
                <w:rFonts w:asciiTheme="minorHAnsi" w:hAnsiTheme="minorHAnsi" w:cstheme="minorHAnsi"/>
                <w:lang w:val="lv-LV"/>
              </w:rPr>
            </w:pPr>
          </w:p>
        </w:tc>
        <w:tc>
          <w:tcPr>
            <w:tcW w:w="1675" w:type="pct"/>
          </w:tcPr>
          <w:p w14:paraId="7E3ED58E" w14:textId="77777777" w:rsidR="00AE6B56" w:rsidRPr="00BF143E" w:rsidRDefault="00AE6B56" w:rsidP="00FE4240">
            <w:pPr>
              <w:rPr>
                <w:rFonts w:asciiTheme="minorHAnsi" w:hAnsiTheme="minorHAnsi" w:cstheme="minorHAnsi"/>
                <w:lang w:val="lv-LV"/>
              </w:rPr>
            </w:pPr>
          </w:p>
        </w:tc>
        <w:tc>
          <w:tcPr>
            <w:tcW w:w="422" w:type="pct"/>
            <w:vMerge/>
            <w:vAlign w:val="center"/>
          </w:tcPr>
          <w:p w14:paraId="4B939AB4" w14:textId="77777777" w:rsidR="00AE6B56" w:rsidRPr="00BF143E" w:rsidRDefault="00AE6B56" w:rsidP="00AE6B56">
            <w:pPr>
              <w:jc w:val="center"/>
              <w:rPr>
                <w:rFonts w:asciiTheme="minorHAnsi" w:hAnsiTheme="minorHAnsi" w:cstheme="minorHAnsi"/>
                <w:lang w:val="lv-LV"/>
              </w:rPr>
            </w:pPr>
          </w:p>
        </w:tc>
      </w:tr>
      <w:tr w:rsidR="00AE6B56" w:rsidRPr="00BF143E" w14:paraId="3F0EAF1F" w14:textId="42F273C8" w:rsidTr="008778EE">
        <w:tblPrEx>
          <w:tblLook w:val="01E0" w:firstRow="1" w:lastRow="1" w:firstColumn="1" w:lastColumn="1" w:noHBand="0" w:noVBand="0"/>
        </w:tblPrEx>
        <w:tc>
          <w:tcPr>
            <w:tcW w:w="479" w:type="pct"/>
            <w:vMerge w:val="restart"/>
          </w:tcPr>
          <w:p w14:paraId="643AB477" w14:textId="77777777" w:rsidR="00AE6B56" w:rsidRPr="00BF143E" w:rsidRDefault="00AE6B56" w:rsidP="00F06B26">
            <w:pPr>
              <w:rPr>
                <w:rFonts w:asciiTheme="minorHAnsi" w:hAnsiTheme="minorHAnsi" w:cstheme="minorHAnsi"/>
                <w:lang w:val="lv-LV"/>
              </w:rPr>
            </w:pPr>
            <w:r w:rsidRPr="00BF143E">
              <w:rPr>
                <w:rFonts w:asciiTheme="minorHAnsi" w:hAnsiTheme="minorHAnsi" w:cstheme="minorHAnsi"/>
                <w:lang w:val="lv-LV"/>
              </w:rPr>
              <w:lastRenderedPageBreak/>
              <w:t>Citas prasības</w:t>
            </w:r>
          </w:p>
        </w:tc>
        <w:tc>
          <w:tcPr>
            <w:tcW w:w="2022" w:type="pct"/>
          </w:tcPr>
          <w:p w14:paraId="3B2A2248" w14:textId="24834461" w:rsidR="00AE6B56" w:rsidRPr="00BF143E" w:rsidRDefault="00AE6B56" w:rsidP="00F06B26">
            <w:pPr>
              <w:rPr>
                <w:rFonts w:asciiTheme="minorHAnsi" w:hAnsiTheme="minorHAnsi" w:cstheme="minorHAnsi"/>
                <w:lang w:val="lv-LV"/>
              </w:rPr>
            </w:pPr>
            <w:r w:rsidRPr="00BF143E">
              <w:rPr>
                <w:rFonts w:asciiTheme="minorHAnsi" w:hAnsiTheme="minorHAnsi" w:cstheme="minorHAnsi"/>
                <w:lang w:val="lv-LV"/>
              </w:rPr>
              <w:t xml:space="preserve">Iekārta sertificēta atbilstoši ES </w:t>
            </w:r>
            <w:r w:rsidRPr="00BF143E">
              <w:rPr>
                <w:rFonts w:asciiTheme="minorHAnsi" w:hAnsiTheme="minorHAnsi" w:cstheme="minorHAnsi"/>
                <w:color w:val="000000"/>
                <w:lang w:val="lv-LV"/>
              </w:rPr>
              <w:t>EN 61010/VDE 0411 drošības standartam</w:t>
            </w:r>
          </w:p>
        </w:tc>
        <w:tc>
          <w:tcPr>
            <w:tcW w:w="402" w:type="pct"/>
            <w:vMerge/>
          </w:tcPr>
          <w:p w14:paraId="5A71FF58" w14:textId="77777777" w:rsidR="00AE6B56" w:rsidRPr="00BF143E" w:rsidRDefault="00AE6B56" w:rsidP="00F06B26">
            <w:pPr>
              <w:rPr>
                <w:rFonts w:asciiTheme="minorHAnsi" w:hAnsiTheme="minorHAnsi" w:cstheme="minorHAnsi"/>
                <w:lang w:val="lv-LV"/>
              </w:rPr>
            </w:pPr>
          </w:p>
        </w:tc>
        <w:tc>
          <w:tcPr>
            <w:tcW w:w="1675" w:type="pct"/>
          </w:tcPr>
          <w:p w14:paraId="625DAEFB" w14:textId="77777777" w:rsidR="00AE6B56" w:rsidRPr="00BF143E" w:rsidRDefault="00AE6B56" w:rsidP="00F06B26">
            <w:pPr>
              <w:rPr>
                <w:rFonts w:asciiTheme="minorHAnsi" w:hAnsiTheme="minorHAnsi" w:cstheme="minorHAnsi"/>
                <w:lang w:val="lv-LV"/>
              </w:rPr>
            </w:pPr>
          </w:p>
        </w:tc>
        <w:tc>
          <w:tcPr>
            <w:tcW w:w="422" w:type="pct"/>
            <w:vMerge/>
          </w:tcPr>
          <w:p w14:paraId="7C272B97" w14:textId="77777777" w:rsidR="00AE6B56" w:rsidRPr="00BF143E" w:rsidRDefault="00AE6B56" w:rsidP="00F06B26">
            <w:pPr>
              <w:rPr>
                <w:rFonts w:asciiTheme="minorHAnsi" w:hAnsiTheme="minorHAnsi" w:cstheme="minorHAnsi"/>
                <w:lang w:val="lv-LV"/>
              </w:rPr>
            </w:pPr>
          </w:p>
        </w:tc>
      </w:tr>
      <w:tr w:rsidR="00AE6B56" w:rsidRPr="00BF143E" w14:paraId="1045DCF1" w14:textId="2EB08ABF" w:rsidTr="008778EE">
        <w:tblPrEx>
          <w:tblLook w:val="01E0" w:firstRow="1" w:lastRow="1" w:firstColumn="1" w:lastColumn="1" w:noHBand="0" w:noVBand="0"/>
        </w:tblPrEx>
        <w:tc>
          <w:tcPr>
            <w:tcW w:w="479" w:type="pct"/>
            <w:vMerge/>
          </w:tcPr>
          <w:p w14:paraId="31610D3B" w14:textId="77777777" w:rsidR="00AE6B56" w:rsidRPr="00BF143E" w:rsidRDefault="00AE6B56" w:rsidP="00F06B26">
            <w:pPr>
              <w:rPr>
                <w:rFonts w:asciiTheme="minorHAnsi" w:hAnsiTheme="minorHAnsi" w:cstheme="minorHAnsi"/>
                <w:lang w:val="lv-LV"/>
              </w:rPr>
            </w:pPr>
          </w:p>
        </w:tc>
        <w:tc>
          <w:tcPr>
            <w:tcW w:w="2022" w:type="pct"/>
          </w:tcPr>
          <w:p w14:paraId="73456985" w14:textId="5AE2FFEC" w:rsidR="00AE6B56" w:rsidRPr="00BF143E" w:rsidRDefault="00AE6B56" w:rsidP="00F06B26">
            <w:pPr>
              <w:jc w:val="both"/>
              <w:rPr>
                <w:rFonts w:asciiTheme="minorHAnsi" w:hAnsiTheme="minorHAnsi" w:cstheme="minorHAnsi"/>
                <w:lang w:val="lv-LV"/>
              </w:rPr>
            </w:pPr>
            <w:r w:rsidRPr="00BF143E">
              <w:rPr>
                <w:rFonts w:asciiTheme="minorHAnsi" w:hAnsiTheme="minorHAnsi" w:cstheme="minorHAnsi"/>
                <w:lang w:val="lv-LV"/>
              </w:rPr>
              <w:t>Iekārtas piegāde klienta norādītajā vietā, pieslēgšana un palaišana, ko nodrošina apmācīts un sertificēts inženieris</w:t>
            </w:r>
          </w:p>
        </w:tc>
        <w:tc>
          <w:tcPr>
            <w:tcW w:w="402" w:type="pct"/>
            <w:vMerge/>
          </w:tcPr>
          <w:p w14:paraId="48EE1265" w14:textId="77777777" w:rsidR="00AE6B56" w:rsidRPr="00BF143E" w:rsidRDefault="00AE6B56" w:rsidP="00F06B26">
            <w:pPr>
              <w:rPr>
                <w:rFonts w:asciiTheme="minorHAnsi" w:hAnsiTheme="minorHAnsi" w:cstheme="minorHAnsi"/>
                <w:lang w:val="lv-LV"/>
              </w:rPr>
            </w:pPr>
          </w:p>
        </w:tc>
        <w:tc>
          <w:tcPr>
            <w:tcW w:w="1675" w:type="pct"/>
          </w:tcPr>
          <w:p w14:paraId="704488ED" w14:textId="77777777" w:rsidR="00AE6B56" w:rsidRPr="00BF143E" w:rsidRDefault="00AE6B56" w:rsidP="00F06B26">
            <w:pPr>
              <w:rPr>
                <w:rFonts w:asciiTheme="minorHAnsi" w:hAnsiTheme="minorHAnsi" w:cstheme="minorHAnsi"/>
                <w:lang w:val="lv-LV"/>
              </w:rPr>
            </w:pPr>
          </w:p>
        </w:tc>
        <w:tc>
          <w:tcPr>
            <w:tcW w:w="422" w:type="pct"/>
            <w:vMerge/>
          </w:tcPr>
          <w:p w14:paraId="380DB7BC" w14:textId="77777777" w:rsidR="00AE6B56" w:rsidRPr="00BF143E" w:rsidRDefault="00AE6B56" w:rsidP="00F06B26">
            <w:pPr>
              <w:rPr>
                <w:rFonts w:asciiTheme="minorHAnsi" w:hAnsiTheme="minorHAnsi" w:cstheme="minorHAnsi"/>
                <w:lang w:val="lv-LV"/>
              </w:rPr>
            </w:pPr>
          </w:p>
        </w:tc>
      </w:tr>
      <w:tr w:rsidR="00AE6B56" w:rsidRPr="00BF143E" w14:paraId="04545F36" w14:textId="10F4C749" w:rsidTr="008778EE">
        <w:tblPrEx>
          <w:tblLook w:val="01E0" w:firstRow="1" w:lastRow="1" w:firstColumn="1" w:lastColumn="1" w:noHBand="0" w:noVBand="0"/>
        </w:tblPrEx>
        <w:tc>
          <w:tcPr>
            <w:tcW w:w="479" w:type="pct"/>
            <w:vMerge/>
          </w:tcPr>
          <w:p w14:paraId="6339D24E" w14:textId="77777777" w:rsidR="00AE6B56" w:rsidRPr="00BF143E" w:rsidRDefault="00AE6B56" w:rsidP="00F06B26">
            <w:pPr>
              <w:rPr>
                <w:rFonts w:asciiTheme="minorHAnsi" w:hAnsiTheme="minorHAnsi" w:cstheme="minorHAnsi"/>
                <w:lang w:val="lv-LV"/>
              </w:rPr>
            </w:pPr>
          </w:p>
        </w:tc>
        <w:tc>
          <w:tcPr>
            <w:tcW w:w="2022" w:type="pct"/>
          </w:tcPr>
          <w:p w14:paraId="3C45E27D" w14:textId="5180F3E6" w:rsidR="00AE6B56" w:rsidRPr="00BF143E" w:rsidRDefault="00AE6B56" w:rsidP="00F06B26">
            <w:pPr>
              <w:jc w:val="both"/>
              <w:rPr>
                <w:rFonts w:asciiTheme="minorHAnsi" w:hAnsiTheme="minorHAnsi" w:cstheme="minorHAnsi"/>
                <w:lang w:val="lv-LV"/>
              </w:rPr>
            </w:pPr>
            <w:r w:rsidRPr="00BF143E">
              <w:rPr>
                <w:rFonts w:asciiTheme="minorHAnsi" w:hAnsiTheme="minorHAnsi" w:cstheme="minorHAnsi"/>
                <w:lang w:val="lv-LV"/>
              </w:rPr>
              <w:t>Lietotāju (līdz 6 cilvēkiem) apmācība darbībai ar iekārtu</w:t>
            </w:r>
          </w:p>
        </w:tc>
        <w:tc>
          <w:tcPr>
            <w:tcW w:w="402" w:type="pct"/>
            <w:vMerge/>
          </w:tcPr>
          <w:p w14:paraId="600E9B51" w14:textId="77777777" w:rsidR="00AE6B56" w:rsidRPr="00BF143E" w:rsidRDefault="00AE6B56" w:rsidP="00F06B26">
            <w:pPr>
              <w:rPr>
                <w:rFonts w:asciiTheme="minorHAnsi" w:hAnsiTheme="minorHAnsi" w:cstheme="minorHAnsi"/>
                <w:lang w:val="lv-LV"/>
              </w:rPr>
            </w:pPr>
          </w:p>
        </w:tc>
        <w:tc>
          <w:tcPr>
            <w:tcW w:w="1675" w:type="pct"/>
          </w:tcPr>
          <w:p w14:paraId="2B695E53" w14:textId="77777777" w:rsidR="00AE6B56" w:rsidRPr="00BF143E" w:rsidRDefault="00AE6B56" w:rsidP="00F06B26">
            <w:pPr>
              <w:rPr>
                <w:rFonts w:asciiTheme="minorHAnsi" w:hAnsiTheme="minorHAnsi" w:cstheme="minorHAnsi"/>
                <w:lang w:val="lv-LV"/>
              </w:rPr>
            </w:pPr>
          </w:p>
        </w:tc>
        <w:tc>
          <w:tcPr>
            <w:tcW w:w="422" w:type="pct"/>
            <w:vMerge/>
          </w:tcPr>
          <w:p w14:paraId="3CC8415C" w14:textId="77777777" w:rsidR="00AE6B56" w:rsidRPr="00BF143E" w:rsidRDefault="00AE6B56" w:rsidP="00F06B26">
            <w:pPr>
              <w:rPr>
                <w:rFonts w:asciiTheme="minorHAnsi" w:hAnsiTheme="minorHAnsi" w:cstheme="minorHAnsi"/>
                <w:lang w:val="lv-LV"/>
              </w:rPr>
            </w:pPr>
          </w:p>
        </w:tc>
      </w:tr>
      <w:tr w:rsidR="00AE6B56" w:rsidRPr="00BF143E" w14:paraId="24EFA01D" w14:textId="77BCDFC9" w:rsidTr="008778EE">
        <w:tblPrEx>
          <w:tblLook w:val="01E0" w:firstRow="1" w:lastRow="1" w:firstColumn="1" w:lastColumn="1" w:noHBand="0" w:noVBand="0"/>
        </w:tblPrEx>
        <w:tc>
          <w:tcPr>
            <w:tcW w:w="479" w:type="pct"/>
            <w:vMerge/>
          </w:tcPr>
          <w:p w14:paraId="33D551EA" w14:textId="77777777" w:rsidR="00AE6B56" w:rsidRPr="00BF143E" w:rsidRDefault="00AE6B56" w:rsidP="00F06B26">
            <w:pPr>
              <w:rPr>
                <w:rFonts w:asciiTheme="minorHAnsi" w:hAnsiTheme="minorHAnsi" w:cstheme="minorHAnsi"/>
                <w:lang w:val="lv-LV"/>
              </w:rPr>
            </w:pPr>
          </w:p>
        </w:tc>
        <w:tc>
          <w:tcPr>
            <w:tcW w:w="2022" w:type="pct"/>
          </w:tcPr>
          <w:p w14:paraId="19B459CC" w14:textId="04819CBD" w:rsidR="00AE6B56" w:rsidRPr="00BF143E" w:rsidRDefault="0054686A" w:rsidP="00F06B26">
            <w:pPr>
              <w:jc w:val="both"/>
              <w:rPr>
                <w:rFonts w:asciiTheme="minorHAnsi" w:hAnsiTheme="minorHAnsi" w:cstheme="minorHAnsi"/>
                <w:lang w:val="lv-LV"/>
              </w:rPr>
            </w:pPr>
            <w:r w:rsidRPr="0054686A">
              <w:rPr>
                <w:rFonts w:asciiTheme="minorHAnsi" w:hAnsiTheme="minorHAnsi" w:cstheme="minorHAnsi"/>
                <w:lang w:val="lv-LV"/>
              </w:rPr>
              <w:t>Piegādes termiņš – 1 (viens) mēnesis</w:t>
            </w:r>
          </w:p>
        </w:tc>
        <w:tc>
          <w:tcPr>
            <w:tcW w:w="402" w:type="pct"/>
            <w:vMerge/>
          </w:tcPr>
          <w:p w14:paraId="36E5AE24" w14:textId="77777777" w:rsidR="00AE6B56" w:rsidRPr="00BF143E" w:rsidRDefault="00AE6B56" w:rsidP="00F06B26">
            <w:pPr>
              <w:rPr>
                <w:rFonts w:asciiTheme="minorHAnsi" w:hAnsiTheme="minorHAnsi" w:cstheme="minorHAnsi"/>
                <w:lang w:val="lv-LV"/>
              </w:rPr>
            </w:pPr>
          </w:p>
        </w:tc>
        <w:tc>
          <w:tcPr>
            <w:tcW w:w="1675" w:type="pct"/>
          </w:tcPr>
          <w:p w14:paraId="24567C69" w14:textId="77777777" w:rsidR="00AE6B56" w:rsidRPr="00BF143E" w:rsidRDefault="00AE6B56" w:rsidP="00F06B26">
            <w:pPr>
              <w:rPr>
                <w:rFonts w:asciiTheme="minorHAnsi" w:hAnsiTheme="minorHAnsi" w:cstheme="minorHAnsi"/>
                <w:lang w:val="lv-LV"/>
              </w:rPr>
            </w:pPr>
          </w:p>
        </w:tc>
        <w:tc>
          <w:tcPr>
            <w:tcW w:w="422" w:type="pct"/>
            <w:vMerge/>
          </w:tcPr>
          <w:p w14:paraId="782B479A" w14:textId="77777777" w:rsidR="00AE6B56" w:rsidRPr="00BF143E" w:rsidRDefault="00AE6B56" w:rsidP="00F06B26">
            <w:pPr>
              <w:rPr>
                <w:rFonts w:asciiTheme="minorHAnsi" w:hAnsiTheme="minorHAnsi" w:cstheme="minorHAnsi"/>
                <w:lang w:val="lv-LV"/>
              </w:rPr>
            </w:pPr>
          </w:p>
        </w:tc>
      </w:tr>
      <w:tr w:rsidR="00AE6B56" w:rsidRPr="00BF143E" w14:paraId="0D7572A5" w14:textId="33310E82" w:rsidTr="008778EE">
        <w:tblPrEx>
          <w:tblLook w:val="01E0" w:firstRow="1" w:lastRow="1" w:firstColumn="1" w:lastColumn="1" w:noHBand="0" w:noVBand="0"/>
        </w:tblPrEx>
        <w:tc>
          <w:tcPr>
            <w:tcW w:w="479" w:type="pct"/>
            <w:vMerge/>
          </w:tcPr>
          <w:p w14:paraId="17DE3574" w14:textId="77777777" w:rsidR="00AE6B56" w:rsidRPr="00BF143E" w:rsidRDefault="00AE6B56" w:rsidP="00F06B26">
            <w:pPr>
              <w:rPr>
                <w:rFonts w:asciiTheme="minorHAnsi" w:hAnsiTheme="minorHAnsi" w:cstheme="minorHAnsi"/>
                <w:lang w:val="lv-LV"/>
              </w:rPr>
            </w:pPr>
          </w:p>
        </w:tc>
        <w:tc>
          <w:tcPr>
            <w:tcW w:w="2022" w:type="pct"/>
          </w:tcPr>
          <w:p w14:paraId="42B57077" w14:textId="2BC24338" w:rsidR="00AE6B56" w:rsidRPr="00BF143E" w:rsidRDefault="00AE6B56" w:rsidP="00F06B26">
            <w:pPr>
              <w:jc w:val="both"/>
              <w:rPr>
                <w:rFonts w:asciiTheme="minorHAnsi" w:hAnsiTheme="minorHAnsi" w:cstheme="minorHAnsi"/>
                <w:lang w:val="lv-LV"/>
              </w:rPr>
            </w:pPr>
            <w:r w:rsidRPr="00BF143E">
              <w:rPr>
                <w:rFonts w:asciiTheme="minorHAnsi" w:hAnsiTheme="minorHAnsi" w:cstheme="minorHAnsi"/>
                <w:lang w:val="lv-LV"/>
              </w:rPr>
              <w:t xml:space="preserve">Iekārtas garantijas termiņš vismaz 2 (divi) gadi </w:t>
            </w:r>
            <w:r w:rsidR="00DA10E4" w:rsidRPr="00564DD1">
              <w:rPr>
                <w:rFonts w:asciiTheme="minorHAnsi" w:hAnsiTheme="minorHAnsi" w:cs="Arial"/>
                <w:i/>
                <w:iCs/>
                <w:lang w:val="lv-LV"/>
              </w:rPr>
              <w:t>(pretendents var norādīt lielāku garantijas termiņu)</w:t>
            </w:r>
          </w:p>
        </w:tc>
        <w:tc>
          <w:tcPr>
            <w:tcW w:w="402" w:type="pct"/>
            <w:vMerge/>
          </w:tcPr>
          <w:p w14:paraId="45A87074" w14:textId="77777777" w:rsidR="00AE6B56" w:rsidRPr="00BF143E" w:rsidRDefault="00AE6B56" w:rsidP="00F06B26">
            <w:pPr>
              <w:rPr>
                <w:rFonts w:asciiTheme="minorHAnsi" w:hAnsiTheme="minorHAnsi" w:cstheme="minorHAnsi"/>
                <w:lang w:val="lv-LV"/>
              </w:rPr>
            </w:pPr>
          </w:p>
        </w:tc>
        <w:tc>
          <w:tcPr>
            <w:tcW w:w="1675" w:type="pct"/>
          </w:tcPr>
          <w:p w14:paraId="69EEE934" w14:textId="77777777" w:rsidR="00AE6B56" w:rsidRPr="00BF143E" w:rsidRDefault="00AE6B56" w:rsidP="00F06B26">
            <w:pPr>
              <w:rPr>
                <w:rFonts w:asciiTheme="minorHAnsi" w:hAnsiTheme="minorHAnsi" w:cstheme="minorHAnsi"/>
                <w:lang w:val="lv-LV"/>
              </w:rPr>
            </w:pPr>
          </w:p>
        </w:tc>
        <w:tc>
          <w:tcPr>
            <w:tcW w:w="422" w:type="pct"/>
            <w:vMerge/>
          </w:tcPr>
          <w:p w14:paraId="17E4CE0E" w14:textId="77777777" w:rsidR="00AE6B56" w:rsidRPr="00BF143E" w:rsidRDefault="00AE6B56" w:rsidP="00F06B26">
            <w:pPr>
              <w:rPr>
                <w:rFonts w:asciiTheme="minorHAnsi" w:hAnsiTheme="minorHAnsi" w:cstheme="minorHAnsi"/>
                <w:lang w:val="lv-LV"/>
              </w:rPr>
            </w:pPr>
          </w:p>
        </w:tc>
      </w:tr>
      <w:tr w:rsidR="00AE6B56" w:rsidRPr="00BF143E" w14:paraId="1FE4500C" w14:textId="1E2392E4" w:rsidTr="008778EE">
        <w:tblPrEx>
          <w:tblLook w:val="01E0" w:firstRow="1" w:lastRow="1" w:firstColumn="1" w:lastColumn="1" w:noHBand="0" w:noVBand="0"/>
        </w:tblPrEx>
        <w:trPr>
          <w:trHeight w:val="317"/>
        </w:trPr>
        <w:tc>
          <w:tcPr>
            <w:tcW w:w="479" w:type="pct"/>
            <w:vMerge/>
          </w:tcPr>
          <w:p w14:paraId="6DBBD5FE" w14:textId="77777777" w:rsidR="00AE6B56" w:rsidRPr="00BF143E" w:rsidRDefault="00AE6B56" w:rsidP="00F06B26">
            <w:pPr>
              <w:rPr>
                <w:rFonts w:asciiTheme="minorHAnsi" w:hAnsiTheme="minorHAnsi" w:cstheme="minorHAnsi"/>
                <w:lang w:val="lv-LV"/>
              </w:rPr>
            </w:pPr>
          </w:p>
        </w:tc>
        <w:tc>
          <w:tcPr>
            <w:tcW w:w="2022" w:type="pct"/>
          </w:tcPr>
          <w:p w14:paraId="5A0D5800" w14:textId="01038057" w:rsidR="00AE6B56" w:rsidRPr="00BF143E" w:rsidRDefault="00AE6B56" w:rsidP="00F06B26">
            <w:pPr>
              <w:jc w:val="both"/>
              <w:rPr>
                <w:rFonts w:asciiTheme="minorHAnsi" w:hAnsiTheme="minorHAnsi" w:cstheme="minorHAnsi"/>
                <w:lang w:val="lv-LV"/>
              </w:rPr>
            </w:pPr>
            <w:r w:rsidRPr="00BF143E">
              <w:rPr>
                <w:rFonts w:asciiTheme="minorHAnsi" w:hAnsiTheme="minorHAnsi" w:cstheme="minorHAnsi"/>
                <w:lang w:val="lv-LV"/>
              </w:rPr>
              <w:t>Iekārtas apkope garantijas termiņa laikā jānodrošina bez atsevišķas samaksas</w:t>
            </w:r>
          </w:p>
        </w:tc>
        <w:tc>
          <w:tcPr>
            <w:tcW w:w="402" w:type="pct"/>
            <w:vMerge/>
          </w:tcPr>
          <w:p w14:paraId="4CF5D30A" w14:textId="77777777" w:rsidR="00AE6B56" w:rsidRPr="00BF143E" w:rsidRDefault="00AE6B56" w:rsidP="00F06B26">
            <w:pPr>
              <w:rPr>
                <w:rFonts w:asciiTheme="minorHAnsi" w:hAnsiTheme="minorHAnsi" w:cstheme="minorHAnsi"/>
                <w:lang w:val="lv-LV"/>
              </w:rPr>
            </w:pPr>
          </w:p>
        </w:tc>
        <w:tc>
          <w:tcPr>
            <w:tcW w:w="1675" w:type="pct"/>
          </w:tcPr>
          <w:p w14:paraId="6591A7EE" w14:textId="77777777" w:rsidR="00AE6B56" w:rsidRPr="00BF143E" w:rsidRDefault="00AE6B56" w:rsidP="00F06B26">
            <w:pPr>
              <w:rPr>
                <w:rFonts w:asciiTheme="minorHAnsi" w:hAnsiTheme="minorHAnsi" w:cstheme="minorHAnsi"/>
                <w:lang w:val="lv-LV"/>
              </w:rPr>
            </w:pPr>
          </w:p>
        </w:tc>
        <w:tc>
          <w:tcPr>
            <w:tcW w:w="422" w:type="pct"/>
            <w:vMerge/>
          </w:tcPr>
          <w:p w14:paraId="04D3857A" w14:textId="77777777" w:rsidR="00AE6B56" w:rsidRPr="00BF143E" w:rsidRDefault="00AE6B56" w:rsidP="00F06B26">
            <w:pPr>
              <w:rPr>
                <w:rFonts w:asciiTheme="minorHAnsi" w:hAnsiTheme="minorHAnsi" w:cstheme="minorHAnsi"/>
                <w:lang w:val="lv-LV"/>
              </w:rPr>
            </w:pPr>
          </w:p>
        </w:tc>
      </w:tr>
      <w:tr w:rsidR="008778EE" w:rsidRPr="00BF143E" w14:paraId="4BED3DBA" w14:textId="77777777" w:rsidTr="008778EE">
        <w:tblPrEx>
          <w:tblLook w:val="01E0" w:firstRow="1" w:lastRow="1" w:firstColumn="1" w:lastColumn="1" w:noHBand="0" w:noVBand="0"/>
        </w:tblPrEx>
        <w:trPr>
          <w:trHeight w:val="317"/>
        </w:trPr>
        <w:tc>
          <w:tcPr>
            <w:tcW w:w="479" w:type="pct"/>
            <w:vMerge/>
          </w:tcPr>
          <w:p w14:paraId="0E619D99" w14:textId="77777777" w:rsidR="008778EE" w:rsidRPr="00BF143E" w:rsidRDefault="008778EE" w:rsidP="00F06B26">
            <w:pPr>
              <w:rPr>
                <w:rFonts w:asciiTheme="minorHAnsi" w:hAnsiTheme="minorHAnsi" w:cstheme="minorHAnsi"/>
                <w:lang w:val="lv-LV"/>
              </w:rPr>
            </w:pPr>
          </w:p>
        </w:tc>
        <w:tc>
          <w:tcPr>
            <w:tcW w:w="2022" w:type="pct"/>
          </w:tcPr>
          <w:p w14:paraId="51E79FA4" w14:textId="6765F4C4" w:rsidR="008778EE" w:rsidRPr="00BF143E" w:rsidRDefault="008778EE" w:rsidP="00F06B26">
            <w:pPr>
              <w:jc w:val="both"/>
              <w:rPr>
                <w:rFonts w:asciiTheme="minorHAnsi" w:hAnsiTheme="minorHAnsi" w:cstheme="minorHAnsi"/>
                <w:lang w:val="lv-LV"/>
              </w:rPr>
            </w:pPr>
            <w:r w:rsidRPr="00BE247F">
              <w:rPr>
                <w:rFonts w:asciiTheme="minorHAnsi" w:hAnsiTheme="minorHAnsi" w:cstheme="minorHAnsi"/>
                <w:lang w:val="lv-LV"/>
              </w:rPr>
              <w:t>Instrukcija latviešu vai angļu valodā</w:t>
            </w:r>
          </w:p>
        </w:tc>
        <w:tc>
          <w:tcPr>
            <w:tcW w:w="402" w:type="pct"/>
            <w:vMerge/>
          </w:tcPr>
          <w:p w14:paraId="3DE44519" w14:textId="77777777" w:rsidR="008778EE" w:rsidRPr="00BF143E" w:rsidRDefault="008778EE" w:rsidP="00F06B26">
            <w:pPr>
              <w:rPr>
                <w:rFonts w:asciiTheme="minorHAnsi" w:hAnsiTheme="minorHAnsi" w:cstheme="minorHAnsi"/>
                <w:lang w:val="lv-LV"/>
              </w:rPr>
            </w:pPr>
          </w:p>
        </w:tc>
        <w:tc>
          <w:tcPr>
            <w:tcW w:w="1675" w:type="pct"/>
          </w:tcPr>
          <w:p w14:paraId="793BA6D9" w14:textId="77777777" w:rsidR="008778EE" w:rsidRPr="00BF143E" w:rsidRDefault="008778EE" w:rsidP="00F06B26">
            <w:pPr>
              <w:rPr>
                <w:rFonts w:asciiTheme="minorHAnsi" w:hAnsiTheme="minorHAnsi" w:cstheme="minorHAnsi"/>
                <w:lang w:val="lv-LV"/>
              </w:rPr>
            </w:pPr>
          </w:p>
        </w:tc>
        <w:tc>
          <w:tcPr>
            <w:tcW w:w="422" w:type="pct"/>
            <w:vMerge/>
          </w:tcPr>
          <w:p w14:paraId="007CB9B6" w14:textId="77777777" w:rsidR="008778EE" w:rsidRPr="00BF143E" w:rsidRDefault="008778EE" w:rsidP="00F06B26">
            <w:pPr>
              <w:rPr>
                <w:rFonts w:asciiTheme="minorHAnsi" w:hAnsiTheme="minorHAnsi" w:cstheme="minorHAnsi"/>
                <w:lang w:val="lv-LV"/>
              </w:rPr>
            </w:pPr>
          </w:p>
        </w:tc>
      </w:tr>
      <w:tr w:rsidR="003B7176" w:rsidRPr="00BF143E" w14:paraId="4038BAE4" w14:textId="77777777" w:rsidTr="008778EE">
        <w:tblPrEx>
          <w:tblLook w:val="01E0" w:firstRow="1" w:lastRow="1" w:firstColumn="1" w:lastColumn="1" w:noHBand="0" w:noVBand="0"/>
        </w:tblPrEx>
        <w:trPr>
          <w:trHeight w:val="317"/>
        </w:trPr>
        <w:tc>
          <w:tcPr>
            <w:tcW w:w="479" w:type="pct"/>
            <w:vMerge/>
          </w:tcPr>
          <w:p w14:paraId="5064581E" w14:textId="77777777" w:rsidR="003B7176" w:rsidRPr="00BF143E" w:rsidRDefault="003B7176" w:rsidP="00F06B26">
            <w:pPr>
              <w:rPr>
                <w:rFonts w:asciiTheme="minorHAnsi" w:hAnsiTheme="minorHAnsi" w:cstheme="minorHAnsi"/>
                <w:lang w:val="lv-LV"/>
              </w:rPr>
            </w:pPr>
          </w:p>
        </w:tc>
        <w:tc>
          <w:tcPr>
            <w:tcW w:w="2022" w:type="pct"/>
          </w:tcPr>
          <w:p w14:paraId="349564D2" w14:textId="4A98B2B2" w:rsidR="003B7176" w:rsidRPr="00BE247F" w:rsidRDefault="003B7176" w:rsidP="00F06B26">
            <w:pPr>
              <w:jc w:val="both"/>
              <w:rPr>
                <w:rFonts w:asciiTheme="minorHAnsi" w:hAnsiTheme="minorHAnsi" w:cstheme="minorHAnsi"/>
                <w:lang w:val="lv-LV"/>
              </w:rPr>
            </w:pPr>
            <w:r w:rsidRPr="003B7176">
              <w:rPr>
                <w:rFonts w:asciiTheme="minorHAnsi" w:hAnsiTheme="minorHAnsi" w:cstheme="minorHAnsi"/>
                <w:lang w:val="lv-LV"/>
              </w:rPr>
              <w:t>CE marķējums</w:t>
            </w:r>
          </w:p>
        </w:tc>
        <w:tc>
          <w:tcPr>
            <w:tcW w:w="402" w:type="pct"/>
            <w:vMerge/>
          </w:tcPr>
          <w:p w14:paraId="624991AC" w14:textId="77777777" w:rsidR="003B7176" w:rsidRPr="00BF143E" w:rsidRDefault="003B7176" w:rsidP="00F06B26">
            <w:pPr>
              <w:rPr>
                <w:rFonts w:asciiTheme="minorHAnsi" w:hAnsiTheme="minorHAnsi" w:cstheme="minorHAnsi"/>
                <w:lang w:val="lv-LV"/>
              </w:rPr>
            </w:pPr>
          </w:p>
        </w:tc>
        <w:tc>
          <w:tcPr>
            <w:tcW w:w="1675" w:type="pct"/>
          </w:tcPr>
          <w:p w14:paraId="3B6654F7" w14:textId="77777777" w:rsidR="003B7176" w:rsidRPr="00BF143E" w:rsidRDefault="003B7176" w:rsidP="00F06B26">
            <w:pPr>
              <w:rPr>
                <w:rFonts w:asciiTheme="minorHAnsi" w:hAnsiTheme="minorHAnsi" w:cstheme="minorHAnsi"/>
                <w:lang w:val="lv-LV"/>
              </w:rPr>
            </w:pPr>
          </w:p>
        </w:tc>
        <w:tc>
          <w:tcPr>
            <w:tcW w:w="422" w:type="pct"/>
            <w:vMerge/>
          </w:tcPr>
          <w:p w14:paraId="5FD66DA2" w14:textId="77777777" w:rsidR="003B7176" w:rsidRPr="00BF143E" w:rsidRDefault="003B7176" w:rsidP="00F06B26">
            <w:pPr>
              <w:rPr>
                <w:rFonts w:asciiTheme="minorHAnsi" w:hAnsiTheme="minorHAnsi" w:cstheme="minorHAnsi"/>
                <w:lang w:val="lv-LV"/>
              </w:rPr>
            </w:pPr>
          </w:p>
        </w:tc>
      </w:tr>
      <w:tr w:rsidR="00AE6B56" w:rsidRPr="00BF143E" w14:paraId="54A5E232" w14:textId="77777777" w:rsidTr="008778EE">
        <w:tblPrEx>
          <w:tblLook w:val="01E0" w:firstRow="1" w:lastRow="1" w:firstColumn="1" w:lastColumn="1" w:noHBand="0" w:noVBand="0"/>
        </w:tblPrEx>
        <w:trPr>
          <w:trHeight w:val="317"/>
        </w:trPr>
        <w:tc>
          <w:tcPr>
            <w:tcW w:w="479" w:type="pct"/>
            <w:vMerge/>
          </w:tcPr>
          <w:p w14:paraId="0D299950" w14:textId="77777777" w:rsidR="00AE6B56" w:rsidRPr="00BF143E" w:rsidRDefault="00AE6B56" w:rsidP="00F06B26">
            <w:pPr>
              <w:rPr>
                <w:rFonts w:asciiTheme="minorHAnsi" w:hAnsiTheme="minorHAnsi" w:cstheme="minorHAnsi"/>
                <w:lang w:val="lv-LV"/>
              </w:rPr>
            </w:pPr>
          </w:p>
        </w:tc>
        <w:tc>
          <w:tcPr>
            <w:tcW w:w="2022" w:type="pct"/>
          </w:tcPr>
          <w:p w14:paraId="0FEB4398" w14:textId="6C18156E" w:rsidR="00AE6B56" w:rsidRPr="00BF143E" w:rsidRDefault="00AE6B56" w:rsidP="00F06B26">
            <w:pPr>
              <w:jc w:val="both"/>
              <w:rPr>
                <w:rFonts w:asciiTheme="minorHAnsi" w:hAnsiTheme="minorHAnsi" w:cstheme="minorHAnsi"/>
                <w:lang w:val="lv-LV"/>
              </w:rPr>
            </w:pPr>
            <w:r w:rsidRPr="00BF143E">
              <w:rPr>
                <w:rFonts w:asciiTheme="minorHAnsi" w:hAnsiTheme="minorHAnsi" w:cstheme="minorHAnsi"/>
                <w:lang w:val="lv-LV"/>
              </w:rPr>
              <w:t>Piegādes adrese: Rīga, Lejupes iela 3</w:t>
            </w:r>
          </w:p>
        </w:tc>
        <w:tc>
          <w:tcPr>
            <w:tcW w:w="402" w:type="pct"/>
            <w:vMerge/>
          </w:tcPr>
          <w:p w14:paraId="4F8CD42B" w14:textId="77777777" w:rsidR="00AE6B56" w:rsidRPr="00BF143E" w:rsidRDefault="00AE6B56" w:rsidP="00F06B26">
            <w:pPr>
              <w:rPr>
                <w:rFonts w:asciiTheme="minorHAnsi" w:hAnsiTheme="minorHAnsi" w:cstheme="minorHAnsi"/>
                <w:lang w:val="lv-LV"/>
              </w:rPr>
            </w:pPr>
          </w:p>
        </w:tc>
        <w:tc>
          <w:tcPr>
            <w:tcW w:w="1675" w:type="pct"/>
          </w:tcPr>
          <w:p w14:paraId="68B44711" w14:textId="77777777" w:rsidR="00AE6B56" w:rsidRPr="00BF143E" w:rsidRDefault="00AE6B56" w:rsidP="00F06B26">
            <w:pPr>
              <w:rPr>
                <w:rFonts w:asciiTheme="minorHAnsi" w:hAnsiTheme="minorHAnsi" w:cstheme="minorHAnsi"/>
                <w:lang w:val="lv-LV"/>
              </w:rPr>
            </w:pPr>
          </w:p>
        </w:tc>
        <w:tc>
          <w:tcPr>
            <w:tcW w:w="422" w:type="pct"/>
            <w:vMerge/>
          </w:tcPr>
          <w:p w14:paraId="67174205" w14:textId="77777777" w:rsidR="00AE6B56" w:rsidRPr="00BF143E" w:rsidRDefault="00AE6B56" w:rsidP="00F06B26">
            <w:pPr>
              <w:rPr>
                <w:rFonts w:asciiTheme="minorHAnsi" w:hAnsiTheme="minorHAnsi" w:cstheme="minorHAnsi"/>
                <w:lang w:val="lv-LV"/>
              </w:rPr>
            </w:pPr>
          </w:p>
        </w:tc>
      </w:tr>
    </w:tbl>
    <w:p w14:paraId="5CE1D3A5" w14:textId="77777777" w:rsidR="00CB7552" w:rsidRPr="00CB7552" w:rsidRDefault="00CB7552" w:rsidP="00CB7552">
      <w:pPr>
        <w:widowControl/>
        <w:overflowPunct/>
        <w:autoSpaceDE/>
        <w:autoSpaceDN/>
        <w:adjustRightInd/>
        <w:rPr>
          <w:rFonts w:asciiTheme="minorHAnsi" w:hAnsiTheme="minorHAnsi"/>
          <w:sz w:val="22"/>
          <w:szCs w:val="22"/>
          <w:lang w:val="lv-LV"/>
        </w:rPr>
      </w:pPr>
      <w:bookmarkStart w:id="4" w:name="_Hlk75838324"/>
    </w:p>
    <w:p w14:paraId="1261F151" w14:textId="2BA6546B" w:rsidR="00CB7552" w:rsidRPr="00BF143E" w:rsidRDefault="00CB7552" w:rsidP="002729B1">
      <w:pPr>
        <w:widowControl/>
        <w:overflowPunct/>
        <w:autoSpaceDE/>
        <w:autoSpaceDN/>
        <w:adjustRightInd/>
        <w:rPr>
          <w:rFonts w:asciiTheme="minorHAnsi" w:hAnsiTheme="minorHAnsi"/>
          <w:sz w:val="22"/>
          <w:szCs w:val="22"/>
          <w:lang w:val="lv-LV"/>
        </w:rPr>
      </w:pPr>
      <w:r w:rsidRPr="00CB7552">
        <w:rPr>
          <w:rFonts w:asciiTheme="minorHAnsi" w:hAnsiTheme="minorHAnsi"/>
          <w:sz w:val="22"/>
          <w:szCs w:val="22"/>
          <w:lang w:val="lv-LV"/>
        </w:rPr>
        <w:t>*Norādītā cena ietver visas izmaksas, kas saistītas ar tehniskajai specifikācijai atbilstošas iekārtas piegādi, t.sk. uzstādīšanu, garantijas servisa nodrošināšanu, nodokļu, nodevu, transportēšanas u.c. izmaksas, kas nepieciešamas pakalpojuma pilnīgai un kvalitatīvai sniegšanai saskaņā ar iepirkuma nolikumu un tā pielikumiem.</w:t>
      </w:r>
      <w:bookmarkEnd w:id="4"/>
    </w:p>
    <w:sectPr w:rsidR="00CB7552" w:rsidRPr="00BF143E" w:rsidSect="006725C8">
      <w:pgSz w:w="16840" w:h="11900"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0797"/>
    <w:multiLevelType w:val="hybridMultilevel"/>
    <w:tmpl w:val="BCA810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F2784E"/>
    <w:multiLevelType w:val="hybridMultilevel"/>
    <w:tmpl w:val="1186A2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796446"/>
    <w:multiLevelType w:val="hybridMultilevel"/>
    <w:tmpl w:val="1526C1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B57120"/>
    <w:multiLevelType w:val="multilevel"/>
    <w:tmpl w:val="B96CDE02"/>
    <w:lvl w:ilvl="0">
      <w:start w:val="4"/>
      <w:numFmt w:val="decimal"/>
      <w:lvlText w:val="%1."/>
      <w:lvlJc w:val="left"/>
      <w:pPr>
        <w:ind w:left="1083" w:hanging="360"/>
      </w:pPr>
      <w:rPr>
        <w:rFonts w:hint="default"/>
      </w:rPr>
    </w:lvl>
    <w:lvl w:ilvl="1">
      <w:start w:val="1"/>
      <w:numFmt w:val="decimal"/>
      <w:isLgl/>
      <w:lvlText w:val="%1.%2."/>
      <w:lvlJc w:val="left"/>
      <w:pPr>
        <w:ind w:left="1083" w:hanging="360"/>
      </w:pPr>
      <w:rPr>
        <w:rFonts w:hint="default"/>
      </w:rPr>
    </w:lvl>
    <w:lvl w:ilvl="2">
      <w:start w:val="1"/>
      <w:numFmt w:val="decimal"/>
      <w:isLgl/>
      <w:lvlText w:val="%1.%2.%3."/>
      <w:lvlJc w:val="left"/>
      <w:pPr>
        <w:ind w:left="1443" w:hanging="720"/>
      </w:pPr>
      <w:rPr>
        <w:rFonts w:hint="default"/>
      </w:rPr>
    </w:lvl>
    <w:lvl w:ilvl="3">
      <w:start w:val="1"/>
      <w:numFmt w:val="decimal"/>
      <w:isLgl/>
      <w:lvlText w:val="%1.%2.%3.%4."/>
      <w:lvlJc w:val="left"/>
      <w:pPr>
        <w:ind w:left="1443" w:hanging="720"/>
      </w:pPr>
      <w:rPr>
        <w:rFonts w:hint="default"/>
      </w:rPr>
    </w:lvl>
    <w:lvl w:ilvl="4">
      <w:start w:val="1"/>
      <w:numFmt w:val="decimal"/>
      <w:isLgl/>
      <w:lvlText w:val="%1.%2.%3.%4.%5."/>
      <w:lvlJc w:val="left"/>
      <w:pPr>
        <w:ind w:left="1803" w:hanging="1080"/>
      </w:pPr>
      <w:rPr>
        <w:rFonts w:hint="default"/>
      </w:rPr>
    </w:lvl>
    <w:lvl w:ilvl="5">
      <w:start w:val="1"/>
      <w:numFmt w:val="decimal"/>
      <w:isLgl/>
      <w:lvlText w:val="%1.%2.%3.%4.%5.%6."/>
      <w:lvlJc w:val="left"/>
      <w:pPr>
        <w:ind w:left="1803" w:hanging="108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163" w:hanging="1440"/>
      </w:pPr>
      <w:rPr>
        <w:rFonts w:hint="default"/>
      </w:rPr>
    </w:lvl>
    <w:lvl w:ilvl="8">
      <w:start w:val="1"/>
      <w:numFmt w:val="decimal"/>
      <w:isLgl/>
      <w:lvlText w:val="%1.%2.%3.%4.%5.%6.%7.%8.%9."/>
      <w:lvlJc w:val="left"/>
      <w:pPr>
        <w:ind w:left="2523" w:hanging="1800"/>
      </w:pPr>
      <w:rPr>
        <w:rFonts w:hint="default"/>
      </w:rPr>
    </w:lvl>
  </w:abstractNum>
  <w:abstractNum w:abstractNumId="4" w15:restartNumberingAfterBreak="0">
    <w:nsid w:val="0BAB5CA1"/>
    <w:multiLevelType w:val="hybridMultilevel"/>
    <w:tmpl w:val="909E8600"/>
    <w:lvl w:ilvl="0" w:tplc="58A0604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E26A1"/>
    <w:multiLevelType w:val="hybridMultilevel"/>
    <w:tmpl w:val="67C210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5C14667"/>
    <w:multiLevelType w:val="hybridMultilevel"/>
    <w:tmpl w:val="3E3E5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F15F5"/>
    <w:multiLevelType w:val="hybridMultilevel"/>
    <w:tmpl w:val="B1523CBE"/>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D5D7254"/>
    <w:multiLevelType w:val="hybridMultilevel"/>
    <w:tmpl w:val="6388E148"/>
    <w:lvl w:ilvl="0" w:tplc="B2E800C8">
      <w:start w:val="3"/>
      <w:numFmt w:val="decimal"/>
      <w:lvlText w:val="%1."/>
      <w:lvlJc w:val="left"/>
      <w:pPr>
        <w:ind w:left="1083" w:hanging="360"/>
      </w:pPr>
      <w:rPr>
        <w:rFonts w:hint="default"/>
      </w:r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9" w15:restartNumberingAfterBreak="0">
    <w:nsid w:val="2EAF1AC5"/>
    <w:multiLevelType w:val="hybridMultilevel"/>
    <w:tmpl w:val="5832CD14"/>
    <w:lvl w:ilvl="0" w:tplc="0426000F">
      <w:start w:val="1"/>
      <w:numFmt w:val="decimal"/>
      <w:lvlText w:val="%1."/>
      <w:lvlJc w:val="lef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10" w15:restartNumberingAfterBreak="0">
    <w:nsid w:val="3DFE00FF"/>
    <w:multiLevelType w:val="hybridMultilevel"/>
    <w:tmpl w:val="3E3C01BA"/>
    <w:lvl w:ilvl="0" w:tplc="EBEE9D7C">
      <w:start w:val="5"/>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FFA65A5"/>
    <w:multiLevelType w:val="hybridMultilevel"/>
    <w:tmpl w:val="68DA0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67920AD"/>
    <w:multiLevelType w:val="hybridMultilevel"/>
    <w:tmpl w:val="AB64BA4A"/>
    <w:lvl w:ilvl="0" w:tplc="4D38AC4A">
      <w:start w:val="1"/>
      <w:numFmt w:val="decimal"/>
      <w:lvlText w:val="%1."/>
      <w:lvlJc w:val="left"/>
      <w:pPr>
        <w:ind w:left="1083" w:hanging="360"/>
      </w:pPr>
      <w:rPr>
        <w:rFonts w:hint="default"/>
        <w:u w:val="none"/>
      </w:rPr>
    </w:lvl>
    <w:lvl w:ilvl="1" w:tplc="04260019">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13" w15:restartNumberingAfterBreak="0">
    <w:nsid w:val="60240162"/>
    <w:multiLevelType w:val="hybridMultilevel"/>
    <w:tmpl w:val="82F2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7F1E61"/>
    <w:multiLevelType w:val="hybridMultilevel"/>
    <w:tmpl w:val="56427B5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79173FDC"/>
    <w:multiLevelType w:val="hybridMultilevel"/>
    <w:tmpl w:val="4906DD98"/>
    <w:lvl w:ilvl="0" w:tplc="04260001">
      <w:start w:val="1"/>
      <w:numFmt w:val="bullet"/>
      <w:lvlText w:val=""/>
      <w:lvlJc w:val="left"/>
      <w:pPr>
        <w:ind w:left="360" w:hanging="360"/>
      </w:pPr>
      <w:rPr>
        <w:rFonts w:ascii="Symbol" w:hAnsi="Symbol"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79DC50B5"/>
    <w:multiLevelType w:val="hybridMultilevel"/>
    <w:tmpl w:val="2D1836E0"/>
    <w:lvl w:ilvl="0" w:tplc="EAE4ACDE">
      <w:start w:val="4"/>
      <w:numFmt w:val="decimal"/>
      <w:lvlText w:val="%1."/>
      <w:lvlJc w:val="left"/>
      <w:pPr>
        <w:ind w:left="1443" w:hanging="360"/>
      </w:pPr>
      <w:rPr>
        <w:rFonts w:hint="default"/>
      </w:rPr>
    </w:lvl>
    <w:lvl w:ilvl="1" w:tplc="04260019">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17" w15:restartNumberingAfterBreak="0">
    <w:nsid w:val="7A4E550C"/>
    <w:multiLevelType w:val="hybridMultilevel"/>
    <w:tmpl w:val="82707D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7C8C6264"/>
    <w:multiLevelType w:val="multilevel"/>
    <w:tmpl w:val="B96CDE02"/>
    <w:lvl w:ilvl="0">
      <w:start w:val="4"/>
      <w:numFmt w:val="decimal"/>
      <w:lvlText w:val="%1."/>
      <w:lvlJc w:val="left"/>
      <w:pPr>
        <w:ind w:left="1083" w:hanging="360"/>
      </w:pPr>
      <w:rPr>
        <w:rFonts w:hint="default"/>
      </w:rPr>
    </w:lvl>
    <w:lvl w:ilvl="1">
      <w:start w:val="1"/>
      <w:numFmt w:val="decimal"/>
      <w:isLgl/>
      <w:lvlText w:val="%1.%2."/>
      <w:lvlJc w:val="left"/>
      <w:pPr>
        <w:ind w:left="1083" w:hanging="360"/>
      </w:pPr>
      <w:rPr>
        <w:rFonts w:hint="default"/>
      </w:rPr>
    </w:lvl>
    <w:lvl w:ilvl="2">
      <w:start w:val="1"/>
      <w:numFmt w:val="decimal"/>
      <w:isLgl/>
      <w:lvlText w:val="%1.%2.%3."/>
      <w:lvlJc w:val="left"/>
      <w:pPr>
        <w:ind w:left="1443" w:hanging="720"/>
      </w:pPr>
      <w:rPr>
        <w:rFonts w:hint="default"/>
      </w:rPr>
    </w:lvl>
    <w:lvl w:ilvl="3">
      <w:start w:val="1"/>
      <w:numFmt w:val="decimal"/>
      <w:isLgl/>
      <w:lvlText w:val="%1.%2.%3.%4."/>
      <w:lvlJc w:val="left"/>
      <w:pPr>
        <w:ind w:left="1443" w:hanging="720"/>
      </w:pPr>
      <w:rPr>
        <w:rFonts w:hint="default"/>
      </w:rPr>
    </w:lvl>
    <w:lvl w:ilvl="4">
      <w:start w:val="1"/>
      <w:numFmt w:val="decimal"/>
      <w:isLgl/>
      <w:lvlText w:val="%1.%2.%3.%4.%5."/>
      <w:lvlJc w:val="left"/>
      <w:pPr>
        <w:ind w:left="1803" w:hanging="1080"/>
      </w:pPr>
      <w:rPr>
        <w:rFonts w:hint="default"/>
      </w:rPr>
    </w:lvl>
    <w:lvl w:ilvl="5">
      <w:start w:val="1"/>
      <w:numFmt w:val="decimal"/>
      <w:isLgl/>
      <w:lvlText w:val="%1.%2.%3.%4.%5.%6."/>
      <w:lvlJc w:val="left"/>
      <w:pPr>
        <w:ind w:left="1803" w:hanging="108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163" w:hanging="1440"/>
      </w:pPr>
      <w:rPr>
        <w:rFonts w:hint="default"/>
      </w:rPr>
    </w:lvl>
    <w:lvl w:ilvl="8">
      <w:start w:val="1"/>
      <w:numFmt w:val="decimal"/>
      <w:isLgl/>
      <w:lvlText w:val="%1.%2.%3.%4.%5.%6.%7.%8.%9."/>
      <w:lvlJc w:val="left"/>
      <w:pPr>
        <w:ind w:left="2523" w:hanging="1800"/>
      </w:pPr>
      <w:rPr>
        <w:rFonts w:hint="default"/>
      </w:rPr>
    </w:lvl>
  </w:abstractNum>
  <w:abstractNum w:abstractNumId="19" w15:restartNumberingAfterBreak="0">
    <w:nsid w:val="7E4145A0"/>
    <w:multiLevelType w:val="hybridMultilevel"/>
    <w:tmpl w:val="A7C265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85676489">
    <w:abstractNumId w:val="4"/>
  </w:num>
  <w:num w:numId="2" w16cid:durableId="1656909152">
    <w:abstractNumId w:val="13"/>
  </w:num>
  <w:num w:numId="3" w16cid:durableId="2107537479">
    <w:abstractNumId w:val="14"/>
  </w:num>
  <w:num w:numId="4" w16cid:durableId="557321635">
    <w:abstractNumId w:val="15"/>
  </w:num>
  <w:num w:numId="5" w16cid:durableId="589046770">
    <w:abstractNumId w:val="2"/>
  </w:num>
  <w:num w:numId="6" w16cid:durableId="1203592179">
    <w:abstractNumId w:val="1"/>
  </w:num>
  <w:num w:numId="7" w16cid:durableId="1412047813">
    <w:abstractNumId w:val="0"/>
  </w:num>
  <w:num w:numId="8" w16cid:durableId="1342661387">
    <w:abstractNumId w:val="11"/>
  </w:num>
  <w:num w:numId="9" w16cid:durableId="1823503545">
    <w:abstractNumId w:val="19"/>
  </w:num>
  <w:num w:numId="10" w16cid:durableId="1232230461">
    <w:abstractNumId w:val="5"/>
  </w:num>
  <w:num w:numId="11" w16cid:durableId="1089816192">
    <w:abstractNumId w:val="9"/>
  </w:num>
  <w:num w:numId="12" w16cid:durableId="248272085">
    <w:abstractNumId w:val="8"/>
  </w:num>
  <w:num w:numId="13" w16cid:durableId="734201407">
    <w:abstractNumId w:val="18"/>
  </w:num>
  <w:num w:numId="14" w16cid:durableId="1150711544">
    <w:abstractNumId w:val="3"/>
  </w:num>
  <w:num w:numId="15" w16cid:durableId="2120028885">
    <w:abstractNumId w:val="12"/>
  </w:num>
  <w:num w:numId="16" w16cid:durableId="1430201586">
    <w:abstractNumId w:val="16"/>
  </w:num>
  <w:num w:numId="17" w16cid:durableId="1356887280">
    <w:abstractNumId w:val="17"/>
  </w:num>
  <w:num w:numId="18" w16cid:durableId="79717843">
    <w:abstractNumId w:val="6"/>
  </w:num>
  <w:num w:numId="19" w16cid:durableId="370347133">
    <w:abstractNumId w:val="7"/>
  </w:num>
  <w:num w:numId="20" w16cid:durableId="1238436369">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43"/>
    <w:rsid w:val="000058AA"/>
    <w:rsid w:val="000210ED"/>
    <w:rsid w:val="000253DB"/>
    <w:rsid w:val="00062AF5"/>
    <w:rsid w:val="000641D1"/>
    <w:rsid w:val="00091159"/>
    <w:rsid w:val="000C2CAE"/>
    <w:rsid w:val="000C381D"/>
    <w:rsid w:val="000D6FC0"/>
    <w:rsid w:val="000E72E2"/>
    <w:rsid w:val="000F2230"/>
    <w:rsid w:val="00103343"/>
    <w:rsid w:val="00112E0A"/>
    <w:rsid w:val="00120454"/>
    <w:rsid w:val="00124298"/>
    <w:rsid w:val="00124427"/>
    <w:rsid w:val="00124804"/>
    <w:rsid w:val="00140FEB"/>
    <w:rsid w:val="00174769"/>
    <w:rsid w:val="001C7723"/>
    <w:rsid w:val="001D2829"/>
    <w:rsid w:val="00203BC7"/>
    <w:rsid w:val="00231D9B"/>
    <w:rsid w:val="00232C71"/>
    <w:rsid w:val="002607DD"/>
    <w:rsid w:val="00263249"/>
    <w:rsid w:val="00263AAF"/>
    <w:rsid w:val="002729B1"/>
    <w:rsid w:val="002861B9"/>
    <w:rsid w:val="002B5C06"/>
    <w:rsid w:val="002C11CD"/>
    <w:rsid w:val="002D1885"/>
    <w:rsid w:val="002D5382"/>
    <w:rsid w:val="002E650B"/>
    <w:rsid w:val="002E72C5"/>
    <w:rsid w:val="002F2243"/>
    <w:rsid w:val="0032426B"/>
    <w:rsid w:val="00347176"/>
    <w:rsid w:val="00384B59"/>
    <w:rsid w:val="003910BD"/>
    <w:rsid w:val="00396399"/>
    <w:rsid w:val="003B7176"/>
    <w:rsid w:val="003C52C8"/>
    <w:rsid w:val="003E2549"/>
    <w:rsid w:val="003F16C3"/>
    <w:rsid w:val="00401BE7"/>
    <w:rsid w:val="00406B27"/>
    <w:rsid w:val="00412720"/>
    <w:rsid w:val="00413BDE"/>
    <w:rsid w:val="00441C3A"/>
    <w:rsid w:val="00453F36"/>
    <w:rsid w:val="00473C56"/>
    <w:rsid w:val="0047408B"/>
    <w:rsid w:val="00497962"/>
    <w:rsid w:val="004B6FAD"/>
    <w:rsid w:val="004C489A"/>
    <w:rsid w:val="004E2D6E"/>
    <w:rsid w:val="00522264"/>
    <w:rsid w:val="00522A73"/>
    <w:rsid w:val="005360F4"/>
    <w:rsid w:val="00537F98"/>
    <w:rsid w:val="0054686A"/>
    <w:rsid w:val="0056070A"/>
    <w:rsid w:val="00572513"/>
    <w:rsid w:val="00581DF2"/>
    <w:rsid w:val="00586457"/>
    <w:rsid w:val="005975D8"/>
    <w:rsid w:val="00597B1C"/>
    <w:rsid w:val="005C27F0"/>
    <w:rsid w:val="005C2938"/>
    <w:rsid w:val="005C64CA"/>
    <w:rsid w:val="005C79D1"/>
    <w:rsid w:val="005E7386"/>
    <w:rsid w:val="0061153C"/>
    <w:rsid w:val="0062429E"/>
    <w:rsid w:val="00625772"/>
    <w:rsid w:val="0063688B"/>
    <w:rsid w:val="00640000"/>
    <w:rsid w:val="0064244A"/>
    <w:rsid w:val="00663AA5"/>
    <w:rsid w:val="006725C5"/>
    <w:rsid w:val="006725C8"/>
    <w:rsid w:val="00675B6C"/>
    <w:rsid w:val="00676B88"/>
    <w:rsid w:val="006C2618"/>
    <w:rsid w:val="006D2164"/>
    <w:rsid w:val="006F3F3F"/>
    <w:rsid w:val="006F7197"/>
    <w:rsid w:val="0070077B"/>
    <w:rsid w:val="00702E75"/>
    <w:rsid w:val="007047FE"/>
    <w:rsid w:val="00713965"/>
    <w:rsid w:val="00732A53"/>
    <w:rsid w:val="00744288"/>
    <w:rsid w:val="007453E8"/>
    <w:rsid w:val="00762073"/>
    <w:rsid w:val="00770F1B"/>
    <w:rsid w:val="007A715C"/>
    <w:rsid w:val="007C1BFA"/>
    <w:rsid w:val="007C36AE"/>
    <w:rsid w:val="007C5ADA"/>
    <w:rsid w:val="007F007C"/>
    <w:rsid w:val="00814843"/>
    <w:rsid w:val="008208A6"/>
    <w:rsid w:val="00821F2E"/>
    <w:rsid w:val="0082249E"/>
    <w:rsid w:val="00824451"/>
    <w:rsid w:val="00824A28"/>
    <w:rsid w:val="00841035"/>
    <w:rsid w:val="0084306D"/>
    <w:rsid w:val="008703ED"/>
    <w:rsid w:val="008778EE"/>
    <w:rsid w:val="008B73A5"/>
    <w:rsid w:val="008D2B54"/>
    <w:rsid w:val="008E70CE"/>
    <w:rsid w:val="0090079C"/>
    <w:rsid w:val="00900B39"/>
    <w:rsid w:val="00901EDB"/>
    <w:rsid w:val="00940B03"/>
    <w:rsid w:val="0094480D"/>
    <w:rsid w:val="00952127"/>
    <w:rsid w:val="00956070"/>
    <w:rsid w:val="009560F3"/>
    <w:rsid w:val="00992CD3"/>
    <w:rsid w:val="009B37FC"/>
    <w:rsid w:val="009B6E80"/>
    <w:rsid w:val="009B70EF"/>
    <w:rsid w:val="009C3AD2"/>
    <w:rsid w:val="009D461D"/>
    <w:rsid w:val="009E1EA4"/>
    <w:rsid w:val="009E4627"/>
    <w:rsid w:val="009F3A9C"/>
    <w:rsid w:val="00A05013"/>
    <w:rsid w:val="00A13151"/>
    <w:rsid w:val="00A25D22"/>
    <w:rsid w:val="00A309E2"/>
    <w:rsid w:val="00A50B3E"/>
    <w:rsid w:val="00A7487A"/>
    <w:rsid w:val="00A9167D"/>
    <w:rsid w:val="00AB762D"/>
    <w:rsid w:val="00AB76F8"/>
    <w:rsid w:val="00AC0B4D"/>
    <w:rsid w:val="00AC28F4"/>
    <w:rsid w:val="00AD4FC7"/>
    <w:rsid w:val="00AD6D25"/>
    <w:rsid w:val="00AE3D42"/>
    <w:rsid w:val="00AE6B56"/>
    <w:rsid w:val="00AF3804"/>
    <w:rsid w:val="00B63F1E"/>
    <w:rsid w:val="00B70A27"/>
    <w:rsid w:val="00B77B1E"/>
    <w:rsid w:val="00B90D6E"/>
    <w:rsid w:val="00B92227"/>
    <w:rsid w:val="00BA0F97"/>
    <w:rsid w:val="00BC11F2"/>
    <w:rsid w:val="00BC429E"/>
    <w:rsid w:val="00BF143E"/>
    <w:rsid w:val="00BF2594"/>
    <w:rsid w:val="00BF6EC8"/>
    <w:rsid w:val="00C0183A"/>
    <w:rsid w:val="00C13E94"/>
    <w:rsid w:val="00C25456"/>
    <w:rsid w:val="00C450C6"/>
    <w:rsid w:val="00C53569"/>
    <w:rsid w:val="00C54BFF"/>
    <w:rsid w:val="00C703B7"/>
    <w:rsid w:val="00C80576"/>
    <w:rsid w:val="00C86AE0"/>
    <w:rsid w:val="00C970E3"/>
    <w:rsid w:val="00CB7552"/>
    <w:rsid w:val="00CC534E"/>
    <w:rsid w:val="00CF2833"/>
    <w:rsid w:val="00D026C7"/>
    <w:rsid w:val="00D15F18"/>
    <w:rsid w:val="00D34638"/>
    <w:rsid w:val="00D474CF"/>
    <w:rsid w:val="00D516D9"/>
    <w:rsid w:val="00D72075"/>
    <w:rsid w:val="00D92556"/>
    <w:rsid w:val="00DA10E4"/>
    <w:rsid w:val="00DB110B"/>
    <w:rsid w:val="00DC3D26"/>
    <w:rsid w:val="00DD52F6"/>
    <w:rsid w:val="00DE456B"/>
    <w:rsid w:val="00DE6E05"/>
    <w:rsid w:val="00DF3A33"/>
    <w:rsid w:val="00DF70BD"/>
    <w:rsid w:val="00E05E91"/>
    <w:rsid w:val="00E50C2C"/>
    <w:rsid w:val="00E547EF"/>
    <w:rsid w:val="00E65147"/>
    <w:rsid w:val="00E92B1C"/>
    <w:rsid w:val="00E945E3"/>
    <w:rsid w:val="00EC707C"/>
    <w:rsid w:val="00F04097"/>
    <w:rsid w:val="00F06B26"/>
    <w:rsid w:val="00F169E0"/>
    <w:rsid w:val="00F322E0"/>
    <w:rsid w:val="00F51779"/>
    <w:rsid w:val="00F73D24"/>
    <w:rsid w:val="00F74D98"/>
    <w:rsid w:val="00F86E15"/>
    <w:rsid w:val="00F902CF"/>
    <w:rsid w:val="00F9175F"/>
    <w:rsid w:val="00F96FCA"/>
    <w:rsid w:val="00FA4CD0"/>
    <w:rsid w:val="00FB3D0E"/>
    <w:rsid w:val="00FB3F04"/>
    <w:rsid w:val="00FB6439"/>
    <w:rsid w:val="00FC057C"/>
    <w:rsid w:val="00FC438D"/>
    <w:rsid w:val="00FD16DB"/>
    <w:rsid w:val="00FE4240"/>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F676"/>
  <w15:docId w15:val="{CECDAB77-E1EE-423B-9382-C34268DC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AF5"/>
    <w:pPr>
      <w:widowControl w:val="0"/>
      <w:overflowPunct w:val="0"/>
      <w:autoSpaceDE w:val="0"/>
      <w:autoSpaceDN w:val="0"/>
      <w:adjustRightInd w:val="0"/>
    </w:pPr>
    <w:rPr>
      <w:rFonts w:ascii="Times New Roman" w:eastAsia="Times New Roman" w:hAnsi="Times New Roman" w:cs="Times New Roman"/>
      <w:kern w:val="28"/>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14843"/>
    <w:rPr>
      <w:sz w:val="16"/>
      <w:szCs w:val="16"/>
    </w:rPr>
  </w:style>
  <w:style w:type="paragraph" w:styleId="CommentText">
    <w:name w:val="annotation text"/>
    <w:basedOn w:val="Normal"/>
    <w:link w:val="CommentTextChar"/>
    <w:uiPriority w:val="99"/>
    <w:semiHidden/>
    <w:unhideWhenUsed/>
    <w:rsid w:val="00814843"/>
  </w:style>
  <w:style w:type="character" w:customStyle="1" w:styleId="CommentTextChar">
    <w:name w:val="Comment Text Char"/>
    <w:basedOn w:val="DefaultParagraphFont"/>
    <w:link w:val="CommentText"/>
    <w:uiPriority w:val="99"/>
    <w:semiHidden/>
    <w:rsid w:val="00814843"/>
    <w:rPr>
      <w:rFonts w:ascii="Times New Roman" w:eastAsia="Times New Roman" w:hAnsi="Times New Roman" w:cs="Times New Roman"/>
      <w:kern w:val="28"/>
      <w:sz w:val="20"/>
      <w:szCs w:val="20"/>
      <w:lang w:eastAsia="lv-LV"/>
    </w:rPr>
  </w:style>
  <w:style w:type="paragraph" w:styleId="BalloonText">
    <w:name w:val="Balloon Text"/>
    <w:basedOn w:val="Normal"/>
    <w:link w:val="BalloonTextChar"/>
    <w:uiPriority w:val="99"/>
    <w:semiHidden/>
    <w:unhideWhenUsed/>
    <w:rsid w:val="00814843"/>
    <w:rPr>
      <w:sz w:val="18"/>
      <w:szCs w:val="18"/>
    </w:rPr>
  </w:style>
  <w:style w:type="character" w:customStyle="1" w:styleId="BalloonTextChar">
    <w:name w:val="Balloon Text Char"/>
    <w:basedOn w:val="DefaultParagraphFont"/>
    <w:link w:val="BalloonText"/>
    <w:uiPriority w:val="99"/>
    <w:semiHidden/>
    <w:rsid w:val="00814843"/>
    <w:rPr>
      <w:rFonts w:ascii="Times New Roman" w:eastAsia="Times New Roman" w:hAnsi="Times New Roman" w:cs="Times New Roman"/>
      <w:kern w:val="28"/>
      <w:sz w:val="18"/>
      <w:szCs w:val="18"/>
      <w:lang w:eastAsia="lv-LV"/>
    </w:rPr>
  </w:style>
  <w:style w:type="paragraph" w:styleId="ListParagraph">
    <w:name w:val="List Paragraph"/>
    <w:aliases w:val="Saistīto dokumentu saraksts,Strip,H&amp;P List Paragraph,Normal bullet 2,Bullet list,Colorful List - Accent 12,Syle 1,2,Saraksta rindkopa,Numurets,Colorful List - Accent 11,PPS_Bullet,Virsraksti,Table of contents numbered,Citation List,Dot pt"/>
    <w:basedOn w:val="Normal"/>
    <w:link w:val="ListParagraphChar"/>
    <w:uiPriority w:val="34"/>
    <w:qFormat/>
    <w:rsid w:val="00E547EF"/>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lang w:val="lv-LV" w:eastAsia="en-US"/>
    </w:rPr>
  </w:style>
  <w:style w:type="paragraph" w:styleId="CommentSubject">
    <w:name w:val="annotation subject"/>
    <w:basedOn w:val="CommentText"/>
    <w:next w:val="CommentText"/>
    <w:link w:val="CommentSubjectChar"/>
    <w:uiPriority w:val="99"/>
    <w:semiHidden/>
    <w:unhideWhenUsed/>
    <w:rsid w:val="004C489A"/>
    <w:rPr>
      <w:b/>
      <w:bCs/>
    </w:rPr>
  </w:style>
  <w:style w:type="character" w:customStyle="1" w:styleId="CommentSubjectChar">
    <w:name w:val="Comment Subject Char"/>
    <w:basedOn w:val="CommentTextChar"/>
    <w:link w:val="CommentSubject"/>
    <w:uiPriority w:val="99"/>
    <w:semiHidden/>
    <w:rsid w:val="004C489A"/>
    <w:rPr>
      <w:rFonts w:ascii="Times New Roman" w:eastAsia="Times New Roman" w:hAnsi="Times New Roman" w:cs="Times New Roman"/>
      <w:b/>
      <w:bCs/>
      <w:kern w:val="28"/>
      <w:sz w:val="20"/>
      <w:szCs w:val="20"/>
      <w:lang w:eastAsia="lv-LV"/>
    </w:rPr>
  </w:style>
  <w:style w:type="paragraph" w:styleId="Revision">
    <w:name w:val="Revision"/>
    <w:hidden/>
    <w:uiPriority w:val="99"/>
    <w:semiHidden/>
    <w:rsid w:val="00BF6EC8"/>
    <w:rPr>
      <w:rFonts w:ascii="Times New Roman" w:eastAsia="Times New Roman" w:hAnsi="Times New Roman" w:cs="Times New Roman"/>
      <w:kern w:val="28"/>
      <w:sz w:val="20"/>
      <w:szCs w:val="20"/>
      <w:lang w:eastAsia="lv-LV"/>
    </w:rPr>
  </w:style>
  <w:style w:type="character" w:customStyle="1" w:styleId="rynqvb">
    <w:name w:val="rynqvb"/>
    <w:basedOn w:val="DefaultParagraphFont"/>
    <w:rsid w:val="0064244A"/>
  </w:style>
  <w:style w:type="character" w:customStyle="1" w:styleId="ListParagraphChar">
    <w:name w:val="List Paragraph Char"/>
    <w:aliases w:val="Saistīto dokumentu saraksts Char,Strip Char,H&amp;P List Paragraph Char,Normal bullet 2 Char,Bullet list Char,Colorful List - Accent 12 Char,Syle 1 Char,2 Char,Saraksta rindkopa Char,Numurets Char,Colorful List - Accent 11 Char"/>
    <w:link w:val="ListParagraph"/>
    <w:uiPriority w:val="34"/>
    <w:qFormat/>
    <w:locked/>
    <w:rsid w:val="003C52C8"/>
    <w:rPr>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9615">
      <w:bodyDiv w:val="1"/>
      <w:marLeft w:val="0"/>
      <w:marRight w:val="0"/>
      <w:marTop w:val="0"/>
      <w:marBottom w:val="0"/>
      <w:divBdr>
        <w:top w:val="none" w:sz="0" w:space="0" w:color="auto"/>
        <w:left w:val="none" w:sz="0" w:space="0" w:color="auto"/>
        <w:bottom w:val="none" w:sz="0" w:space="0" w:color="auto"/>
        <w:right w:val="none" w:sz="0" w:space="0" w:color="auto"/>
      </w:divBdr>
    </w:div>
    <w:div w:id="114373936">
      <w:bodyDiv w:val="1"/>
      <w:marLeft w:val="0"/>
      <w:marRight w:val="0"/>
      <w:marTop w:val="0"/>
      <w:marBottom w:val="0"/>
      <w:divBdr>
        <w:top w:val="none" w:sz="0" w:space="0" w:color="auto"/>
        <w:left w:val="none" w:sz="0" w:space="0" w:color="auto"/>
        <w:bottom w:val="none" w:sz="0" w:space="0" w:color="auto"/>
        <w:right w:val="none" w:sz="0" w:space="0" w:color="auto"/>
      </w:divBdr>
    </w:div>
    <w:div w:id="249629482">
      <w:bodyDiv w:val="1"/>
      <w:marLeft w:val="0"/>
      <w:marRight w:val="0"/>
      <w:marTop w:val="0"/>
      <w:marBottom w:val="0"/>
      <w:divBdr>
        <w:top w:val="none" w:sz="0" w:space="0" w:color="auto"/>
        <w:left w:val="none" w:sz="0" w:space="0" w:color="auto"/>
        <w:bottom w:val="none" w:sz="0" w:space="0" w:color="auto"/>
        <w:right w:val="none" w:sz="0" w:space="0" w:color="auto"/>
      </w:divBdr>
    </w:div>
    <w:div w:id="398019584">
      <w:bodyDiv w:val="1"/>
      <w:marLeft w:val="0"/>
      <w:marRight w:val="0"/>
      <w:marTop w:val="0"/>
      <w:marBottom w:val="0"/>
      <w:divBdr>
        <w:top w:val="none" w:sz="0" w:space="0" w:color="auto"/>
        <w:left w:val="none" w:sz="0" w:space="0" w:color="auto"/>
        <w:bottom w:val="none" w:sz="0" w:space="0" w:color="auto"/>
        <w:right w:val="none" w:sz="0" w:space="0" w:color="auto"/>
      </w:divBdr>
    </w:div>
    <w:div w:id="524097872">
      <w:bodyDiv w:val="1"/>
      <w:marLeft w:val="0"/>
      <w:marRight w:val="0"/>
      <w:marTop w:val="0"/>
      <w:marBottom w:val="0"/>
      <w:divBdr>
        <w:top w:val="none" w:sz="0" w:space="0" w:color="auto"/>
        <w:left w:val="none" w:sz="0" w:space="0" w:color="auto"/>
        <w:bottom w:val="none" w:sz="0" w:space="0" w:color="auto"/>
        <w:right w:val="none" w:sz="0" w:space="0" w:color="auto"/>
      </w:divBdr>
    </w:div>
    <w:div w:id="650327228">
      <w:bodyDiv w:val="1"/>
      <w:marLeft w:val="0"/>
      <w:marRight w:val="0"/>
      <w:marTop w:val="0"/>
      <w:marBottom w:val="0"/>
      <w:divBdr>
        <w:top w:val="none" w:sz="0" w:space="0" w:color="auto"/>
        <w:left w:val="none" w:sz="0" w:space="0" w:color="auto"/>
        <w:bottom w:val="none" w:sz="0" w:space="0" w:color="auto"/>
        <w:right w:val="none" w:sz="0" w:space="0" w:color="auto"/>
      </w:divBdr>
    </w:div>
    <w:div w:id="878589303">
      <w:bodyDiv w:val="1"/>
      <w:marLeft w:val="0"/>
      <w:marRight w:val="0"/>
      <w:marTop w:val="0"/>
      <w:marBottom w:val="0"/>
      <w:divBdr>
        <w:top w:val="none" w:sz="0" w:space="0" w:color="auto"/>
        <w:left w:val="none" w:sz="0" w:space="0" w:color="auto"/>
        <w:bottom w:val="none" w:sz="0" w:space="0" w:color="auto"/>
        <w:right w:val="none" w:sz="0" w:space="0" w:color="auto"/>
      </w:divBdr>
    </w:div>
    <w:div w:id="916941920">
      <w:bodyDiv w:val="1"/>
      <w:marLeft w:val="0"/>
      <w:marRight w:val="0"/>
      <w:marTop w:val="0"/>
      <w:marBottom w:val="0"/>
      <w:divBdr>
        <w:top w:val="none" w:sz="0" w:space="0" w:color="auto"/>
        <w:left w:val="none" w:sz="0" w:space="0" w:color="auto"/>
        <w:bottom w:val="none" w:sz="0" w:space="0" w:color="auto"/>
        <w:right w:val="none" w:sz="0" w:space="0" w:color="auto"/>
      </w:divBdr>
    </w:div>
    <w:div w:id="1051000901">
      <w:bodyDiv w:val="1"/>
      <w:marLeft w:val="0"/>
      <w:marRight w:val="0"/>
      <w:marTop w:val="0"/>
      <w:marBottom w:val="0"/>
      <w:divBdr>
        <w:top w:val="none" w:sz="0" w:space="0" w:color="auto"/>
        <w:left w:val="none" w:sz="0" w:space="0" w:color="auto"/>
        <w:bottom w:val="none" w:sz="0" w:space="0" w:color="auto"/>
        <w:right w:val="none" w:sz="0" w:space="0" w:color="auto"/>
      </w:divBdr>
    </w:div>
    <w:div w:id="1391466955">
      <w:bodyDiv w:val="1"/>
      <w:marLeft w:val="0"/>
      <w:marRight w:val="0"/>
      <w:marTop w:val="0"/>
      <w:marBottom w:val="0"/>
      <w:divBdr>
        <w:top w:val="none" w:sz="0" w:space="0" w:color="auto"/>
        <w:left w:val="none" w:sz="0" w:space="0" w:color="auto"/>
        <w:bottom w:val="none" w:sz="0" w:space="0" w:color="auto"/>
        <w:right w:val="none" w:sz="0" w:space="0" w:color="auto"/>
      </w:divBdr>
    </w:div>
    <w:div w:id="1520192838">
      <w:bodyDiv w:val="1"/>
      <w:marLeft w:val="0"/>
      <w:marRight w:val="0"/>
      <w:marTop w:val="0"/>
      <w:marBottom w:val="0"/>
      <w:divBdr>
        <w:top w:val="none" w:sz="0" w:space="0" w:color="auto"/>
        <w:left w:val="none" w:sz="0" w:space="0" w:color="auto"/>
        <w:bottom w:val="none" w:sz="0" w:space="0" w:color="auto"/>
        <w:right w:val="none" w:sz="0" w:space="0" w:color="auto"/>
      </w:divBdr>
    </w:div>
    <w:div w:id="1621569609">
      <w:bodyDiv w:val="1"/>
      <w:marLeft w:val="0"/>
      <w:marRight w:val="0"/>
      <w:marTop w:val="0"/>
      <w:marBottom w:val="0"/>
      <w:divBdr>
        <w:top w:val="none" w:sz="0" w:space="0" w:color="auto"/>
        <w:left w:val="none" w:sz="0" w:space="0" w:color="auto"/>
        <w:bottom w:val="none" w:sz="0" w:space="0" w:color="auto"/>
        <w:right w:val="none" w:sz="0" w:space="0" w:color="auto"/>
      </w:divBdr>
    </w:div>
    <w:div w:id="1628467143">
      <w:bodyDiv w:val="1"/>
      <w:marLeft w:val="0"/>
      <w:marRight w:val="0"/>
      <w:marTop w:val="0"/>
      <w:marBottom w:val="0"/>
      <w:divBdr>
        <w:top w:val="none" w:sz="0" w:space="0" w:color="auto"/>
        <w:left w:val="none" w:sz="0" w:space="0" w:color="auto"/>
        <w:bottom w:val="none" w:sz="0" w:space="0" w:color="auto"/>
        <w:right w:val="none" w:sz="0" w:space="0" w:color="auto"/>
      </w:divBdr>
    </w:div>
    <w:div w:id="1647315685">
      <w:bodyDiv w:val="1"/>
      <w:marLeft w:val="0"/>
      <w:marRight w:val="0"/>
      <w:marTop w:val="0"/>
      <w:marBottom w:val="0"/>
      <w:divBdr>
        <w:top w:val="none" w:sz="0" w:space="0" w:color="auto"/>
        <w:left w:val="none" w:sz="0" w:space="0" w:color="auto"/>
        <w:bottom w:val="none" w:sz="0" w:space="0" w:color="auto"/>
        <w:right w:val="none" w:sz="0" w:space="0" w:color="auto"/>
      </w:divBdr>
    </w:div>
    <w:div w:id="1758749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F62F1-A54B-4C15-A126-22C1E7BA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1484</Words>
  <Characters>847</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TS</vt: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dc:title>
  <dc:subject/>
  <dc:creator>Bior</dc:creator>
  <cp:keywords/>
  <dc:description/>
  <cp:lastModifiedBy>Kristīne Rūmniece-Pakule</cp:lastModifiedBy>
  <cp:revision>32</cp:revision>
  <cp:lastPrinted>2025-11-13T11:48:00Z</cp:lastPrinted>
  <dcterms:created xsi:type="dcterms:W3CDTF">2025-07-01T09:40:00Z</dcterms:created>
  <dcterms:modified xsi:type="dcterms:W3CDTF">2025-11-19T12:46:00Z</dcterms:modified>
</cp:coreProperties>
</file>