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236E" w14:textId="77777777" w:rsidR="00D33272" w:rsidRDefault="00D33272" w:rsidP="00D33272">
      <w:pPr>
        <w:pStyle w:val="ListParagraph"/>
        <w:ind w:left="426"/>
        <w:jc w:val="right"/>
        <w:rPr>
          <w:bCs/>
          <w:sz w:val="20"/>
          <w:szCs w:val="20"/>
        </w:rPr>
      </w:pPr>
      <w:bookmarkStart w:id="0" w:name="OLE_LINK1"/>
      <w:bookmarkStart w:id="1" w:name="_Hlk155709169"/>
      <w:r>
        <w:rPr>
          <w:bCs/>
          <w:sz w:val="20"/>
          <w:szCs w:val="20"/>
        </w:rPr>
        <w:t>Pārtikas drošības, dzīvnieku veselības un vides zinātniskā institūta “BIOR”</w:t>
      </w:r>
    </w:p>
    <w:p w14:paraId="5D96F5F2" w14:textId="77777777" w:rsidR="00D33272" w:rsidRDefault="00D33272" w:rsidP="00D33272">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03662D98" w14:textId="77777777" w:rsidR="00D33272" w:rsidRDefault="00D33272" w:rsidP="00D33272">
      <w:pPr>
        <w:pStyle w:val="ListParagraph"/>
        <w:ind w:left="426"/>
        <w:jc w:val="right"/>
        <w:rPr>
          <w:bCs/>
          <w:sz w:val="20"/>
          <w:szCs w:val="20"/>
        </w:rPr>
      </w:pPr>
      <w:r>
        <w:rPr>
          <w:bCs/>
          <w:sz w:val="20"/>
          <w:szCs w:val="20"/>
        </w:rPr>
        <w:t>(ID. Nr. BIOR 2025/48/AK) nolikuma</w:t>
      </w:r>
    </w:p>
    <w:bookmarkEnd w:id="1"/>
    <w:p w14:paraId="01EFCA2F" w14:textId="77777777" w:rsidR="00D33272" w:rsidRDefault="00D33272" w:rsidP="00D33272">
      <w:pPr>
        <w:pStyle w:val="ListParagraph"/>
        <w:ind w:left="426"/>
        <w:jc w:val="right"/>
        <w:rPr>
          <w:bCs/>
          <w:sz w:val="20"/>
          <w:szCs w:val="20"/>
        </w:rPr>
      </w:pPr>
      <w:r>
        <w:rPr>
          <w:bCs/>
          <w:sz w:val="20"/>
          <w:szCs w:val="20"/>
        </w:rPr>
        <w:t>2. pielikums</w:t>
      </w:r>
    </w:p>
    <w:p w14:paraId="672C15C2" w14:textId="77777777" w:rsidR="00D33272" w:rsidRDefault="00D33272" w:rsidP="00D33272">
      <w:pPr>
        <w:pStyle w:val="ListParagraph"/>
        <w:ind w:left="426"/>
        <w:jc w:val="right"/>
        <w:rPr>
          <w:bCs/>
          <w:sz w:val="20"/>
          <w:szCs w:val="20"/>
        </w:rPr>
      </w:pPr>
    </w:p>
    <w:p w14:paraId="214BA586" w14:textId="77777777" w:rsidR="00D33272" w:rsidRDefault="00D33272" w:rsidP="00D33272">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6E19BB53" w14:textId="77777777" w:rsidR="00D33272" w:rsidRDefault="00D33272" w:rsidP="00D33272">
      <w:pPr>
        <w:widowControl/>
        <w:overflowPunct/>
        <w:autoSpaceDE/>
        <w:adjustRightInd/>
        <w:spacing w:before="120" w:after="120"/>
        <w:jc w:val="center"/>
        <w:rPr>
          <w:rFonts w:asciiTheme="minorHAnsi" w:hAnsiTheme="minorHAnsi" w:cstheme="minorHAnsi"/>
          <w:b/>
          <w:bCs/>
          <w:caps/>
          <w:kern w:val="0"/>
          <w:sz w:val="22"/>
          <w:szCs w:val="22"/>
          <w:lang w:val="lv-LV" w:eastAsia="en-US"/>
        </w:rPr>
      </w:pPr>
    </w:p>
    <w:p w14:paraId="58D459CE" w14:textId="77777777" w:rsidR="00365664" w:rsidRPr="00365664" w:rsidRDefault="00365664" w:rsidP="00365664">
      <w:pPr>
        <w:widowControl/>
        <w:overflowPunct/>
        <w:autoSpaceDE/>
        <w:autoSpaceDN/>
        <w:adjustRightInd/>
        <w:spacing w:before="120" w:after="120"/>
        <w:jc w:val="center"/>
        <w:rPr>
          <w:rFonts w:asciiTheme="minorHAnsi" w:hAnsiTheme="minorHAnsi" w:cstheme="minorHAnsi"/>
          <w:b/>
          <w:bCs/>
          <w:caps/>
          <w:kern w:val="0"/>
          <w:sz w:val="22"/>
          <w:szCs w:val="22"/>
          <w:lang w:val="pl-PL" w:eastAsia="en-US"/>
        </w:rPr>
      </w:pPr>
      <w:r w:rsidRPr="00365664">
        <w:rPr>
          <w:rFonts w:asciiTheme="minorHAnsi" w:hAnsiTheme="minorHAnsi" w:cstheme="minorHAnsi"/>
          <w:b/>
          <w:bCs/>
          <w:caps/>
          <w:kern w:val="0"/>
          <w:sz w:val="22"/>
          <w:szCs w:val="22"/>
          <w:lang w:val="pl-PL" w:eastAsia="en-US"/>
        </w:rPr>
        <w:t>tehniskā specifikācija / tehniskais un finanšu piedāvājums</w:t>
      </w:r>
    </w:p>
    <w:p w14:paraId="422B0DF1" w14:textId="683270A6" w:rsidR="0057724C" w:rsidRDefault="00D56FE3" w:rsidP="0057724C">
      <w:pPr>
        <w:jc w:val="center"/>
        <w:rPr>
          <w:rFonts w:asciiTheme="minorHAnsi" w:hAnsiTheme="minorHAnsi"/>
          <w:b/>
          <w:bCs/>
          <w:caps/>
          <w:sz w:val="22"/>
          <w:szCs w:val="22"/>
          <w:lang w:val="lv-LV"/>
        </w:rPr>
      </w:pPr>
      <w:r>
        <w:rPr>
          <w:rFonts w:asciiTheme="minorHAnsi" w:hAnsiTheme="minorHAnsi"/>
          <w:b/>
          <w:bCs/>
          <w:caps/>
          <w:sz w:val="22"/>
          <w:szCs w:val="22"/>
          <w:lang w:val="lv-LV"/>
        </w:rPr>
        <w:t xml:space="preserve">17. </w:t>
      </w:r>
      <w:r w:rsidR="0057724C">
        <w:rPr>
          <w:rFonts w:asciiTheme="minorHAnsi" w:hAnsiTheme="minorHAnsi"/>
          <w:b/>
          <w:bCs/>
          <w:caps/>
          <w:sz w:val="22"/>
          <w:szCs w:val="22"/>
          <w:lang w:val="lv-LV"/>
        </w:rPr>
        <w:t>daļa</w:t>
      </w:r>
      <w:r>
        <w:rPr>
          <w:rFonts w:asciiTheme="minorHAnsi" w:hAnsiTheme="minorHAnsi"/>
          <w:b/>
          <w:bCs/>
          <w:caps/>
          <w:sz w:val="22"/>
          <w:szCs w:val="22"/>
          <w:lang w:val="lv-LV"/>
        </w:rPr>
        <w:t xml:space="preserve"> “automātiskās pipetes”</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4796"/>
        <w:gridCol w:w="1173"/>
        <w:gridCol w:w="4337"/>
        <w:gridCol w:w="1156"/>
        <w:gridCol w:w="1296"/>
      </w:tblGrid>
      <w:tr w:rsidR="00786582" w:rsidRPr="00CC308A" w14:paraId="3ED2CE19" w14:textId="3D44059F" w:rsidTr="009D0644">
        <w:trPr>
          <w:trHeight w:val="715"/>
          <w:tblHeader/>
          <w:jc w:val="center"/>
        </w:trPr>
        <w:tc>
          <w:tcPr>
            <w:tcW w:w="2211" w:type="pct"/>
            <w:gridSpan w:val="2"/>
            <w:tcBorders>
              <w:top w:val="single" w:sz="4" w:space="0" w:color="auto"/>
              <w:left w:val="single" w:sz="4" w:space="0" w:color="auto"/>
              <w:bottom w:val="single" w:sz="4" w:space="0" w:color="auto"/>
              <w:right w:val="single" w:sz="4" w:space="0" w:color="auto"/>
            </w:tcBorders>
            <w:vAlign w:val="center"/>
            <w:hideMark/>
          </w:tcPr>
          <w:p w14:paraId="479E6FCC" w14:textId="47E931FA" w:rsidR="00081F14" w:rsidRPr="00CC308A" w:rsidRDefault="00081F14" w:rsidP="00081F14">
            <w:pPr>
              <w:spacing w:line="256" w:lineRule="auto"/>
              <w:jc w:val="center"/>
              <w:rPr>
                <w:rFonts w:asciiTheme="minorHAnsi" w:hAnsiTheme="minorHAnsi" w:cstheme="minorHAnsi"/>
                <w:b/>
                <w:sz w:val="22"/>
                <w:szCs w:val="22"/>
                <w:lang w:val="lv-LV" w:eastAsia="en-US"/>
              </w:rPr>
            </w:pPr>
            <w:r w:rsidRPr="00CC308A">
              <w:rPr>
                <w:rFonts w:asciiTheme="minorHAnsi" w:hAnsiTheme="minorHAnsi" w:cstheme="minorHAnsi"/>
                <w:b/>
                <w:sz w:val="22"/>
                <w:szCs w:val="22"/>
                <w:lang w:val="lv-LV"/>
              </w:rPr>
              <w:t>Tehniskā specifikācija</w:t>
            </w:r>
          </w:p>
        </w:tc>
        <w:tc>
          <w:tcPr>
            <w:tcW w:w="411" w:type="pct"/>
            <w:tcBorders>
              <w:top w:val="single" w:sz="4" w:space="0" w:color="auto"/>
              <w:left w:val="single" w:sz="4" w:space="0" w:color="auto"/>
              <w:bottom w:val="single" w:sz="4" w:space="0" w:color="auto"/>
              <w:right w:val="single" w:sz="4" w:space="0" w:color="auto"/>
            </w:tcBorders>
            <w:vAlign w:val="center"/>
            <w:hideMark/>
          </w:tcPr>
          <w:p w14:paraId="2433B044" w14:textId="221613A1" w:rsidR="00081F14" w:rsidRPr="00CC308A" w:rsidRDefault="00081F14" w:rsidP="00081F14">
            <w:pPr>
              <w:spacing w:line="256" w:lineRule="auto"/>
              <w:jc w:val="center"/>
              <w:rPr>
                <w:rFonts w:asciiTheme="minorHAnsi" w:hAnsiTheme="minorHAnsi" w:cstheme="minorHAnsi"/>
                <w:b/>
                <w:sz w:val="22"/>
                <w:szCs w:val="22"/>
                <w:lang w:val="lv-LV" w:eastAsia="en-US"/>
              </w:rPr>
            </w:pPr>
            <w:r w:rsidRPr="00CC308A">
              <w:rPr>
                <w:rFonts w:asciiTheme="minorHAnsi" w:hAnsiTheme="minorHAnsi" w:cstheme="minorHAnsi"/>
                <w:b/>
                <w:sz w:val="22"/>
                <w:szCs w:val="22"/>
                <w:lang w:val="lv-LV"/>
              </w:rPr>
              <w:t>Daudzums</w:t>
            </w:r>
          </w:p>
        </w:tc>
        <w:tc>
          <w:tcPr>
            <w:tcW w:w="1519" w:type="pct"/>
            <w:tcBorders>
              <w:top w:val="single" w:sz="4" w:space="0" w:color="auto"/>
              <w:left w:val="single" w:sz="4" w:space="0" w:color="auto"/>
              <w:bottom w:val="single" w:sz="4" w:space="0" w:color="auto"/>
              <w:right w:val="single" w:sz="4" w:space="0" w:color="auto"/>
            </w:tcBorders>
            <w:vAlign w:val="center"/>
            <w:hideMark/>
          </w:tcPr>
          <w:p w14:paraId="2EBE5F2F" w14:textId="77777777" w:rsidR="00081F14" w:rsidRPr="00CC308A" w:rsidRDefault="00081F14" w:rsidP="00081F14">
            <w:pPr>
              <w:widowControl/>
              <w:overflowPunct/>
              <w:autoSpaceDE/>
              <w:autoSpaceDN/>
              <w:adjustRightInd/>
              <w:spacing w:line="259" w:lineRule="auto"/>
              <w:jc w:val="center"/>
              <w:rPr>
                <w:rFonts w:asciiTheme="minorHAnsi" w:hAnsiTheme="minorHAnsi" w:cstheme="minorHAnsi"/>
                <w:b/>
                <w:sz w:val="22"/>
                <w:szCs w:val="22"/>
                <w:lang w:val="lv-LV"/>
              </w:rPr>
            </w:pPr>
            <w:r w:rsidRPr="00CC308A">
              <w:rPr>
                <w:rFonts w:asciiTheme="minorHAnsi" w:hAnsiTheme="minorHAnsi" w:cstheme="minorHAnsi"/>
                <w:b/>
                <w:sz w:val="22"/>
                <w:szCs w:val="22"/>
                <w:lang w:val="lv-LV"/>
              </w:rPr>
              <w:t>Tehniskais piedāvājums</w:t>
            </w:r>
          </w:p>
          <w:p w14:paraId="6DFDDB4B" w14:textId="40BEC2C4" w:rsidR="00081F14" w:rsidRPr="00CC308A" w:rsidRDefault="00081F14" w:rsidP="00081F14">
            <w:pPr>
              <w:spacing w:line="256" w:lineRule="auto"/>
              <w:jc w:val="center"/>
              <w:rPr>
                <w:rFonts w:asciiTheme="minorHAnsi" w:hAnsiTheme="minorHAnsi" w:cstheme="minorHAnsi"/>
                <w:b/>
                <w:sz w:val="22"/>
                <w:szCs w:val="22"/>
                <w:lang w:val="lv-LV" w:eastAsia="en-US"/>
              </w:rPr>
            </w:pPr>
            <w:r w:rsidRPr="00057E8E">
              <w:rPr>
                <w:rFonts w:asciiTheme="minorHAnsi" w:hAnsiTheme="minorHAnsi" w:cstheme="minorHAnsi"/>
                <w:bCs/>
                <w:lang w:val="lv-LV"/>
              </w:rPr>
              <w:t xml:space="preserve">Pretendenta piedāvātās iekārtas apraksts, ražotājs, marka, citi parametri atbilstoši tehniskajai specifikācijai. Atsauce uz iekārtas raksturojošās dokumentācijas lpp. vai </w:t>
            </w:r>
            <w:proofErr w:type="spellStart"/>
            <w:r w:rsidRPr="00057E8E">
              <w:rPr>
                <w:rFonts w:asciiTheme="minorHAnsi" w:hAnsiTheme="minorHAnsi" w:cstheme="minorHAnsi"/>
                <w:bCs/>
                <w:lang w:val="lv-LV"/>
              </w:rPr>
              <w:t>linku</w:t>
            </w:r>
            <w:proofErr w:type="spellEnd"/>
            <w:r w:rsidR="00057E8E" w:rsidRPr="00057E8E">
              <w:rPr>
                <w:rFonts w:asciiTheme="minorHAnsi" w:hAnsiTheme="minorHAnsi" w:cstheme="minorHAnsi"/>
                <w:bCs/>
                <w:lang w:val="lv-LV"/>
              </w:rPr>
              <w:t>/saiti</w:t>
            </w:r>
            <w:r w:rsidRPr="00057E8E">
              <w:rPr>
                <w:rFonts w:asciiTheme="minorHAnsi" w:hAnsiTheme="minorHAnsi" w:cstheme="minorHAnsi"/>
                <w:bCs/>
                <w:lang w:val="lv-LV"/>
              </w:rPr>
              <w:t xml:space="preserve">, </w:t>
            </w:r>
            <w:r w:rsidRPr="00057E8E">
              <w:rPr>
                <w:rFonts w:asciiTheme="minorHAnsi" w:eastAsiaTheme="minorHAnsi" w:hAnsiTheme="minorHAnsi" w:cstheme="minorHAnsi"/>
                <w:bCs/>
                <w:lang w:val="lv-LV" w:eastAsia="en-US"/>
              </w:rPr>
              <w:t>kur atrodama informācija par iekārtas atbilstību katrai prasībai.</w:t>
            </w:r>
          </w:p>
        </w:tc>
        <w:tc>
          <w:tcPr>
            <w:tcW w:w="405" w:type="pct"/>
            <w:tcBorders>
              <w:top w:val="single" w:sz="4" w:space="0" w:color="auto"/>
              <w:left w:val="single" w:sz="4" w:space="0" w:color="auto"/>
              <w:bottom w:val="single" w:sz="4" w:space="0" w:color="auto"/>
              <w:right w:val="single" w:sz="4" w:space="0" w:color="auto"/>
            </w:tcBorders>
            <w:vAlign w:val="center"/>
          </w:tcPr>
          <w:p w14:paraId="0373497D" w14:textId="50BDB1AA" w:rsidR="00081F14" w:rsidRPr="00CC308A" w:rsidRDefault="00081F14" w:rsidP="00081F14">
            <w:pPr>
              <w:widowControl/>
              <w:overflowPunct/>
              <w:autoSpaceDE/>
              <w:autoSpaceDN/>
              <w:adjustRightInd/>
              <w:spacing w:line="259" w:lineRule="auto"/>
              <w:jc w:val="center"/>
              <w:rPr>
                <w:rFonts w:asciiTheme="minorHAnsi" w:hAnsiTheme="minorHAnsi" w:cstheme="minorHAnsi"/>
                <w:b/>
                <w:sz w:val="22"/>
                <w:szCs w:val="22"/>
                <w:lang w:val="lv-LV"/>
              </w:rPr>
            </w:pPr>
            <w:r w:rsidRPr="00CC308A">
              <w:rPr>
                <w:rFonts w:asciiTheme="minorHAnsi" w:hAnsiTheme="minorHAnsi" w:cstheme="minorHAnsi"/>
                <w:b/>
                <w:sz w:val="22"/>
                <w:szCs w:val="22"/>
                <w:lang w:val="lv-LV"/>
              </w:rPr>
              <w:t>Cena</w:t>
            </w:r>
            <w:r w:rsidR="00EE276C">
              <w:rPr>
                <w:rFonts w:asciiTheme="minorHAnsi" w:hAnsiTheme="minorHAnsi" w:cstheme="minorHAnsi"/>
                <w:b/>
                <w:sz w:val="22"/>
                <w:szCs w:val="22"/>
                <w:lang w:val="lv-LV"/>
              </w:rPr>
              <w:t>*</w:t>
            </w:r>
            <w:r w:rsidRPr="00CC308A">
              <w:rPr>
                <w:rFonts w:asciiTheme="minorHAnsi" w:hAnsiTheme="minorHAnsi" w:cstheme="minorHAnsi"/>
                <w:b/>
                <w:sz w:val="22"/>
                <w:szCs w:val="22"/>
                <w:lang w:val="lv-LV"/>
              </w:rPr>
              <w:t xml:space="preserve"> EUR </w:t>
            </w:r>
          </w:p>
          <w:p w14:paraId="78D6F71B" w14:textId="77777777" w:rsidR="00081F14" w:rsidRPr="00CC308A" w:rsidRDefault="00081F14" w:rsidP="00081F14">
            <w:pPr>
              <w:widowControl/>
              <w:overflowPunct/>
              <w:autoSpaceDE/>
              <w:autoSpaceDN/>
              <w:adjustRightInd/>
              <w:spacing w:line="259" w:lineRule="auto"/>
              <w:jc w:val="center"/>
              <w:rPr>
                <w:rFonts w:asciiTheme="minorHAnsi" w:hAnsiTheme="minorHAnsi" w:cstheme="minorHAnsi"/>
                <w:b/>
                <w:sz w:val="22"/>
                <w:szCs w:val="22"/>
                <w:lang w:val="lv-LV"/>
              </w:rPr>
            </w:pPr>
            <w:r w:rsidRPr="00CC308A">
              <w:rPr>
                <w:rFonts w:asciiTheme="minorHAnsi" w:hAnsiTheme="minorHAnsi" w:cstheme="minorHAnsi"/>
                <w:b/>
                <w:sz w:val="22"/>
                <w:szCs w:val="22"/>
                <w:lang w:val="lv-LV"/>
              </w:rPr>
              <w:t>par 1 gab.</w:t>
            </w:r>
          </w:p>
          <w:p w14:paraId="0A6571C6" w14:textId="69D2B793" w:rsidR="00081F14" w:rsidRPr="00CC308A" w:rsidRDefault="00081F14" w:rsidP="00081F14">
            <w:pPr>
              <w:spacing w:line="256" w:lineRule="auto"/>
              <w:jc w:val="center"/>
              <w:rPr>
                <w:rFonts w:asciiTheme="minorHAnsi" w:hAnsiTheme="minorHAnsi" w:cstheme="minorHAnsi"/>
                <w:b/>
                <w:sz w:val="22"/>
                <w:szCs w:val="22"/>
                <w:lang w:val="lv-LV" w:eastAsia="en-US"/>
              </w:rPr>
            </w:pPr>
            <w:r w:rsidRPr="00CC308A">
              <w:rPr>
                <w:rFonts w:asciiTheme="minorHAnsi" w:hAnsiTheme="minorHAnsi" w:cstheme="minorHAnsi"/>
                <w:b/>
                <w:sz w:val="22"/>
                <w:szCs w:val="22"/>
                <w:lang w:val="lv-LV"/>
              </w:rPr>
              <w:t>bez PVN</w:t>
            </w:r>
          </w:p>
        </w:tc>
        <w:tc>
          <w:tcPr>
            <w:tcW w:w="454" w:type="pct"/>
            <w:tcBorders>
              <w:top w:val="single" w:sz="4" w:space="0" w:color="auto"/>
              <w:left w:val="single" w:sz="4" w:space="0" w:color="auto"/>
              <w:bottom w:val="single" w:sz="4" w:space="0" w:color="auto"/>
              <w:right w:val="single" w:sz="4" w:space="0" w:color="auto"/>
            </w:tcBorders>
            <w:vAlign w:val="center"/>
          </w:tcPr>
          <w:p w14:paraId="75988A5D" w14:textId="408F6DF8" w:rsidR="00081F14" w:rsidRPr="00CC308A" w:rsidRDefault="00081F14" w:rsidP="00081F14">
            <w:pPr>
              <w:spacing w:line="256" w:lineRule="auto"/>
              <w:jc w:val="center"/>
              <w:rPr>
                <w:rFonts w:asciiTheme="minorHAnsi" w:hAnsiTheme="minorHAnsi" w:cstheme="minorHAnsi"/>
                <w:b/>
                <w:sz w:val="22"/>
                <w:szCs w:val="22"/>
                <w:lang w:val="lv-LV" w:eastAsia="en-US"/>
              </w:rPr>
            </w:pPr>
            <w:r w:rsidRPr="00CC308A">
              <w:rPr>
                <w:rFonts w:asciiTheme="minorHAnsi" w:hAnsiTheme="minorHAnsi" w:cstheme="minorHAnsi"/>
                <w:b/>
                <w:sz w:val="22"/>
                <w:szCs w:val="22"/>
                <w:lang w:val="lv-LV"/>
              </w:rPr>
              <w:t>Summa EUR bez PVN</w:t>
            </w:r>
            <w:r w:rsidR="00EE276C">
              <w:rPr>
                <w:rFonts w:asciiTheme="minorHAnsi" w:hAnsiTheme="minorHAnsi" w:cstheme="minorHAnsi"/>
                <w:b/>
                <w:sz w:val="22"/>
                <w:szCs w:val="22"/>
                <w:lang w:val="lv-LV"/>
              </w:rPr>
              <w:t xml:space="preserve"> par visu apjomu</w:t>
            </w:r>
          </w:p>
        </w:tc>
      </w:tr>
      <w:tr w:rsidR="00786582" w:rsidRPr="00CC308A" w14:paraId="0CF82E90" w14:textId="7800F74F" w:rsidTr="00957771">
        <w:trPr>
          <w:jc w:val="center"/>
        </w:trPr>
        <w:tc>
          <w:tcPr>
            <w:tcW w:w="531" w:type="pct"/>
            <w:tcBorders>
              <w:top w:val="single" w:sz="4" w:space="0" w:color="auto"/>
              <w:left w:val="single" w:sz="4" w:space="0" w:color="auto"/>
              <w:bottom w:val="single" w:sz="4" w:space="0" w:color="auto"/>
              <w:right w:val="single" w:sz="4" w:space="0" w:color="auto"/>
            </w:tcBorders>
            <w:hideMark/>
          </w:tcPr>
          <w:p w14:paraId="5FAE4FE7" w14:textId="77777777" w:rsidR="00081F14" w:rsidRPr="009D0644" w:rsidRDefault="00081F14">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Komplektācija un tehniskās prasības</w:t>
            </w:r>
          </w:p>
        </w:tc>
        <w:tc>
          <w:tcPr>
            <w:tcW w:w="1680" w:type="pct"/>
            <w:tcBorders>
              <w:top w:val="single" w:sz="4" w:space="0" w:color="auto"/>
              <w:left w:val="single" w:sz="4" w:space="0" w:color="auto"/>
              <w:bottom w:val="single" w:sz="4" w:space="0" w:color="auto"/>
              <w:right w:val="single" w:sz="4" w:space="0" w:color="auto"/>
            </w:tcBorders>
            <w:hideMark/>
          </w:tcPr>
          <w:p w14:paraId="77B02B68" w14:textId="5993FB2A" w:rsidR="009D0644" w:rsidRPr="009D0644" w:rsidRDefault="009D0644" w:rsidP="009D0644">
            <w:pPr>
              <w:pStyle w:val="ListParagraph"/>
              <w:tabs>
                <w:tab w:val="left" w:pos="247"/>
              </w:tabs>
              <w:ind w:left="0"/>
              <w:rPr>
                <w:rFonts w:cstheme="minorHAnsi"/>
                <w:b/>
                <w:sz w:val="20"/>
                <w:szCs w:val="20"/>
              </w:rPr>
            </w:pPr>
            <w:r w:rsidRPr="009D0644">
              <w:rPr>
                <w:rFonts w:cstheme="minorHAnsi"/>
                <w:b/>
                <w:sz w:val="20"/>
                <w:szCs w:val="20"/>
              </w:rPr>
              <w:t xml:space="preserve">Vienkanāla automātiskā pipete 100 – 1000 µl  SARTORIUS </w:t>
            </w:r>
            <w:proofErr w:type="spellStart"/>
            <w:r w:rsidRPr="009D0644">
              <w:rPr>
                <w:rFonts w:cstheme="minorHAnsi"/>
                <w:b/>
                <w:sz w:val="20"/>
                <w:szCs w:val="20"/>
              </w:rPr>
              <w:t>Proline</w:t>
            </w:r>
            <w:proofErr w:type="spellEnd"/>
            <w:r w:rsidRPr="009D0644">
              <w:rPr>
                <w:rFonts w:cstheme="minorHAnsi"/>
                <w:b/>
                <w:sz w:val="20"/>
                <w:szCs w:val="20"/>
              </w:rPr>
              <w:t xml:space="preserve"> Plus 100-1000µl vai ekvivalent</w:t>
            </w:r>
            <w:r w:rsidR="0081632A">
              <w:rPr>
                <w:rFonts w:cstheme="minorHAnsi"/>
                <w:b/>
                <w:sz w:val="20"/>
                <w:szCs w:val="20"/>
              </w:rPr>
              <w:t>a</w:t>
            </w:r>
          </w:p>
          <w:p w14:paraId="3D3C46C8" w14:textId="052CA70E" w:rsidR="00081F14" w:rsidRPr="009D0644" w:rsidRDefault="00081F14" w:rsidP="009D0644">
            <w:pPr>
              <w:pStyle w:val="ListParagraph"/>
              <w:numPr>
                <w:ilvl w:val="0"/>
                <w:numId w:val="1"/>
              </w:numPr>
              <w:ind w:left="354" w:hanging="354"/>
              <w:jc w:val="both"/>
              <w:rPr>
                <w:rFonts w:cstheme="minorHAnsi"/>
                <w:sz w:val="20"/>
                <w:szCs w:val="20"/>
              </w:rPr>
            </w:pPr>
            <w:r w:rsidRPr="009D0644">
              <w:rPr>
                <w:rFonts w:cstheme="minorHAnsi"/>
                <w:sz w:val="20"/>
                <w:szCs w:val="20"/>
              </w:rPr>
              <w:t>Vienkanāla automātiskā pipete ar mērīšanas diapazonu 100 – 1000 µl</w:t>
            </w:r>
          </w:p>
          <w:p w14:paraId="4C7435C8" w14:textId="1D11843A" w:rsidR="00081F14" w:rsidRPr="009D0644" w:rsidRDefault="00081F14" w:rsidP="009D0644">
            <w:pPr>
              <w:pStyle w:val="ListParagraph"/>
              <w:numPr>
                <w:ilvl w:val="0"/>
                <w:numId w:val="1"/>
              </w:numPr>
              <w:ind w:left="354" w:hanging="354"/>
              <w:jc w:val="both"/>
              <w:rPr>
                <w:rFonts w:cstheme="minorHAnsi"/>
                <w:sz w:val="20"/>
                <w:szCs w:val="20"/>
              </w:rPr>
            </w:pPr>
            <w:r w:rsidRPr="009D0644">
              <w:rPr>
                <w:rFonts w:cstheme="minorHAnsi"/>
                <w:sz w:val="20"/>
                <w:szCs w:val="20"/>
              </w:rPr>
              <w:t>Manuāli regulējams tilpums</w:t>
            </w:r>
          </w:p>
          <w:p w14:paraId="21400C4E" w14:textId="440A6B21" w:rsidR="00081F14" w:rsidRPr="009D0644" w:rsidRDefault="00081F14" w:rsidP="009D0644">
            <w:pPr>
              <w:pStyle w:val="ListParagraph"/>
              <w:numPr>
                <w:ilvl w:val="0"/>
                <w:numId w:val="1"/>
              </w:numPr>
              <w:ind w:left="354" w:hanging="354"/>
              <w:jc w:val="both"/>
              <w:rPr>
                <w:rFonts w:cstheme="minorHAnsi"/>
                <w:sz w:val="20"/>
                <w:szCs w:val="20"/>
              </w:rPr>
            </w:pPr>
            <w:r w:rsidRPr="009D0644">
              <w:rPr>
                <w:rFonts w:cstheme="minorHAnsi"/>
                <w:sz w:val="20"/>
                <w:szCs w:val="20"/>
              </w:rPr>
              <w:t>Tilpuma (</w:t>
            </w:r>
            <w:proofErr w:type="spellStart"/>
            <w:r w:rsidRPr="009D0644">
              <w:rPr>
                <w:rFonts w:cstheme="minorHAnsi"/>
                <w:sz w:val="20"/>
                <w:szCs w:val="20"/>
              </w:rPr>
              <w:t>volumetriskais</w:t>
            </w:r>
            <w:proofErr w:type="spellEnd"/>
            <w:r w:rsidRPr="009D0644">
              <w:rPr>
                <w:rFonts w:cstheme="minorHAnsi"/>
                <w:sz w:val="20"/>
                <w:szCs w:val="20"/>
              </w:rPr>
              <w:t>) displejs novietots uz pipetes roktura</w:t>
            </w:r>
          </w:p>
          <w:p w14:paraId="3124CD3A" w14:textId="71C0E43A" w:rsidR="00081F14" w:rsidRPr="009D0644" w:rsidRDefault="00081F14" w:rsidP="009D0644">
            <w:pPr>
              <w:pStyle w:val="ListParagraph"/>
              <w:numPr>
                <w:ilvl w:val="0"/>
                <w:numId w:val="1"/>
              </w:numPr>
              <w:ind w:left="354" w:hanging="354"/>
              <w:jc w:val="both"/>
              <w:rPr>
                <w:rFonts w:cstheme="minorHAnsi"/>
                <w:sz w:val="20"/>
                <w:szCs w:val="20"/>
              </w:rPr>
            </w:pPr>
            <w:r w:rsidRPr="009D0644">
              <w:rPr>
                <w:rFonts w:cstheme="minorHAnsi"/>
                <w:sz w:val="20"/>
                <w:szCs w:val="20"/>
              </w:rPr>
              <w:t xml:space="preserve">Ar iespēju viegli dezinficēt un </w:t>
            </w:r>
            <w:r w:rsidR="00786582" w:rsidRPr="009D0644">
              <w:rPr>
                <w:rFonts w:cstheme="minorHAnsi"/>
                <w:sz w:val="20"/>
                <w:szCs w:val="20"/>
              </w:rPr>
              <w:t>sterilizēt autokl</w:t>
            </w:r>
            <w:r w:rsidR="009D0644">
              <w:rPr>
                <w:rFonts w:cstheme="minorHAnsi"/>
                <w:sz w:val="20"/>
                <w:szCs w:val="20"/>
              </w:rPr>
              <w:t>ā</w:t>
            </w:r>
            <w:r w:rsidR="00786582" w:rsidRPr="009D0644">
              <w:rPr>
                <w:rFonts w:cstheme="minorHAnsi"/>
                <w:sz w:val="20"/>
                <w:szCs w:val="20"/>
              </w:rPr>
              <w:t>vā</w:t>
            </w:r>
          </w:p>
          <w:p w14:paraId="6BE1E915" w14:textId="1BA66CF3" w:rsidR="00081F14" w:rsidRPr="009D0644" w:rsidRDefault="00081F14" w:rsidP="009D0644">
            <w:pPr>
              <w:pStyle w:val="ListParagraph"/>
              <w:numPr>
                <w:ilvl w:val="0"/>
                <w:numId w:val="1"/>
              </w:numPr>
              <w:spacing w:after="0"/>
              <w:ind w:left="354" w:hanging="354"/>
              <w:jc w:val="both"/>
              <w:rPr>
                <w:rFonts w:cstheme="minorHAnsi"/>
                <w:sz w:val="20"/>
                <w:szCs w:val="20"/>
              </w:rPr>
            </w:pPr>
            <w:r w:rsidRPr="009D0644">
              <w:rPr>
                <w:rFonts w:cstheme="minorHAnsi"/>
                <w:sz w:val="20"/>
                <w:szCs w:val="20"/>
              </w:rPr>
              <w:t xml:space="preserve">Izturīga pret apstrādi ar UV stariem                                                          </w:t>
            </w:r>
          </w:p>
        </w:tc>
        <w:tc>
          <w:tcPr>
            <w:tcW w:w="411" w:type="pct"/>
            <w:tcBorders>
              <w:top w:val="single" w:sz="4" w:space="0" w:color="auto"/>
              <w:left w:val="single" w:sz="4" w:space="0" w:color="auto"/>
              <w:bottom w:val="single" w:sz="4" w:space="0" w:color="auto"/>
              <w:right w:val="single" w:sz="4" w:space="0" w:color="auto"/>
            </w:tcBorders>
          </w:tcPr>
          <w:p w14:paraId="54B7C19D" w14:textId="0EE2EF17" w:rsidR="00081F14" w:rsidRPr="009D0644" w:rsidRDefault="00081F14" w:rsidP="00957771">
            <w:pPr>
              <w:spacing w:before="240" w:line="257" w:lineRule="auto"/>
              <w:jc w:val="center"/>
              <w:rPr>
                <w:rFonts w:asciiTheme="minorHAnsi" w:hAnsiTheme="minorHAnsi" w:cstheme="minorHAnsi"/>
                <w:lang w:val="lv-LV" w:eastAsia="en-US"/>
              </w:rPr>
            </w:pPr>
            <w:r w:rsidRPr="009D0644">
              <w:rPr>
                <w:rFonts w:asciiTheme="minorHAnsi" w:hAnsiTheme="minorHAnsi" w:cstheme="minorHAnsi"/>
                <w:lang w:val="lv-LV" w:eastAsia="en-US"/>
              </w:rPr>
              <w:t>2</w:t>
            </w:r>
          </w:p>
        </w:tc>
        <w:tc>
          <w:tcPr>
            <w:tcW w:w="1519" w:type="pct"/>
            <w:tcBorders>
              <w:top w:val="single" w:sz="4" w:space="0" w:color="auto"/>
              <w:left w:val="single" w:sz="4" w:space="0" w:color="auto"/>
              <w:bottom w:val="single" w:sz="4" w:space="0" w:color="auto"/>
              <w:right w:val="single" w:sz="4" w:space="0" w:color="auto"/>
            </w:tcBorders>
          </w:tcPr>
          <w:p w14:paraId="288B8EF6" w14:textId="77777777" w:rsidR="00081F14" w:rsidRPr="009D0644" w:rsidRDefault="00081F14" w:rsidP="002255C2">
            <w:pPr>
              <w:spacing w:line="256" w:lineRule="auto"/>
              <w:rPr>
                <w:rFonts w:asciiTheme="minorHAnsi" w:hAnsiTheme="minorHAnsi" w:cstheme="minorHAnsi"/>
                <w:lang w:val="lv-LV" w:eastAsia="en-US"/>
              </w:rPr>
            </w:pPr>
          </w:p>
        </w:tc>
        <w:tc>
          <w:tcPr>
            <w:tcW w:w="405" w:type="pct"/>
            <w:tcBorders>
              <w:top w:val="single" w:sz="4" w:space="0" w:color="auto"/>
              <w:left w:val="single" w:sz="4" w:space="0" w:color="auto"/>
              <w:bottom w:val="single" w:sz="4" w:space="0" w:color="auto"/>
              <w:right w:val="single" w:sz="4" w:space="0" w:color="auto"/>
            </w:tcBorders>
          </w:tcPr>
          <w:p w14:paraId="20040B16" w14:textId="77777777" w:rsidR="00081F14" w:rsidRPr="009D0644" w:rsidRDefault="00081F14" w:rsidP="00957771">
            <w:pPr>
              <w:spacing w:before="240" w:line="257" w:lineRule="auto"/>
              <w:jc w:val="center"/>
              <w:rPr>
                <w:rFonts w:asciiTheme="minorHAnsi" w:hAnsiTheme="minorHAnsi" w:cstheme="minorHAnsi"/>
                <w:lang w:val="lv-LV" w:eastAsia="en-US"/>
              </w:rPr>
            </w:pPr>
          </w:p>
        </w:tc>
        <w:tc>
          <w:tcPr>
            <w:tcW w:w="454" w:type="pct"/>
            <w:tcBorders>
              <w:top w:val="single" w:sz="4" w:space="0" w:color="auto"/>
              <w:left w:val="single" w:sz="4" w:space="0" w:color="auto"/>
              <w:bottom w:val="single" w:sz="4" w:space="0" w:color="auto"/>
              <w:right w:val="single" w:sz="4" w:space="0" w:color="auto"/>
            </w:tcBorders>
          </w:tcPr>
          <w:p w14:paraId="581C96B2" w14:textId="70CA67FB" w:rsidR="00081F14" w:rsidRPr="009D0644" w:rsidRDefault="00081F14" w:rsidP="00957771">
            <w:pPr>
              <w:spacing w:before="240" w:line="257" w:lineRule="auto"/>
              <w:jc w:val="center"/>
              <w:rPr>
                <w:rFonts w:asciiTheme="minorHAnsi" w:hAnsiTheme="minorHAnsi" w:cstheme="minorHAnsi"/>
                <w:lang w:val="lv-LV" w:eastAsia="en-US"/>
              </w:rPr>
            </w:pPr>
          </w:p>
        </w:tc>
      </w:tr>
      <w:tr w:rsidR="009D0644" w:rsidRPr="00CC308A" w14:paraId="65946056" w14:textId="77777777" w:rsidTr="00957771">
        <w:trPr>
          <w:jc w:val="center"/>
        </w:trPr>
        <w:tc>
          <w:tcPr>
            <w:tcW w:w="531" w:type="pct"/>
            <w:tcBorders>
              <w:top w:val="single" w:sz="4" w:space="0" w:color="auto"/>
              <w:left w:val="single" w:sz="4" w:space="0" w:color="auto"/>
              <w:bottom w:val="single" w:sz="4" w:space="0" w:color="auto"/>
              <w:right w:val="single" w:sz="4" w:space="0" w:color="auto"/>
            </w:tcBorders>
          </w:tcPr>
          <w:p w14:paraId="3015D12D" w14:textId="77777777" w:rsidR="009D0644" w:rsidRPr="009D0644" w:rsidRDefault="009D0644">
            <w:pPr>
              <w:spacing w:line="256" w:lineRule="auto"/>
              <w:rPr>
                <w:rFonts w:asciiTheme="minorHAnsi" w:hAnsiTheme="minorHAnsi" w:cstheme="minorHAnsi"/>
                <w:lang w:val="lv-LV" w:eastAsia="en-US"/>
              </w:rPr>
            </w:pPr>
          </w:p>
        </w:tc>
        <w:tc>
          <w:tcPr>
            <w:tcW w:w="1680" w:type="pct"/>
            <w:tcBorders>
              <w:top w:val="single" w:sz="4" w:space="0" w:color="auto"/>
              <w:left w:val="single" w:sz="4" w:space="0" w:color="auto"/>
              <w:bottom w:val="single" w:sz="4" w:space="0" w:color="auto"/>
              <w:right w:val="single" w:sz="4" w:space="0" w:color="auto"/>
            </w:tcBorders>
          </w:tcPr>
          <w:p w14:paraId="192E2DFB" w14:textId="260D11B5" w:rsidR="009D0644" w:rsidRPr="00957771" w:rsidRDefault="009D0644" w:rsidP="009D0644">
            <w:pPr>
              <w:rPr>
                <w:rFonts w:cstheme="minorHAnsi"/>
                <w:b/>
                <w:bCs/>
              </w:rPr>
            </w:pPr>
            <w:r w:rsidRPr="00957771">
              <w:rPr>
                <w:rFonts w:asciiTheme="minorHAnsi" w:hAnsiTheme="minorHAnsi" w:cstheme="minorHAnsi"/>
                <w:b/>
                <w:bCs/>
                <w:lang w:val="lv-LV"/>
              </w:rPr>
              <w:t>Vienkanāla automātiskā pipete 5 – 50 µl</w:t>
            </w:r>
            <w:r w:rsidRPr="00957771">
              <w:rPr>
                <w:rFonts w:asciiTheme="minorHAnsi" w:hAnsiTheme="minorHAnsi" w:cstheme="minorHAnsi"/>
                <w:b/>
                <w:bCs/>
                <w:lang w:val="lv-LV" w:eastAsia="en-US"/>
              </w:rPr>
              <w:t xml:space="preserve"> SARTORIUS </w:t>
            </w:r>
            <w:proofErr w:type="spellStart"/>
            <w:r w:rsidRPr="00957771">
              <w:rPr>
                <w:rFonts w:asciiTheme="minorHAnsi" w:hAnsiTheme="minorHAnsi" w:cstheme="minorHAnsi"/>
                <w:b/>
                <w:bCs/>
                <w:lang w:val="lv-LV" w:eastAsia="en-US"/>
              </w:rPr>
              <w:t>Proline</w:t>
            </w:r>
            <w:proofErr w:type="spellEnd"/>
            <w:r w:rsidRPr="00957771">
              <w:rPr>
                <w:rFonts w:asciiTheme="minorHAnsi" w:hAnsiTheme="minorHAnsi" w:cstheme="minorHAnsi"/>
                <w:b/>
                <w:bCs/>
                <w:lang w:val="lv-LV" w:eastAsia="en-US"/>
              </w:rPr>
              <w:t xml:space="preserve"> Plus 5-50 µl vai ekvivalent</w:t>
            </w:r>
            <w:r w:rsidR="0081632A">
              <w:rPr>
                <w:rFonts w:asciiTheme="minorHAnsi" w:hAnsiTheme="minorHAnsi" w:cstheme="minorHAnsi"/>
                <w:b/>
                <w:bCs/>
                <w:lang w:val="lv-LV" w:eastAsia="en-US"/>
              </w:rPr>
              <w:t>a</w:t>
            </w:r>
          </w:p>
          <w:p w14:paraId="4812E324" w14:textId="08FA7DE4" w:rsidR="009D0644" w:rsidRPr="009D0644" w:rsidRDefault="009D0644" w:rsidP="00957771">
            <w:pPr>
              <w:pStyle w:val="ListParagraph"/>
              <w:numPr>
                <w:ilvl w:val="0"/>
                <w:numId w:val="3"/>
              </w:numPr>
              <w:tabs>
                <w:tab w:val="left" w:pos="329"/>
              </w:tabs>
              <w:ind w:left="354" w:hanging="354"/>
              <w:jc w:val="both"/>
              <w:rPr>
                <w:rFonts w:cstheme="minorHAnsi"/>
                <w:sz w:val="20"/>
                <w:szCs w:val="20"/>
              </w:rPr>
            </w:pPr>
            <w:r w:rsidRPr="009D0644">
              <w:rPr>
                <w:rFonts w:cstheme="minorHAnsi"/>
                <w:sz w:val="20"/>
                <w:szCs w:val="20"/>
              </w:rPr>
              <w:t>Vienkanāla automātiskā pipete ar mērīšanas diapazonu 5 – 50 µl</w:t>
            </w:r>
          </w:p>
          <w:p w14:paraId="17A0B4A5" w14:textId="0CBC3E9E" w:rsidR="009D0644" w:rsidRPr="009D0644" w:rsidRDefault="009D0644" w:rsidP="00957771">
            <w:pPr>
              <w:pStyle w:val="ListParagraph"/>
              <w:numPr>
                <w:ilvl w:val="0"/>
                <w:numId w:val="3"/>
              </w:numPr>
              <w:tabs>
                <w:tab w:val="left" w:pos="329"/>
              </w:tabs>
              <w:ind w:left="354" w:hanging="354"/>
              <w:jc w:val="both"/>
              <w:rPr>
                <w:rFonts w:cstheme="minorHAnsi"/>
                <w:sz w:val="20"/>
                <w:szCs w:val="20"/>
              </w:rPr>
            </w:pPr>
            <w:r w:rsidRPr="009D0644">
              <w:rPr>
                <w:rFonts w:cstheme="minorHAnsi"/>
                <w:sz w:val="20"/>
                <w:szCs w:val="20"/>
              </w:rPr>
              <w:t>Manuāli regulējams tilpums</w:t>
            </w:r>
          </w:p>
          <w:p w14:paraId="0B3EEC3F" w14:textId="2CBADC03" w:rsidR="009D0644" w:rsidRPr="009D0644" w:rsidRDefault="009D0644" w:rsidP="00957771">
            <w:pPr>
              <w:pStyle w:val="ListParagraph"/>
              <w:numPr>
                <w:ilvl w:val="0"/>
                <w:numId w:val="3"/>
              </w:numPr>
              <w:tabs>
                <w:tab w:val="left" w:pos="329"/>
              </w:tabs>
              <w:ind w:left="354" w:hanging="354"/>
              <w:jc w:val="both"/>
              <w:rPr>
                <w:rFonts w:cstheme="minorHAnsi"/>
                <w:sz w:val="20"/>
                <w:szCs w:val="20"/>
              </w:rPr>
            </w:pPr>
            <w:r w:rsidRPr="009D0644">
              <w:rPr>
                <w:rFonts w:cstheme="minorHAnsi"/>
                <w:sz w:val="20"/>
                <w:szCs w:val="20"/>
              </w:rPr>
              <w:t>Tilpuma (</w:t>
            </w:r>
            <w:proofErr w:type="spellStart"/>
            <w:r w:rsidRPr="009D0644">
              <w:rPr>
                <w:rFonts w:cstheme="minorHAnsi"/>
                <w:sz w:val="20"/>
                <w:szCs w:val="20"/>
              </w:rPr>
              <w:t>volumetriskais</w:t>
            </w:r>
            <w:proofErr w:type="spellEnd"/>
            <w:r w:rsidRPr="009D0644">
              <w:rPr>
                <w:rFonts w:cstheme="minorHAnsi"/>
                <w:sz w:val="20"/>
                <w:szCs w:val="20"/>
              </w:rPr>
              <w:t>) displejs novietots uz pipetes roktura</w:t>
            </w:r>
          </w:p>
          <w:p w14:paraId="21AA82A0" w14:textId="77777777" w:rsidR="00957771" w:rsidRDefault="009D0644" w:rsidP="00957771">
            <w:pPr>
              <w:pStyle w:val="ListParagraph"/>
              <w:numPr>
                <w:ilvl w:val="0"/>
                <w:numId w:val="3"/>
              </w:numPr>
              <w:tabs>
                <w:tab w:val="left" w:pos="329"/>
              </w:tabs>
              <w:ind w:left="354" w:hanging="354"/>
              <w:jc w:val="both"/>
              <w:rPr>
                <w:rFonts w:cstheme="minorHAnsi"/>
                <w:sz w:val="20"/>
                <w:szCs w:val="20"/>
              </w:rPr>
            </w:pPr>
            <w:r w:rsidRPr="009D0644">
              <w:rPr>
                <w:rFonts w:cstheme="minorHAnsi"/>
                <w:sz w:val="20"/>
                <w:szCs w:val="20"/>
              </w:rPr>
              <w:t xml:space="preserve">Ar iespēju viegli dezinficēt un </w:t>
            </w:r>
            <w:proofErr w:type="spellStart"/>
            <w:r w:rsidRPr="009D0644">
              <w:rPr>
                <w:rFonts w:cstheme="minorHAnsi"/>
                <w:sz w:val="20"/>
                <w:szCs w:val="20"/>
              </w:rPr>
              <w:t>autoklavēt</w:t>
            </w:r>
            <w:proofErr w:type="spellEnd"/>
          </w:p>
          <w:p w14:paraId="50067081" w14:textId="002EE241" w:rsidR="009D0644" w:rsidRPr="00957771" w:rsidRDefault="009D0644" w:rsidP="00957771">
            <w:pPr>
              <w:pStyle w:val="ListParagraph"/>
              <w:numPr>
                <w:ilvl w:val="0"/>
                <w:numId w:val="3"/>
              </w:numPr>
              <w:tabs>
                <w:tab w:val="left" w:pos="329"/>
              </w:tabs>
              <w:ind w:left="354" w:hanging="354"/>
              <w:jc w:val="both"/>
              <w:rPr>
                <w:rFonts w:cstheme="minorHAnsi"/>
                <w:sz w:val="20"/>
                <w:szCs w:val="20"/>
              </w:rPr>
            </w:pPr>
            <w:r w:rsidRPr="00957771">
              <w:rPr>
                <w:rFonts w:cstheme="minorHAnsi"/>
                <w:sz w:val="20"/>
                <w:szCs w:val="20"/>
              </w:rPr>
              <w:t xml:space="preserve">Izturīga pret apstrādi ar UV stariem                                                         </w:t>
            </w:r>
          </w:p>
        </w:tc>
        <w:tc>
          <w:tcPr>
            <w:tcW w:w="411" w:type="pct"/>
            <w:tcBorders>
              <w:top w:val="single" w:sz="4" w:space="0" w:color="auto"/>
              <w:left w:val="single" w:sz="4" w:space="0" w:color="auto"/>
              <w:bottom w:val="single" w:sz="4" w:space="0" w:color="auto"/>
              <w:right w:val="single" w:sz="4" w:space="0" w:color="auto"/>
            </w:tcBorders>
          </w:tcPr>
          <w:p w14:paraId="2216F7CE" w14:textId="7C57A2C9" w:rsidR="009D0644" w:rsidRPr="009D0644" w:rsidRDefault="009D0644" w:rsidP="00957771">
            <w:pPr>
              <w:spacing w:before="240" w:line="257" w:lineRule="auto"/>
              <w:jc w:val="center"/>
              <w:rPr>
                <w:rFonts w:asciiTheme="minorHAnsi" w:hAnsiTheme="minorHAnsi" w:cstheme="minorHAnsi"/>
                <w:lang w:val="lv-LV" w:eastAsia="en-US"/>
              </w:rPr>
            </w:pPr>
            <w:r w:rsidRPr="009D0644">
              <w:rPr>
                <w:rFonts w:asciiTheme="minorHAnsi" w:hAnsiTheme="minorHAnsi" w:cstheme="minorHAnsi"/>
                <w:lang w:val="lv-LV" w:eastAsia="en-US"/>
              </w:rPr>
              <w:t>2</w:t>
            </w:r>
          </w:p>
        </w:tc>
        <w:tc>
          <w:tcPr>
            <w:tcW w:w="1519" w:type="pct"/>
            <w:tcBorders>
              <w:top w:val="single" w:sz="4" w:space="0" w:color="auto"/>
              <w:left w:val="single" w:sz="4" w:space="0" w:color="auto"/>
              <w:bottom w:val="single" w:sz="4" w:space="0" w:color="auto"/>
              <w:right w:val="single" w:sz="4" w:space="0" w:color="auto"/>
            </w:tcBorders>
          </w:tcPr>
          <w:p w14:paraId="662D65BC" w14:textId="77777777" w:rsidR="009D0644" w:rsidRPr="009D0644" w:rsidRDefault="009D0644" w:rsidP="002255C2">
            <w:pPr>
              <w:spacing w:line="256" w:lineRule="auto"/>
              <w:rPr>
                <w:rFonts w:asciiTheme="minorHAnsi" w:hAnsiTheme="minorHAnsi" w:cstheme="minorHAnsi"/>
                <w:lang w:val="lv-LV" w:eastAsia="en-US"/>
              </w:rPr>
            </w:pPr>
          </w:p>
        </w:tc>
        <w:tc>
          <w:tcPr>
            <w:tcW w:w="405" w:type="pct"/>
            <w:tcBorders>
              <w:top w:val="single" w:sz="4" w:space="0" w:color="auto"/>
              <w:left w:val="single" w:sz="4" w:space="0" w:color="auto"/>
              <w:bottom w:val="single" w:sz="4" w:space="0" w:color="auto"/>
              <w:right w:val="single" w:sz="4" w:space="0" w:color="auto"/>
            </w:tcBorders>
          </w:tcPr>
          <w:p w14:paraId="76A4DD92" w14:textId="77777777" w:rsidR="009D0644" w:rsidRPr="009D0644" w:rsidRDefault="009D0644" w:rsidP="00957771">
            <w:pPr>
              <w:spacing w:before="240" w:line="257" w:lineRule="auto"/>
              <w:jc w:val="center"/>
              <w:rPr>
                <w:rFonts w:asciiTheme="minorHAnsi" w:hAnsiTheme="minorHAnsi" w:cstheme="minorHAnsi"/>
                <w:lang w:val="lv-LV" w:eastAsia="en-US"/>
              </w:rPr>
            </w:pPr>
          </w:p>
        </w:tc>
        <w:tc>
          <w:tcPr>
            <w:tcW w:w="454" w:type="pct"/>
            <w:tcBorders>
              <w:top w:val="single" w:sz="4" w:space="0" w:color="auto"/>
              <w:left w:val="single" w:sz="4" w:space="0" w:color="auto"/>
              <w:bottom w:val="single" w:sz="4" w:space="0" w:color="auto"/>
              <w:right w:val="single" w:sz="4" w:space="0" w:color="auto"/>
            </w:tcBorders>
          </w:tcPr>
          <w:p w14:paraId="2DD5290B" w14:textId="77777777" w:rsidR="009D0644" w:rsidRPr="009D0644" w:rsidRDefault="009D0644" w:rsidP="00957771">
            <w:pPr>
              <w:spacing w:before="240" w:line="257" w:lineRule="auto"/>
              <w:jc w:val="center"/>
              <w:rPr>
                <w:rFonts w:asciiTheme="minorHAnsi" w:hAnsiTheme="minorHAnsi" w:cstheme="minorHAnsi"/>
                <w:lang w:val="lv-LV" w:eastAsia="en-US"/>
              </w:rPr>
            </w:pPr>
          </w:p>
        </w:tc>
      </w:tr>
      <w:tr w:rsidR="009D0644" w:rsidRPr="00CC308A" w14:paraId="19792143" w14:textId="77777777" w:rsidTr="00957771">
        <w:trPr>
          <w:jc w:val="center"/>
        </w:trPr>
        <w:tc>
          <w:tcPr>
            <w:tcW w:w="531" w:type="pct"/>
            <w:tcBorders>
              <w:top w:val="single" w:sz="4" w:space="0" w:color="auto"/>
              <w:left w:val="single" w:sz="4" w:space="0" w:color="auto"/>
              <w:bottom w:val="single" w:sz="4" w:space="0" w:color="auto"/>
              <w:right w:val="single" w:sz="4" w:space="0" w:color="auto"/>
            </w:tcBorders>
          </w:tcPr>
          <w:p w14:paraId="43608BFB" w14:textId="77777777" w:rsidR="009D0644" w:rsidRPr="00CC308A" w:rsidRDefault="009D0644">
            <w:pPr>
              <w:spacing w:line="256" w:lineRule="auto"/>
              <w:rPr>
                <w:rFonts w:asciiTheme="minorHAnsi" w:hAnsiTheme="minorHAnsi" w:cstheme="minorHAnsi"/>
                <w:sz w:val="22"/>
                <w:szCs w:val="22"/>
                <w:lang w:val="lv-LV" w:eastAsia="en-US"/>
              </w:rPr>
            </w:pPr>
          </w:p>
        </w:tc>
        <w:tc>
          <w:tcPr>
            <w:tcW w:w="1680" w:type="pct"/>
            <w:tcBorders>
              <w:top w:val="single" w:sz="4" w:space="0" w:color="auto"/>
              <w:left w:val="single" w:sz="4" w:space="0" w:color="auto"/>
              <w:bottom w:val="single" w:sz="4" w:space="0" w:color="auto"/>
              <w:right w:val="single" w:sz="4" w:space="0" w:color="auto"/>
            </w:tcBorders>
          </w:tcPr>
          <w:p w14:paraId="48273707" w14:textId="1BB94F0A" w:rsidR="009D0644" w:rsidRPr="00957771" w:rsidRDefault="009D0644" w:rsidP="009D0644">
            <w:pPr>
              <w:pStyle w:val="ListParagraph"/>
              <w:tabs>
                <w:tab w:val="left" w:pos="278"/>
              </w:tabs>
              <w:spacing w:line="240" w:lineRule="auto"/>
              <w:ind w:left="0"/>
              <w:rPr>
                <w:rFonts w:cstheme="minorHAnsi"/>
                <w:b/>
                <w:bCs/>
                <w:sz w:val="20"/>
                <w:szCs w:val="20"/>
              </w:rPr>
            </w:pPr>
            <w:r w:rsidRPr="00957771">
              <w:rPr>
                <w:rFonts w:cstheme="minorHAnsi"/>
                <w:b/>
                <w:bCs/>
                <w:sz w:val="20"/>
                <w:szCs w:val="20"/>
              </w:rPr>
              <w:t xml:space="preserve">Vienkanāla </w:t>
            </w:r>
            <w:r w:rsidR="00957771" w:rsidRPr="00957771">
              <w:rPr>
                <w:rFonts w:cstheme="minorHAnsi"/>
                <w:b/>
                <w:bCs/>
                <w:sz w:val="20"/>
                <w:szCs w:val="20"/>
              </w:rPr>
              <w:t xml:space="preserve">automātiskā </w:t>
            </w:r>
            <w:r w:rsidRPr="00957771">
              <w:rPr>
                <w:rFonts w:cstheme="minorHAnsi"/>
                <w:b/>
                <w:bCs/>
                <w:sz w:val="20"/>
                <w:szCs w:val="20"/>
              </w:rPr>
              <w:t xml:space="preserve">pipete 20-200µl </w:t>
            </w:r>
            <w:r w:rsidR="00957771" w:rsidRPr="00957771">
              <w:rPr>
                <w:rFonts w:cstheme="minorHAnsi"/>
                <w:b/>
                <w:bCs/>
                <w:sz w:val="20"/>
                <w:szCs w:val="20"/>
              </w:rPr>
              <w:t xml:space="preserve">SARTORIUS </w:t>
            </w:r>
            <w:proofErr w:type="spellStart"/>
            <w:r w:rsidR="00957771" w:rsidRPr="00957771">
              <w:rPr>
                <w:rFonts w:cstheme="minorHAnsi"/>
                <w:b/>
                <w:bCs/>
                <w:sz w:val="20"/>
                <w:szCs w:val="20"/>
              </w:rPr>
              <w:t>Proline</w:t>
            </w:r>
            <w:proofErr w:type="spellEnd"/>
            <w:r w:rsidR="00957771" w:rsidRPr="00957771">
              <w:rPr>
                <w:rFonts w:cstheme="minorHAnsi"/>
                <w:b/>
                <w:bCs/>
                <w:sz w:val="20"/>
                <w:szCs w:val="20"/>
              </w:rPr>
              <w:t xml:space="preserve"> Plus </w:t>
            </w:r>
            <w:r w:rsidRPr="00957771">
              <w:rPr>
                <w:rFonts w:cstheme="minorHAnsi"/>
                <w:b/>
                <w:bCs/>
                <w:sz w:val="20"/>
                <w:szCs w:val="20"/>
              </w:rPr>
              <w:t>vai ekvivalent</w:t>
            </w:r>
            <w:r w:rsidR="0081632A">
              <w:rPr>
                <w:rFonts w:cstheme="minorHAnsi"/>
                <w:b/>
                <w:bCs/>
                <w:sz w:val="20"/>
                <w:szCs w:val="20"/>
              </w:rPr>
              <w:t>a</w:t>
            </w:r>
          </w:p>
          <w:p w14:paraId="5A7ABD46" w14:textId="6613BFC6" w:rsidR="009D0644" w:rsidRPr="009D0644" w:rsidRDefault="009D0644" w:rsidP="00957771">
            <w:pPr>
              <w:pStyle w:val="ListParagraph"/>
              <w:numPr>
                <w:ilvl w:val="0"/>
                <w:numId w:val="4"/>
              </w:numPr>
              <w:spacing w:line="240" w:lineRule="auto"/>
              <w:ind w:left="354" w:hanging="354"/>
              <w:rPr>
                <w:rFonts w:cstheme="minorHAnsi"/>
                <w:sz w:val="20"/>
                <w:szCs w:val="20"/>
              </w:rPr>
            </w:pPr>
            <w:r w:rsidRPr="009D0644">
              <w:rPr>
                <w:rFonts w:cstheme="minorHAnsi"/>
                <w:sz w:val="20"/>
                <w:szCs w:val="20"/>
              </w:rPr>
              <w:t>Vienkanāla automātiskā pipete ar mērīšanas diapazonu 20 – 200 µl</w:t>
            </w:r>
          </w:p>
          <w:p w14:paraId="31BC0FEE" w14:textId="1EB0F044" w:rsidR="009D0644" w:rsidRPr="009D0644" w:rsidRDefault="009D0644" w:rsidP="00957771">
            <w:pPr>
              <w:pStyle w:val="ListParagraph"/>
              <w:numPr>
                <w:ilvl w:val="0"/>
                <w:numId w:val="4"/>
              </w:numPr>
              <w:spacing w:line="240" w:lineRule="auto"/>
              <w:ind w:left="354" w:hanging="354"/>
              <w:rPr>
                <w:rFonts w:cstheme="minorHAnsi"/>
                <w:sz w:val="20"/>
                <w:szCs w:val="20"/>
              </w:rPr>
            </w:pPr>
            <w:r w:rsidRPr="009D0644">
              <w:rPr>
                <w:rFonts w:cstheme="minorHAnsi"/>
                <w:sz w:val="20"/>
                <w:szCs w:val="20"/>
              </w:rPr>
              <w:t>Manuāli regulējams tilpums</w:t>
            </w:r>
          </w:p>
          <w:p w14:paraId="16BBEDB6" w14:textId="04FE124F" w:rsidR="009D0644" w:rsidRPr="0081632A" w:rsidRDefault="009D0644" w:rsidP="00957771">
            <w:pPr>
              <w:pStyle w:val="ListParagraph"/>
              <w:numPr>
                <w:ilvl w:val="0"/>
                <w:numId w:val="4"/>
              </w:numPr>
              <w:spacing w:line="240" w:lineRule="auto"/>
              <w:ind w:left="354" w:hanging="354"/>
              <w:rPr>
                <w:rFonts w:cstheme="minorHAnsi"/>
                <w:sz w:val="20"/>
                <w:szCs w:val="20"/>
              </w:rPr>
            </w:pPr>
            <w:r w:rsidRPr="009D0644">
              <w:rPr>
                <w:rFonts w:cstheme="minorHAnsi"/>
                <w:sz w:val="20"/>
                <w:szCs w:val="20"/>
              </w:rPr>
              <w:t>Tilpuma (</w:t>
            </w:r>
            <w:proofErr w:type="spellStart"/>
            <w:r w:rsidRPr="0081632A">
              <w:rPr>
                <w:rFonts w:cstheme="minorHAnsi"/>
                <w:sz w:val="20"/>
                <w:szCs w:val="20"/>
              </w:rPr>
              <w:t>volumetriskais</w:t>
            </w:r>
            <w:proofErr w:type="spellEnd"/>
            <w:r w:rsidRPr="0081632A">
              <w:rPr>
                <w:rFonts w:cstheme="minorHAnsi"/>
                <w:sz w:val="20"/>
                <w:szCs w:val="20"/>
              </w:rPr>
              <w:t>) displejs novietots uz pipetes roktura</w:t>
            </w:r>
          </w:p>
          <w:p w14:paraId="0B6613D6" w14:textId="22111D9E" w:rsidR="00957771" w:rsidRPr="0081632A" w:rsidRDefault="009D0644" w:rsidP="00957771">
            <w:pPr>
              <w:pStyle w:val="ListParagraph"/>
              <w:numPr>
                <w:ilvl w:val="0"/>
                <w:numId w:val="4"/>
              </w:numPr>
              <w:spacing w:line="240" w:lineRule="auto"/>
              <w:ind w:left="354" w:hanging="354"/>
              <w:rPr>
                <w:rFonts w:cstheme="minorHAnsi"/>
                <w:sz w:val="20"/>
                <w:szCs w:val="20"/>
              </w:rPr>
            </w:pPr>
            <w:r w:rsidRPr="0081632A">
              <w:rPr>
                <w:rFonts w:cstheme="minorHAnsi"/>
                <w:sz w:val="20"/>
                <w:szCs w:val="20"/>
              </w:rPr>
              <w:t xml:space="preserve">Ar iespēju viegli dezinficēt un </w:t>
            </w:r>
            <w:proofErr w:type="spellStart"/>
            <w:r w:rsidRPr="0081632A">
              <w:rPr>
                <w:rFonts w:cstheme="minorHAnsi"/>
                <w:sz w:val="20"/>
                <w:szCs w:val="20"/>
              </w:rPr>
              <w:t>autoklavēt</w:t>
            </w:r>
            <w:proofErr w:type="spellEnd"/>
          </w:p>
          <w:p w14:paraId="69E6E23D" w14:textId="05AA03BA" w:rsidR="009D0644" w:rsidRPr="00957771" w:rsidRDefault="009D0644" w:rsidP="00957771">
            <w:pPr>
              <w:pStyle w:val="ListParagraph"/>
              <w:numPr>
                <w:ilvl w:val="0"/>
                <w:numId w:val="4"/>
              </w:numPr>
              <w:spacing w:line="240" w:lineRule="auto"/>
              <w:ind w:left="354" w:hanging="354"/>
              <w:rPr>
                <w:rFonts w:cstheme="minorHAnsi"/>
                <w:sz w:val="20"/>
                <w:szCs w:val="20"/>
              </w:rPr>
            </w:pPr>
            <w:r w:rsidRPr="0081632A">
              <w:rPr>
                <w:rFonts w:cstheme="minorHAnsi"/>
                <w:sz w:val="20"/>
                <w:szCs w:val="20"/>
              </w:rPr>
              <w:t>Izturīga pret apstrādi ar UV stariem</w:t>
            </w:r>
          </w:p>
        </w:tc>
        <w:tc>
          <w:tcPr>
            <w:tcW w:w="411" w:type="pct"/>
            <w:tcBorders>
              <w:top w:val="single" w:sz="4" w:space="0" w:color="auto"/>
              <w:left w:val="single" w:sz="4" w:space="0" w:color="auto"/>
              <w:bottom w:val="single" w:sz="4" w:space="0" w:color="auto"/>
              <w:right w:val="single" w:sz="4" w:space="0" w:color="auto"/>
            </w:tcBorders>
          </w:tcPr>
          <w:p w14:paraId="598237FE" w14:textId="54554DC1" w:rsidR="009D0644" w:rsidRPr="009D0644" w:rsidRDefault="009D0644" w:rsidP="00957771">
            <w:pPr>
              <w:spacing w:before="240" w:line="257" w:lineRule="auto"/>
              <w:jc w:val="center"/>
              <w:rPr>
                <w:rFonts w:asciiTheme="minorHAnsi" w:hAnsiTheme="minorHAnsi" w:cstheme="minorHAnsi"/>
                <w:lang w:val="lv-LV" w:eastAsia="en-US"/>
              </w:rPr>
            </w:pPr>
            <w:r>
              <w:rPr>
                <w:rFonts w:asciiTheme="minorHAnsi" w:hAnsiTheme="minorHAnsi" w:cstheme="minorHAnsi"/>
                <w:lang w:val="lv-LV" w:eastAsia="en-US"/>
              </w:rPr>
              <w:t>2</w:t>
            </w:r>
          </w:p>
        </w:tc>
        <w:tc>
          <w:tcPr>
            <w:tcW w:w="1519" w:type="pct"/>
            <w:tcBorders>
              <w:top w:val="single" w:sz="4" w:space="0" w:color="auto"/>
              <w:left w:val="single" w:sz="4" w:space="0" w:color="auto"/>
              <w:bottom w:val="single" w:sz="4" w:space="0" w:color="auto"/>
              <w:right w:val="single" w:sz="4" w:space="0" w:color="auto"/>
            </w:tcBorders>
          </w:tcPr>
          <w:p w14:paraId="73AAF272" w14:textId="77777777" w:rsidR="009D0644" w:rsidRPr="009D0644" w:rsidRDefault="009D0644" w:rsidP="002255C2">
            <w:pPr>
              <w:spacing w:line="256" w:lineRule="auto"/>
              <w:rPr>
                <w:rFonts w:asciiTheme="minorHAnsi" w:hAnsiTheme="minorHAnsi" w:cstheme="minorHAnsi"/>
                <w:lang w:val="lv-LV" w:eastAsia="en-US"/>
              </w:rPr>
            </w:pPr>
          </w:p>
        </w:tc>
        <w:tc>
          <w:tcPr>
            <w:tcW w:w="405" w:type="pct"/>
            <w:tcBorders>
              <w:top w:val="single" w:sz="4" w:space="0" w:color="auto"/>
              <w:left w:val="single" w:sz="4" w:space="0" w:color="auto"/>
              <w:bottom w:val="single" w:sz="4" w:space="0" w:color="auto"/>
              <w:right w:val="single" w:sz="4" w:space="0" w:color="auto"/>
            </w:tcBorders>
          </w:tcPr>
          <w:p w14:paraId="00240431" w14:textId="77777777" w:rsidR="009D0644" w:rsidRPr="009D0644" w:rsidRDefault="009D0644" w:rsidP="00957771">
            <w:pPr>
              <w:spacing w:before="240" w:line="257" w:lineRule="auto"/>
              <w:jc w:val="center"/>
              <w:rPr>
                <w:rFonts w:asciiTheme="minorHAnsi" w:hAnsiTheme="minorHAnsi" w:cstheme="minorHAnsi"/>
                <w:lang w:val="lv-LV" w:eastAsia="en-US"/>
              </w:rPr>
            </w:pPr>
          </w:p>
        </w:tc>
        <w:tc>
          <w:tcPr>
            <w:tcW w:w="454" w:type="pct"/>
            <w:tcBorders>
              <w:top w:val="single" w:sz="4" w:space="0" w:color="auto"/>
              <w:left w:val="single" w:sz="4" w:space="0" w:color="auto"/>
              <w:bottom w:val="single" w:sz="4" w:space="0" w:color="auto"/>
              <w:right w:val="single" w:sz="4" w:space="0" w:color="auto"/>
            </w:tcBorders>
          </w:tcPr>
          <w:p w14:paraId="00C17A30" w14:textId="77777777" w:rsidR="009D0644" w:rsidRPr="009D0644" w:rsidRDefault="009D0644" w:rsidP="00957771">
            <w:pPr>
              <w:spacing w:before="240" w:line="257" w:lineRule="auto"/>
              <w:jc w:val="center"/>
              <w:rPr>
                <w:rFonts w:asciiTheme="minorHAnsi" w:hAnsiTheme="minorHAnsi" w:cstheme="minorHAnsi"/>
                <w:lang w:val="lv-LV" w:eastAsia="en-US"/>
              </w:rPr>
            </w:pPr>
          </w:p>
        </w:tc>
      </w:tr>
      <w:tr w:rsidR="00957771" w:rsidRPr="00CC308A" w14:paraId="7B93767C" w14:textId="5BCE1463" w:rsidTr="00957771">
        <w:trPr>
          <w:jc w:val="center"/>
        </w:trPr>
        <w:tc>
          <w:tcPr>
            <w:tcW w:w="531" w:type="pct"/>
            <w:vMerge w:val="restart"/>
            <w:tcBorders>
              <w:top w:val="single" w:sz="4" w:space="0" w:color="auto"/>
              <w:left w:val="single" w:sz="4" w:space="0" w:color="auto"/>
              <w:right w:val="single" w:sz="4" w:space="0" w:color="auto"/>
            </w:tcBorders>
            <w:hideMark/>
          </w:tcPr>
          <w:p w14:paraId="281F10D2" w14:textId="77777777" w:rsidR="00957771" w:rsidRPr="00CC308A" w:rsidRDefault="00957771">
            <w:pPr>
              <w:spacing w:line="256" w:lineRule="auto"/>
              <w:rPr>
                <w:rFonts w:asciiTheme="minorHAnsi" w:hAnsiTheme="minorHAnsi" w:cstheme="minorHAnsi"/>
                <w:sz w:val="22"/>
                <w:szCs w:val="22"/>
                <w:lang w:val="lv-LV" w:eastAsia="en-US"/>
              </w:rPr>
            </w:pPr>
            <w:r w:rsidRPr="00CC308A">
              <w:rPr>
                <w:rFonts w:asciiTheme="minorHAnsi" w:hAnsiTheme="minorHAnsi" w:cstheme="minorHAnsi"/>
                <w:sz w:val="22"/>
                <w:szCs w:val="22"/>
                <w:lang w:val="lv-LV" w:eastAsia="en-US"/>
              </w:rPr>
              <w:t>Citas prasības</w:t>
            </w:r>
          </w:p>
        </w:tc>
        <w:tc>
          <w:tcPr>
            <w:tcW w:w="2091" w:type="pct"/>
            <w:gridSpan w:val="2"/>
            <w:tcBorders>
              <w:top w:val="single" w:sz="4" w:space="0" w:color="auto"/>
              <w:left w:val="single" w:sz="4" w:space="0" w:color="auto"/>
              <w:bottom w:val="single" w:sz="4" w:space="0" w:color="auto"/>
              <w:right w:val="single" w:sz="4" w:space="0" w:color="auto"/>
            </w:tcBorders>
            <w:hideMark/>
          </w:tcPr>
          <w:p w14:paraId="6D1B02B4" w14:textId="15556A5D" w:rsidR="00957771" w:rsidRPr="009D0644" w:rsidRDefault="00957771">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 xml:space="preserve">Garantijas </w:t>
            </w:r>
            <w:r w:rsidR="009C6349">
              <w:rPr>
                <w:rFonts w:asciiTheme="minorHAnsi" w:hAnsiTheme="minorHAnsi" w:cstheme="minorHAnsi"/>
                <w:lang w:val="lv-LV" w:eastAsia="en-US"/>
              </w:rPr>
              <w:t>termiņš</w:t>
            </w:r>
            <w:r w:rsidRPr="009D0644">
              <w:rPr>
                <w:rFonts w:asciiTheme="minorHAnsi" w:hAnsiTheme="minorHAnsi" w:cstheme="minorHAnsi"/>
                <w:lang w:val="lv-LV" w:eastAsia="en-US"/>
              </w:rPr>
              <w:t xml:space="preserve"> vismaz 2 (divi) gadi </w:t>
            </w:r>
            <w:r w:rsidRPr="009D0644">
              <w:rPr>
                <w:rFonts w:asciiTheme="minorHAnsi" w:hAnsiTheme="minorHAnsi" w:cstheme="minorHAnsi"/>
                <w:i/>
                <w:iCs/>
                <w:lang w:val="lv-LV"/>
              </w:rPr>
              <w:t>(pretendents var norādīt lielāku garantijas termiņu)</w:t>
            </w:r>
          </w:p>
        </w:tc>
        <w:tc>
          <w:tcPr>
            <w:tcW w:w="2378" w:type="pct"/>
            <w:gridSpan w:val="3"/>
            <w:tcBorders>
              <w:top w:val="single" w:sz="4" w:space="0" w:color="auto"/>
              <w:left w:val="single" w:sz="4" w:space="0" w:color="auto"/>
              <w:bottom w:val="single" w:sz="4" w:space="0" w:color="auto"/>
              <w:right w:val="single" w:sz="4" w:space="0" w:color="auto"/>
            </w:tcBorders>
          </w:tcPr>
          <w:p w14:paraId="0BF0FF1F" w14:textId="562A0B0E" w:rsidR="00957771" w:rsidRPr="009D0644" w:rsidRDefault="00957771">
            <w:pPr>
              <w:spacing w:line="256" w:lineRule="auto"/>
              <w:rPr>
                <w:rFonts w:asciiTheme="minorHAnsi" w:hAnsiTheme="minorHAnsi" w:cstheme="minorHAnsi"/>
                <w:lang w:val="lv-LV" w:eastAsia="en-US"/>
              </w:rPr>
            </w:pPr>
          </w:p>
        </w:tc>
      </w:tr>
      <w:tr w:rsidR="00957771" w:rsidRPr="00CC308A" w14:paraId="1098375C" w14:textId="377803FB" w:rsidTr="00957771">
        <w:trPr>
          <w:trHeight w:val="285"/>
          <w:jc w:val="center"/>
        </w:trPr>
        <w:tc>
          <w:tcPr>
            <w:tcW w:w="531" w:type="pct"/>
            <w:vMerge/>
            <w:tcBorders>
              <w:left w:val="single" w:sz="4" w:space="0" w:color="auto"/>
              <w:right w:val="single" w:sz="4" w:space="0" w:color="auto"/>
            </w:tcBorders>
            <w:vAlign w:val="center"/>
            <w:hideMark/>
          </w:tcPr>
          <w:p w14:paraId="633562FD" w14:textId="77777777" w:rsidR="00957771" w:rsidRPr="00CC308A" w:rsidRDefault="00957771">
            <w:pPr>
              <w:widowControl/>
              <w:overflowPunct/>
              <w:autoSpaceDE/>
              <w:autoSpaceDN/>
              <w:adjustRightInd/>
              <w:spacing w:line="256" w:lineRule="auto"/>
              <w:rPr>
                <w:rFonts w:asciiTheme="minorHAnsi" w:hAnsiTheme="minorHAnsi" w:cstheme="minorHAnsi"/>
                <w:sz w:val="22"/>
                <w:szCs w:val="22"/>
                <w:lang w:val="lv-LV" w:eastAsia="en-US"/>
              </w:rPr>
            </w:pPr>
          </w:p>
        </w:tc>
        <w:tc>
          <w:tcPr>
            <w:tcW w:w="2091" w:type="pct"/>
            <w:gridSpan w:val="2"/>
            <w:tcBorders>
              <w:top w:val="single" w:sz="4" w:space="0" w:color="auto"/>
              <w:left w:val="single" w:sz="4" w:space="0" w:color="auto"/>
              <w:bottom w:val="single" w:sz="4" w:space="0" w:color="auto"/>
              <w:right w:val="single" w:sz="4" w:space="0" w:color="auto"/>
            </w:tcBorders>
            <w:hideMark/>
          </w:tcPr>
          <w:p w14:paraId="73F84797" w14:textId="2F432A2A" w:rsidR="00957771" w:rsidRPr="009D0644" w:rsidRDefault="00957771">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Piegādes termiņš – 1 (viens) mēnesis</w:t>
            </w:r>
          </w:p>
        </w:tc>
        <w:tc>
          <w:tcPr>
            <w:tcW w:w="2378" w:type="pct"/>
            <w:gridSpan w:val="3"/>
            <w:tcBorders>
              <w:top w:val="single" w:sz="4" w:space="0" w:color="auto"/>
              <w:left w:val="single" w:sz="4" w:space="0" w:color="auto"/>
              <w:bottom w:val="single" w:sz="4" w:space="0" w:color="auto"/>
              <w:right w:val="single" w:sz="4" w:space="0" w:color="auto"/>
            </w:tcBorders>
          </w:tcPr>
          <w:p w14:paraId="123D851C" w14:textId="0F696EBA" w:rsidR="00957771" w:rsidRPr="009D0644" w:rsidRDefault="00957771">
            <w:pPr>
              <w:spacing w:line="256" w:lineRule="auto"/>
              <w:rPr>
                <w:rFonts w:asciiTheme="minorHAnsi" w:hAnsiTheme="minorHAnsi" w:cstheme="minorHAnsi"/>
                <w:lang w:val="lv-LV" w:eastAsia="en-US"/>
              </w:rPr>
            </w:pPr>
          </w:p>
        </w:tc>
      </w:tr>
      <w:tr w:rsidR="00957771" w:rsidRPr="00CC308A" w14:paraId="13355644" w14:textId="5D283D3D" w:rsidTr="00957771">
        <w:trPr>
          <w:trHeight w:val="285"/>
          <w:jc w:val="center"/>
        </w:trPr>
        <w:tc>
          <w:tcPr>
            <w:tcW w:w="531" w:type="pct"/>
            <w:vMerge/>
            <w:tcBorders>
              <w:left w:val="single" w:sz="4" w:space="0" w:color="auto"/>
              <w:right w:val="single" w:sz="4" w:space="0" w:color="auto"/>
            </w:tcBorders>
            <w:vAlign w:val="center"/>
            <w:hideMark/>
          </w:tcPr>
          <w:p w14:paraId="3A907F2B" w14:textId="77777777" w:rsidR="00957771" w:rsidRPr="00CC308A" w:rsidRDefault="00957771">
            <w:pPr>
              <w:widowControl/>
              <w:overflowPunct/>
              <w:autoSpaceDE/>
              <w:autoSpaceDN/>
              <w:adjustRightInd/>
              <w:spacing w:line="256" w:lineRule="auto"/>
              <w:rPr>
                <w:rFonts w:asciiTheme="minorHAnsi" w:hAnsiTheme="minorHAnsi" w:cstheme="minorHAnsi"/>
                <w:sz w:val="22"/>
                <w:szCs w:val="22"/>
                <w:lang w:val="lv-LV" w:eastAsia="en-US"/>
              </w:rPr>
            </w:pPr>
          </w:p>
        </w:tc>
        <w:tc>
          <w:tcPr>
            <w:tcW w:w="2091" w:type="pct"/>
            <w:gridSpan w:val="2"/>
            <w:tcBorders>
              <w:top w:val="single" w:sz="4" w:space="0" w:color="auto"/>
              <w:left w:val="single" w:sz="4" w:space="0" w:color="auto"/>
              <w:bottom w:val="single" w:sz="4" w:space="0" w:color="auto"/>
              <w:right w:val="single" w:sz="4" w:space="0" w:color="auto"/>
            </w:tcBorders>
            <w:hideMark/>
          </w:tcPr>
          <w:p w14:paraId="350F9DDB" w14:textId="212A2B55" w:rsidR="00957771" w:rsidRPr="009D0644" w:rsidRDefault="00957771">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Garantēta tehniskā apkalpošana</w:t>
            </w:r>
          </w:p>
        </w:tc>
        <w:tc>
          <w:tcPr>
            <w:tcW w:w="2378" w:type="pct"/>
            <w:gridSpan w:val="3"/>
            <w:tcBorders>
              <w:top w:val="single" w:sz="4" w:space="0" w:color="auto"/>
              <w:left w:val="single" w:sz="4" w:space="0" w:color="auto"/>
              <w:bottom w:val="single" w:sz="4" w:space="0" w:color="auto"/>
              <w:right w:val="single" w:sz="4" w:space="0" w:color="auto"/>
            </w:tcBorders>
          </w:tcPr>
          <w:p w14:paraId="6BC24498" w14:textId="028CACA9" w:rsidR="00957771" w:rsidRPr="009D0644" w:rsidRDefault="00957771">
            <w:pPr>
              <w:spacing w:line="256" w:lineRule="auto"/>
              <w:rPr>
                <w:rFonts w:asciiTheme="minorHAnsi" w:hAnsiTheme="minorHAnsi" w:cstheme="minorHAnsi"/>
                <w:lang w:val="lv-LV" w:eastAsia="en-US"/>
              </w:rPr>
            </w:pPr>
          </w:p>
        </w:tc>
      </w:tr>
      <w:tr w:rsidR="00957771" w:rsidRPr="00CC308A" w14:paraId="6FAEB135" w14:textId="16CE6997" w:rsidTr="00957771">
        <w:trPr>
          <w:trHeight w:val="285"/>
          <w:jc w:val="center"/>
        </w:trPr>
        <w:tc>
          <w:tcPr>
            <w:tcW w:w="531" w:type="pct"/>
            <w:vMerge/>
            <w:tcBorders>
              <w:left w:val="single" w:sz="4" w:space="0" w:color="auto"/>
              <w:right w:val="single" w:sz="4" w:space="0" w:color="auto"/>
            </w:tcBorders>
            <w:vAlign w:val="center"/>
            <w:hideMark/>
          </w:tcPr>
          <w:p w14:paraId="003B36DD" w14:textId="77777777" w:rsidR="00957771" w:rsidRPr="00CC308A" w:rsidRDefault="00957771">
            <w:pPr>
              <w:widowControl/>
              <w:overflowPunct/>
              <w:autoSpaceDE/>
              <w:autoSpaceDN/>
              <w:adjustRightInd/>
              <w:spacing w:line="256" w:lineRule="auto"/>
              <w:rPr>
                <w:rFonts w:asciiTheme="minorHAnsi" w:hAnsiTheme="minorHAnsi" w:cstheme="minorHAnsi"/>
                <w:sz w:val="22"/>
                <w:szCs w:val="22"/>
                <w:lang w:val="lv-LV" w:eastAsia="en-US"/>
              </w:rPr>
            </w:pPr>
          </w:p>
        </w:tc>
        <w:tc>
          <w:tcPr>
            <w:tcW w:w="2091" w:type="pct"/>
            <w:gridSpan w:val="2"/>
            <w:tcBorders>
              <w:top w:val="single" w:sz="4" w:space="0" w:color="auto"/>
              <w:left w:val="single" w:sz="4" w:space="0" w:color="auto"/>
              <w:bottom w:val="single" w:sz="4" w:space="0" w:color="auto"/>
              <w:right w:val="single" w:sz="4" w:space="0" w:color="auto"/>
            </w:tcBorders>
            <w:hideMark/>
          </w:tcPr>
          <w:p w14:paraId="76BA82D0" w14:textId="5F9B4958" w:rsidR="00957771" w:rsidRPr="009D0644" w:rsidRDefault="00957771">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Pipetei jābūt individuāli kalibrējamai ar pareizību (</w:t>
            </w:r>
            <w:proofErr w:type="spellStart"/>
            <w:r w:rsidRPr="009D0644">
              <w:rPr>
                <w:rFonts w:asciiTheme="minorHAnsi" w:hAnsiTheme="minorHAnsi" w:cstheme="minorHAnsi"/>
                <w:lang w:val="lv-LV" w:eastAsia="en-US"/>
              </w:rPr>
              <w:t>accuracy</w:t>
            </w:r>
            <w:proofErr w:type="spellEnd"/>
            <w:r w:rsidRPr="009D0644">
              <w:rPr>
                <w:rFonts w:asciiTheme="minorHAnsi" w:hAnsiTheme="minorHAnsi" w:cstheme="minorHAnsi"/>
                <w:lang w:val="lv-LV" w:eastAsia="en-US"/>
              </w:rPr>
              <w:t>) un precizitāti (</w:t>
            </w:r>
            <w:proofErr w:type="spellStart"/>
            <w:r w:rsidRPr="009D0644">
              <w:rPr>
                <w:rFonts w:asciiTheme="minorHAnsi" w:hAnsiTheme="minorHAnsi" w:cstheme="minorHAnsi"/>
                <w:lang w:val="lv-LV" w:eastAsia="en-US"/>
              </w:rPr>
              <w:t>precision</w:t>
            </w:r>
            <w:proofErr w:type="spellEnd"/>
            <w:r w:rsidRPr="009D0644">
              <w:rPr>
                <w:rFonts w:asciiTheme="minorHAnsi" w:hAnsiTheme="minorHAnsi" w:cstheme="minorHAnsi"/>
                <w:lang w:val="lv-LV" w:eastAsia="en-US"/>
              </w:rPr>
              <w:t>), kas atbilst ISO 865</w:t>
            </w:r>
          </w:p>
        </w:tc>
        <w:tc>
          <w:tcPr>
            <w:tcW w:w="2378" w:type="pct"/>
            <w:gridSpan w:val="3"/>
            <w:tcBorders>
              <w:top w:val="single" w:sz="4" w:space="0" w:color="auto"/>
              <w:left w:val="single" w:sz="4" w:space="0" w:color="auto"/>
              <w:bottom w:val="single" w:sz="4" w:space="0" w:color="auto"/>
              <w:right w:val="single" w:sz="4" w:space="0" w:color="auto"/>
            </w:tcBorders>
          </w:tcPr>
          <w:p w14:paraId="07B58EC4" w14:textId="4EA47BEA" w:rsidR="00957771" w:rsidRPr="009D0644" w:rsidRDefault="00957771">
            <w:pPr>
              <w:spacing w:line="256" w:lineRule="auto"/>
              <w:rPr>
                <w:rFonts w:asciiTheme="minorHAnsi" w:hAnsiTheme="minorHAnsi" w:cstheme="minorHAnsi"/>
                <w:lang w:val="lv-LV" w:eastAsia="en-US"/>
              </w:rPr>
            </w:pPr>
          </w:p>
        </w:tc>
      </w:tr>
      <w:tr w:rsidR="00957771" w:rsidRPr="00CC308A" w14:paraId="05B410B8" w14:textId="5B329E90" w:rsidTr="00957771">
        <w:trPr>
          <w:trHeight w:val="285"/>
          <w:jc w:val="center"/>
        </w:trPr>
        <w:tc>
          <w:tcPr>
            <w:tcW w:w="531" w:type="pct"/>
            <w:vMerge/>
            <w:tcBorders>
              <w:left w:val="single" w:sz="4" w:space="0" w:color="auto"/>
              <w:right w:val="single" w:sz="4" w:space="0" w:color="auto"/>
            </w:tcBorders>
            <w:vAlign w:val="center"/>
            <w:hideMark/>
          </w:tcPr>
          <w:p w14:paraId="1BD1389D" w14:textId="77777777" w:rsidR="00957771" w:rsidRPr="00CC308A" w:rsidRDefault="00957771">
            <w:pPr>
              <w:widowControl/>
              <w:overflowPunct/>
              <w:autoSpaceDE/>
              <w:autoSpaceDN/>
              <w:adjustRightInd/>
              <w:spacing w:line="256" w:lineRule="auto"/>
              <w:rPr>
                <w:rFonts w:asciiTheme="minorHAnsi" w:hAnsiTheme="minorHAnsi" w:cstheme="minorHAnsi"/>
                <w:sz w:val="22"/>
                <w:szCs w:val="22"/>
                <w:lang w:val="lv-LV" w:eastAsia="en-US"/>
              </w:rPr>
            </w:pPr>
          </w:p>
        </w:tc>
        <w:tc>
          <w:tcPr>
            <w:tcW w:w="2091" w:type="pct"/>
            <w:gridSpan w:val="2"/>
            <w:tcBorders>
              <w:top w:val="single" w:sz="4" w:space="0" w:color="auto"/>
              <w:left w:val="single" w:sz="4" w:space="0" w:color="auto"/>
              <w:bottom w:val="single" w:sz="4" w:space="0" w:color="auto"/>
              <w:right w:val="single" w:sz="4" w:space="0" w:color="auto"/>
            </w:tcBorders>
            <w:hideMark/>
          </w:tcPr>
          <w:p w14:paraId="71149422" w14:textId="6AA26DE3" w:rsidR="00957771" w:rsidRPr="009D0644" w:rsidRDefault="00957771">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Ražota pēc ISO 9001</w:t>
            </w:r>
          </w:p>
        </w:tc>
        <w:tc>
          <w:tcPr>
            <w:tcW w:w="2378" w:type="pct"/>
            <w:gridSpan w:val="3"/>
            <w:tcBorders>
              <w:top w:val="single" w:sz="4" w:space="0" w:color="auto"/>
              <w:left w:val="single" w:sz="4" w:space="0" w:color="auto"/>
              <w:bottom w:val="single" w:sz="4" w:space="0" w:color="auto"/>
              <w:right w:val="single" w:sz="4" w:space="0" w:color="auto"/>
            </w:tcBorders>
          </w:tcPr>
          <w:p w14:paraId="3FF9DE58" w14:textId="0D4A543B" w:rsidR="00957771" w:rsidRPr="009D0644" w:rsidRDefault="00957771">
            <w:pPr>
              <w:spacing w:line="256" w:lineRule="auto"/>
              <w:rPr>
                <w:rFonts w:asciiTheme="minorHAnsi" w:hAnsiTheme="minorHAnsi" w:cstheme="minorHAnsi"/>
                <w:lang w:val="lv-LV" w:eastAsia="en-US"/>
              </w:rPr>
            </w:pPr>
          </w:p>
        </w:tc>
      </w:tr>
      <w:tr w:rsidR="00957771" w:rsidRPr="00CC308A" w14:paraId="07F1276E" w14:textId="6FD39C40" w:rsidTr="00957771">
        <w:trPr>
          <w:trHeight w:val="285"/>
          <w:jc w:val="center"/>
        </w:trPr>
        <w:tc>
          <w:tcPr>
            <w:tcW w:w="531" w:type="pct"/>
            <w:vMerge/>
            <w:tcBorders>
              <w:left w:val="single" w:sz="4" w:space="0" w:color="auto"/>
              <w:right w:val="single" w:sz="4" w:space="0" w:color="auto"/>
            </w:tcBorders>
            <w:vAlign w:val="center"/>
            <w:hideMark/>
          </w:tcPr>
          <w:p w14:paraId="67F207DB" w14:textId="77777777" w:rsidR="00957771" w:rsidRPr="00CC308A" w:rsidRDefault="00957771">
            <w:pPr>
              <w:widowControl/>
              <w:overflowPunct/>
              <w:autoSpaceDE/>
              <w:autoSpaceDN/>
              <w:adjustRightInd/>
              <w:spacing w:line="256" w:lineRule="auto"/>
              <w:rPr>
                <w:rFonts w:asciiTheme="minorHAnsi" w:hAnsiTheme="minorHAnsi" w:cstheme="minorHAnsi"/>
                <w:sz w:val="22"/>
                <w:szCs w:val="22"/>
                <w:lang w:val="lv-LV" w:eastAsia="en-US"/>
              </w:rPr>
            </w:pPr>
          </w:p>
        </w:tc>
        <w:tc>
          <w:tcPr>
            <w:tcW w:w="2091" w:type="pct"/>
            <w:gridSpan w:val="2"/>
            <w:tcBorders>
              <w:top w:val="single" w:sz="4" w:space="0" w:color="auto"/>
              <w:left w:val="single" w:sz="4" w:space="0" w:color="auto"/>
              <w:bottom w:val="single" w:sz="4" w:space="0" w:color="auto"/>
              <w:right w:val="single" w:sz="4" w:space="0" w:color="auto"/>
            </w:tcBorders>
            <w:hideMark/>
          </w:tcPr>
          <w:p w14:paraId="4B7AC85C" w14:textId="1582090C" w:rsidR="00957771" w:rsidRPr="009D0644" w:rsidRDefault="00957771">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Instrukcija latviešu vai angļu valodā</w:t>
            </w:r>
          </w:p>
        </w:tc>
        <w:tc>
          <w:tcPr>
            <w:tcW w:w="2378" w:type="pct"/>
            <w:gridSpan w:val="3"/>
            <w:tcBorders>
              <w:top w:val="single" w:sz="4" w:space="0" w:color="auto"/>
              <w:left w:val="single" w:sz="4" w:space="0" w:color="auto"/>
              <w:bottom w:val="single" w:sz="4" w:space="0" w:color="auto"/>
              <w:right w:val="single" w:sz="4" w:space="0" w:color="auto"/>
            </w:tcBorders>
          </w:tcPr>
          <w:p w14:paraId="241E2BA1" w14:textId="1DDF2957" w:rsidR="00957771" w:rsidRPr="009D0644" w:rsidRDefault="00957771">
            <w:pPr>
              <w:spacing w:line="256" w:lineRule="auto"/>
              <w:rPr>
                <w:rFonts w:asciiTheme="minorHAnsi" w:hAnsiTheme="minorHAnsi" w:cstheme="minorHAnsi"/>
                <w:lang w:val="lv-LV" w:eastAsia="en-US"/>
              </w:rPr>
            </w:pPr>
          </w:p>
        </w:tc>
      </w:tr>
      <w:tr w:rsidR="00957771" w:rsidRPr="00CC308A" w14:paraId="18E4C2F7" w14:textId="347C7404" w:rsidTr="00957771">
        <w:trPr>
          <w:trHeight w:val="285"/>
          <w:jc w:val="center"/>
        </w:trPr>
        <w:tc>
          <w:tcPr>
            <w:tcW w:w="531" w:type="pct"/>
            <w:vMerge/>
            <w:tcBorders>
              <w:left w:val="single" w:sz="4" w:space="0" w:color="auto"/>
              <w:right w:val="single" w:sz="4" w:space="0" w:color="auto"/>
            </w:tcBorders>
            <w:vAlign w:val="center"/>
            <w:hideMark/>
          </w:tcPr>
          <w:p w14:paraId="498265FA" w14:textId="77777777" w:rsidR="00957771" w:rsidRPr="00CC308A" w:rsidRDefault="00957771">
            <w:pPr>
              <w:widowControl/>
              <w:overflowPunct/>
              <w:autoSpaceDE/>
              <w:autoSpaceDN/>
              <w:adjustRightInd/>
              <w:spacing w:line="256" w:lineRule="auto"/>
              <w:rPr>
                <w:rFonts w:asciiTheme="minorHAnsi" w:hAnsiTheme="minorHAnsi" w:cstheme="minorHAnsi"/>
                <w:sz w:val="22"/>
                <w:szCs w:val="22"/>
                <w:lang w:val="lv-LV" w:eastAsia="en-US"/>
              </w:rPr>
            </w:pPr>
          </w:p>
        </w:tc>
        <w:tc>
          <w:tcPr>
            <w:tcW w:w="2091" w:type="pct"/>
            <w:gridSpan w:val="2"/>
            <w:tcBorders>
              <w:top w:val="single" w:sz="4" w:space="0" w:color="auto"/>
              <w:left w:val="single" w:sz="4" w:space="0" w:color="auto"/>
              <w:bottom w:val="single" w:sz="4" w:space="0" w:color="auto"/>
              <w:right w:val="single" w:sz="4" w:space="0" w:color="auto"/>
            </w:tcBorders>
            <w:hideMark/>
          </w:tcPr>
          <w:p w14:paraId="49DDF1F9" w14:textId="12EDFA31" w:rsidR="00957771" w:rsidRPr="009D0644" w:rsidRDefault="00957771">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 xml:space="preserve">CE </w:t>
            </w:r>
            <w:r w:rsidR="004E494E">
              <w:rPr>
                <w:rFonts w:asciiTheme="minorHAnsi" w:hAnsiTheme="minorHAnsi" w:cstheme="minorHAnsi"/>
                <w:lang w:val="lv-LV" w:eastAsia="en-US"/>
              </w:rPr>
              <w:t>marķējums</w:t>
            </w:r>
          </w:p>
        </w:tc>
        <w:tc>
          <w:tcPr>
            <w:tcW w:w="2378" w:type="pct"/>
            <w:gridSpan w:val="3"/>
            <w:tcBorders>
              <w:top w:val="single" w:sz="4" w:space="0" w:color="auto"/>
              <w:left w:val="single" w:sz="4" w:space="0" w:color="auto"/>
              <w:bottom w:val="single" w:sz="4" w:space="0" w:color="auto"/>
              <w:right w:val="single" w:sz="4" w:space="0" w:color="auto"/>
            </w:tcBorders>
          </w:tcPr>
          <w:p w14:paraId="257B7D98" w14:textId="1294CA10" w:rsidR="00957771" w:rsidRPr="009D0644" w:rsidRDefault="00957771">
            <w:pPr>
              <w:spacing w:line="256" w:lineRule="auto"/>
              <w:rPr>
                <w:rFonts w:asciiTheme="minorHAnsi" w:hAnsiTheme="minorHAnsi" w:cstheme="minorHAnsi"/>
                <w:lang w:val="lv-LV" w:eastAsia="en-US"/>
              </w:rPr>
            </w:pPr>
          </w:p>
        </w:tc>
      </w:tr>
      <w:tr w:rsidR="00957771" w:rsidRPr="00CC308A" w14:paraId="317FFEA7" w14:textId="0D8DF648" w:rsidTr="00957771">
        <w:trPr>
          <w:trHeight w:val="285"/>
          <w:jc w:val="center"/>
        </w:trPr>
        <w:tc>
          <w:tcPr>
            <w:tcW w:w="531" w:type="pct"/>
            <w:vMerge/>
            <w:tcBorders>
              <w:left w:val="single" w:sz="4" w:space="0" w:color="auto"/>
              <w:right w:val="single" w:sz="4" w:space="0" w:color="auto"/>
            </w:tcBorders>
            <w:vAlign w:val="center"/>
            <w:hideMark/>
          </w:tcPr>
          <w:p w14:paraId="1B182E49" w14:textId="77777777" w:rsidR="00957771" w:rsidRPr="00CC308A" w:rsidRDefault="00957771">
            <w:pPr>
              <w:widowControl/>
              <w:overflowPunct/>
              <w:autoSpaceDE/>
              <w:autoSpaceDN/>
              <w:adjustRightInd/>
              <w:spacing w:line="256" w:lineRule="auto"/>
              <w:rPr>
                <w:rFonts w:asciiTheme="minorHAnsi" w:hAnsiTheme="minorHAnsi" w:cstheme="minorHAnsi"/>
                <w:sz w:val="22"/>
                <w:szCs w:val="22"/>
                <w:lang w:val="lv-LV" w:eastAsia="en-US"/>
              </w:rPr>
            </w:pPr>
          </w:p>
        </w:tc>
        <w:tc>
          <w:tcPr>
            <w:tcW w:w="2091" w:type="pct"/>
            <w:gridSpan w:val="2"/>
            <w:tcBorders>
              <w:top w:val="single" w:sz="4" w:space="0" w:color="auto"/>
              <w:left w:val="single" w:sz="4" w:space="0" w:color="auto"/>
              <w:bottom w:val="single" w:sz="4" w:space="0" w:color="auto"/>
              <w:right w:val="single" w:sz="4" w:space="0" w:color="auto"/>
            </w:tcBorders>
            <w:hideMark/>
          </w:tcPr>
          <w:p w14:paraId="6AF82EC0" w14:textId="6DE33D31" w:rsidR="00957771" w:rsidRPr="009D0644" w:rsidRDefault="00957771">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Piegādātājam jānodrošina iespēja iegādāties atbilstošus speciālos pipetes uzgaļus</w:t>
            </w:r>
          </w:p>
        </w:tc>
        <w:tc>
          <w:tcPr>
            <w:tcW w:w="2378" w:type="pct"/>
            <w:gridSpan w:val="3"/>
            <w:tcBorders>
              <w:top w:val="single" w:sz="4" w:space="0" w:color="auto"/>
              <w:left w:val="single" w:sz="4" w:space="0" w:color="auto"/>
              <w:bottom w:val="single" w:sz="4" w:space="0" w:color="auto"/>
              <w:right w:val="single" w:sz="4" w:space="0" w:color="auto"/>
            </w:tcBorders>
          </w:tcPr>
          <w:p w14:paraId="1A2DD544" w14:textId="5316595D" w:rsidR="00957771" w:rsidRPr="009D0644" w:rsidRDefault="00957771">
            <w:pPr>
              <w:spacing w:line="256" w:lineRule="auto"/>
              <w:rPr>
                <w:rFonts w:asciiTheme="minorHAnsi" w:hAnsiTheme="minorHAnsi" w:cstheme="minorHAnsi"/>
                <w:lang w:val="lv-LV" w:eastAsia="en-US"/>
              </w:rPr>
            </w:pPr>
          </w:p>
        </w:tc>
      </w:tr>
      <w:tr w:rsidR="00957771" w:rsidRPr="00CC308A" w14:paraId="6A1CAFA9" w14:textId="6B5B5284" w:rsidTr="00957771">
        <w:trPr>
          <w:trHeight w:val="319"/>
          <w:jc w:val="center"/>
        </w:trPr>
        <w:tc>
          <w:tcPr>
            <w:tcW w:w="531" w:type="pct"/>
            <w:vMerge/>
            <w:tcBorders>
              <w:left w:val="single" w:sz="4" w:space="0" w:color="auto"/>
              <w:right w:val="single" w:sz="4" w:space="0" w:color="auto"/>
            </w:tcBorders>
            <w:vAlign w:val="center"/>
            <w:hideMark/>
          </w:tcPr>
          <w:p w14:paraId="16591D98" w14:textId="77777777" w:rsidR="00957771" w:rsidRPr="00CC308A" w:rsidRDefault="00957771">
            <w:pPr>
              <w:widowControl/>
              <w:overflowPunct/>
              <w:autoSpaceDE/>
              <w:autoSpaceDN/>
              <w:adjustRightInd/>
              <w:spacing w:line="256" w:lineRule="auto"/>
              <w:rPr>
                <w:rFonts w:asciiTheme="minorHAnsi" w:hAnsiTheme="minorHAnsi" w:cstheme="minorHAnsi"/>
                <w:sz w:val="22"/>
                <w:szCs w:val="22"/>
                <w:lang w:val="lv-LV" w:eastAsia="en-US"/>
              </w:rPr>
            </w:pPr>
          </w:p>
        </w:tc>
        <w:tc>
          <w:tcPr>
            <w:tcW w:w="2091" w:type="pct"/>
            <w:gridSpan w:val="2"/>
            <w:tcBorders>
              <w:top w:val="single" w:sz="4" w:space="0" w:color="auto"/>
              <w:left w:val="single" w:sz="4" w:space="0" w:color="auto"/>
              <w:right w:val="single" w:sz="4" w:space="0" w:color="auto"/>
            </w:tcBorders>
            <w:hideMark/>
          </w:tcPr>
          <w:p w14:paraId="358489F5" w14:textId="7C2F0B43" w:rsidR="00957771" w:rsidRPr="009D0644" w:rsidRDefault="00957771">
            <w:pPr>
              <w:spacing w:line="256" w:lineRule="auto"/>
              <w:rPr>
                <w:rFonts w:asciiTheme="minorHAnsi" w:hAnsiTheme="minorHAnsi" w:cstheme="minorHAnsi"/>
                <w:lang w:val="lv-LV" w:eastAsia="en-US"/>
              </w:rPr>
            </w:pPr>
            <w:r w:rsidRPr="009D0644">
              <w:rPr>
                <w:rFonts w:asciiTheme="minorHAnsi" w:hAnsiTheme="minorHAnsi" w:cstheme="minorHAnsi"/>
                <w:lang w:val="lv-LV" w:eastAsia="en-US"/>
              </w:rPr>
              <w:t>Piegādes adrese: Rīga, Lejupes iela 3</w:t>
            </w:r>
          </w:p>
        </w:tc>
        <w:tc>
          <w:tcPr>
            <w:tcW w:w="2378" w:type="pct"/>
            <w:gridSpan w:val="3"/>
            <w:tcBorders>
              <w:top w:val="single" w:sz="4" w:space="0" w:color="auto"/>
              <w:left w:val="single" w:sz="4" w:space="0" w:color="auto"/>
              <w:right w:val="single" w:sz="4" w:space="0" w:color="auto"/>
            </w:tcBorders>
          </w:tcPr>
          <w:p w14:paraId="2979705D" w14:textId="13CB1136" w:rsidR="00957771" w:rsidRPr="009D0644" w:rsidRDefault="00957771">
            <w:pPr>
              <w:spacing w:line="256" w:lineRule="auto"/>
              <w:rPr>
                <w:rFonts w:asciiTheme="minorHAnsi" w:hAnsiTheme="minorHAnsi" w:cstheme="minorHAnsi"/>
                <w:lang w:val="lv-LV" w:eastAsia="en-US"/>
              </w:rPr>
            </w:pPr>
          </w:p>
        </w:tc>
      </w:tr>
    </w:tbl>
    <w:p w14:paraId="3CF71D8A" w14:textId="77777777" w:rsidR="00C25254" w:rsidRPr="00C25254" w:rsidRDefault="00C25254" w:rsidP="00C25254">
      <w:pPr>
        <w:rPr>
          <w:rFonts w:asciiTheme="minorHAnsi" w:hAnsiTheme="minorHAnsi" w:cstheme="minorHAnsi"/>
          <w:sz w:val="22"/>
          <w:szCs w:val="22"/>
          <w:lang w:val="lv-LV" w:eastAsia="en-US"/>
        </w:rPr>
      </w:pPr>
      <w:bookmarkStart w:id="2" w:name="_Hlk75838324"/>
    </w:p>
    <w:p w14:paraId="6F351BAF" w14:textId="305C3FFA" w:rsidR="00C25254" w:rsidRPr="00C25254" w:rsidRDefault="00C25254" w:rsidP="00C25254">
      <w:pPr>
        <w:rPr>
          <w:rFonts w:asciiTheme="minorHAnsi" w:hAnsiTheme="minorHAnsi" w:cstheme="minorHAnsi"/>
          <w:sz w:val="22"/>
          <w:szCs w:val="22"/>
          <w:lang w:val="lv-LV" w:eastAsia="en-US"/>
        </w:rPr>
      </w:pPr>
      <w:r w:rsidRPr="00C25254">
        <w:rPr>
          <w:rFonts w:asciiTheme="minorHAnsi" w:hAnsiTheme="minorHAnsi" w:cstheme="minorHAnsi"/>
          <w:sz w:val="22"/>
          <w:szCs w:val="22"/>
          <w:lang w:val="lv-LV" w:eastAsia="en-US"/>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2"/>
    </w:p>
    <w:p w14:paraId="698BCD45" w14:textId="77777777" w:rsidR="00A272CF" w:rsidRDefault="00A272CF" w:rsidP="008A655B">
      <w:pPr>
        <w:rPr>
          <w:rFonts w:asciiTheme="minorHAnsi" w:hAnsiTheme="minorHAnsi" w:cstheme="minorHAnsi"/>
          <w:sz w:val="22"/>
          <w:szCs w:val="22"/>
          <w:lang w:val="lv-LV" w:eastAsia="en-US"/>
        </w:rPr>
      </w:pPr>
    </w:p>
    <w:tbl>
      <w:tblPr>
        <w:tblStyle w:val="TableGrid"/>
        <w:tblW w:w="0" w:type="auto"/>
        <w:tblInd w:w="7083" w:type="dxa"/>
        <w:tblLook w:val="04A0" w:firstRow="1" w:lastRow="0" w:firstColumn="1" w:lastColumn="0" w:noHBand="0" w:noVBand="1"/>
      </w:tblPr>
      <w:tblGrid>
        <w:gridCol w:w="5409"/>
        <w:gridCol w:w="2068"/>
      </w:tblGrid>
      <w:tr w:rsidR="00DE1CD8" w:rsidRPr="009F6565" w14:paraId="46FA0607" w14:textId="77777777" w:rsidTr="00156592">
        <w:tc>
          <w:tcPr>
            <w:tcW w:w="5812" w:type="dxa"/>
          </w:tcPr>
          <w:p w14:paraId="6C4DC985" w14:textId="77777777" w:rsidR="00DE1CD8" w:rsidRPr="009F6565" w:rsidRDefault="00DE1CD8" w:rsidP="00156592">
            <w:pPr>
              <w:widowControl/>
              <w:overflowPunct/>
              <w:autoSpaceDE/>
              <w:autoSpaceDN/>
              <w:adjustRightInd/>
              <w:spacing w:before="120" w:after="120"/>
              <w:jc w:val="right"/>
              <w:rPr>
                <w:rFonts w:ascii="Calibri" w:hAnsi="Calibri" w:cs="Calibri"/>
                <w:b/>
                <w:bCs/>
                <w:sz w:val="22"/>
                <w:szCs w:val="22"/>
                <w:lang w:val="lv-LV"/>
              </w:rPr>
            </w:pPr>
            <w:r w:rsidRPr="009E0C71">
              <w:rPr>
                <w:rFonts w:ascii="Calibri" w:hAnsi="Calibri" w:cs="Calibri"/>
                <w:b/>
                <w:bCs/>
                <w:sz w:val="22"/>
                <w:szCs w:val="22"/>
                <w:lang w:val="lv-LV"/>
              </w:rPr>
              <w:t>Summa EUR bez PVN par visu apjomu</w:t>
            </w:r>
          </w:p>
        </w:tc>
        <w:tc>
          <w:tcPr>
            <w:tcW w:w="2233" w:type="dxa"/>
          </w:tcPr>
          <w:p w14:paraId="7F38F41D" w14:textId="77777777" w:rsidR="00DE1CD8" w:rsidRPr="009F6565" w:rsidRDefault="00DE1CD8" w:rsidP="00156592">
            <w:pPr>
              <w:widowControl/>
              <w:overflowPunct/>
              <w:autoSpaceDE/>
              <w:autoSpaceDN/>
              <w:adjustRightInd/>
              <w:spacing w:before="120" w:after="120"/>
              <w:rPr>
                <w:rFonts w:ascii="Calibri" w:hAnsi="Calibri" w:cs="Calibri"/>
                <w:b/>
                <w:bCs/>
                <w:sz w:val="22"/>
                <w:szCs w:val="22"/>
                <w:lang w:val="lv-LV"/>
              </w:rPr>
            </w:pPr>
          </w:p>
        </w:tc>
      </w:tr>
    </w:tbl>
    <w:p w14:paraId="4A0992B3" w14:textId="77777777" w:rsidR="00DE1CD8" w:rsidRPr="00A23069" w:rsidRDefault="00DE1CD8" w:rsidP="008A655B">
      <w:pPr>
        <w:rPr>
          <w:rFonts w:asciiTheme="minorHAnsi" w:hAnsiTheme="minorHAnsi" w:cstheme="minorHAnsi"/>
          <w:sz w:val="22"/>
          <w:szCs w:val="22"/>
          <w:lang w:val="lv-LV" w:eastAsia="en-US"/>
        </w:rPr>
      </w:pPr>
    </w:p>
    <w:sectPr w:rsidR="00DE1CD8" w:rsidRPr="00A23069" w:rsidSect="00786582">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EB8"/>
    <w:multiLevelType w:val="hybridMultilevel"/>
    <w:tmpl w:val="4538E9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3638FB"/>
    <w:multiLevelType w:val="hybridMultilevel"/>
    <w:tmpl w:val="30B022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61976EC"/>
    <w:multiLevelType w:val="hybridMultilevel"/>
    <w:tmpl w:val="30B022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1778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7034354">
    <w:abstractNumId w:val="2"/>
  </w:num>
  <w:num w:numId="3" w16cid:durableId="672805212">
    <w:abstractNumId w:val="1"/>
  </w:num>
  <w:num w:numId="4" w16cid:durableId="140151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D"/>
    <w:rsid w:val="000019E6"/>
    <w:rsid w:val="00016787"/>
    <w:rsid w:val="00036A34"/>
    <w:rsid w:val="000524B4"/>
    <w:rsid w:val="00057E8E"/>
    <w:rsid w:val="00081F14"/>
    <w:rsid w:val="00091159"/>
    <w:rsid w:val="000D3BB7"/>
    <w:rsid w:val="000E36A8"/>
    <w:rsid w:val="000F2230"/>
    <w:rsid w:val="00112628"/>
    <w:rsid w:val="0015354B"/>
    <w:rsid w:val="002046B7"/>
    <w:rsid w:val="002146D1"/>
    <w:rsid w:val="002255C2"/>
    <w:rsid w:val="00234312"/>
    <w:rsid w:val="00244111"/>
    <w:rsid w:val="002D2353"/>
    <w:rsid w:val="002E178B"/>
    <w:rsid w:val="00365664"/>
    <w:rsid w:val="00437092"/>
    <w:rsid w:val="00441C3A"/>
    <w:rsid w:val="004A280C"/>
    <w:rsid w:val="004E494E"/>
    <w:rsid w:val="005212F0"/>
    <w:rsid w:val="0057724C"/>
    <w:rsid w:val="005A75DD"/>
    <w:rsid w:val="00621C82"/>
    <w:rsid w:val="006B795B"/>
    <w:rsid w:val="006F3F3F"/>
    <w:rsid w:val="00767E54"/>
    <w:rsid w:val="00786582"/>
    <w:rsid w:val="00794375"/>
    <w:rsid w:val="007C5ADA"/>
    <w:rsid w:val="0081632A"/>
    <w:rsid w:val="008A655B"/>
    <w:rsid w:val="00957771"/>
    <w:rsid w:val="009C6349"/>
    <w:rsid w:val="009D0644"/>
    <w:rsid w:val="009E0C71"/>
    <w:rsid w:val="00A23069"/>
    <w:rsid w:val="00A272CF"/>
    <w:rsid w:val="00A34EDF"/>
    <w:rsid w:val="00A761FD"/>
    <w:rsid w:val="00A87A37"/>
    <w:rsid w:val="00AB22B9"/>
    <w:rsid w:val="00B31F3B"/>
    <w:rsid w:val="00B77891"/>
    <w:rsid w:val="00B947AE"/>
    <w:rsid w:val="00C25254"/>
    <w:rsid w:val="00C7672F"/>
    <w:rsid w:val="00CC308A"/>
    <w:rsid w:val="00D249D1"/>
    <w:rsid w:val="00D33272"/>
    <w:rsid w:val="00D56FE3"/>
    <w:rsid w:val="00DD1536"/>
    <w:rsid w:val="00DE1CD8"/>
    <w:rsid w:val="00EE276C"/>
    <w:rsid w:val="00F06FA9"/>
    <w:rsid w:val="00F37347"/>
    <w:rsid w:val="00F504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600E"/>
  <w15:chartTrackingRefBased/>
  <w15:docId w15:val="{A3CB880F-AEC7-4355-9056-44102CEF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5D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5A75DD"/>
    <w:pPr>
      <w:widowControl/>
      <w:overflowPunct/>
      <w:autoSpaceDE/>
      <w:autoSpaceDN/>
      <w:adjustRightInd/>
      <w:spacing w:after="160" w:line="256" w:lineRule="auto"/>
      <w:ind w:left="720"/>
      <w:contextualSpacing/>
    </w:pPr>
    <w:rPr>
      <w:rFonts w:asciiTheme="minorHAnsi" w:eastAsiaTheme="minorHAnsi" w:hAnsiTheme="minorHAnsi" w:cstheme="minorBidi"/>
      <w:kern w:val="0"/>
      <w:sz w:val="22"/>
      <w:szCs w:val="22"/>
      <w:lang w:val="lv-LV" w:eastAsia="en-US"/>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DD1536"/>
  </w:style>
  <w:style w:type="table" w:styleId="TableGrid">
    <w:name w:val="Table Grid"/>
    <w:basedOn w:val="TableNormal"/>
    <w:uiPriority w:val="39"/>
    <w:rsid w:val="00DE1CD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0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1721</Words>
  <Characters>982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Lizuma</dc:creator>
  <cp:keywords/>
  <dc:description/>
  <cp:lastModifiedBy>Kristīne Rūmniece-Pakule</cp:lastModifiedBy>
  <cp:revision>38</cp:revision>
  <dcterms:created xsi:type="dcterms:W3CDTF">2024-01-19T10:51:00Z</dcterms:created>
  <dcterms:modified xsi:type="dcterms:W3CDTF">2025-11-19T11:52:00Z</dcterms:modified>
</cp:coreProperties>
</file>