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308F" w14:textId="77777777" w:rsidR="00441596" w:rsidRDefault="00441596" w:rsidP="00441596">
      <w:pPr>
        <w:pStyle w:val="ListParagraph"/>
        <w:ind w:left="426"/>
        <w:jc w:val="right"/>
        <w:rPr>
          <w:bCs/>
          <w:sz w:val="20"/>
          <w:szCs w:val="20"/>
        </w:rPr>
      </w:pPr>
      <w:bookmarkStart w:id="0" w:name="OLE_LINK1"/>
      <w:bookmarkStart w:id="1" w:name="_Hlk155709169"/>
      <w:r>
        <w:rPr>
          <w:bCs/>
          <w:sz w:val="20"/>
          <w:szCs w:val="20"/>
        </w:rPr>
        <w:t>Pārtikas drošības, dzīvnieku veselības un vides zinātniskā institūta “BIOR”</w:t>
      </w:r>
    </w:p>
    <w:p w14:paraId="0C32B266" w14:textId="77777777" w:rsidR="00441596" w:rsidRDefault="00441596" w:rsidP="00441596">
      <w:pPr>
        <w:pStyle w:val="ListParagraph"/>
        <w:ind w:left="426"/>
        <w:jc w:val="right"/>
        <w:rPr>
          <w:bCs/>
          <w:sz w:val="20"/>
          <w:szCs w:val="20"/>
        </w:rPr>
      </w:pPr>
      <w:r>
        <w:rPr>
          <w:bCs/>
          <w:sz w:val="20"/>
          <w:szCs w:val="20"/>
        </w:rPr>
        <w:t xml:space="preserve">  atklāta konkursa </w:t>
      </w:r>
      <w:bookmarkEnd w:id="0"/>
      <w:r>
        <w:rPr>
          <w:bCs/>
          <w:sz w:val="20"/>
          <w:szCs w:val="20"/>
        </w:rPr>
        <w:t xml:space="preserve">“Laboratorijas iekārtu piegāde’’ </w:t>
      </w:r>
    </w:p>
    <w:p w14:paraId="0FF29B5F" w14:textId="77777777" w:rsidR="00441596" w:rsidRDefault="00441596" w:rsidP="00441596">
      <w:pPr>
        <w:pStyle w:val="ListParagraph"/>
        <w:ind w:left="426"/>
        <w:jc w:val="right"/>
        <w:rPr>
          <w:bCs/>
          <w:sz w:val="20"/>
          <w:szCs w:val="20"/>
        </w:rPr>
      </w:pPr>
      <w:r>
        <w:rPr>
          <w:bCs/>
          <w:sz w:val="20"/>
          <w:szCs w:val="20"/>
        </w:rPr>
        <w:t>(ID. Nr. BIOR 2025/48/AK) nolikuma</w:t>
      </w:r>
    </w:p>
    <w:bookmarkEnd w:id="1"/>
    <w:p w14:paraId="693F3458" w14:textId="77777777" w:rsidR="00441596" w:rsidRDefault="00441596" w:rsidP="00441596">
      <w:pPr>
        <w:pStyle w:val="ListParagraph"/>
        <w:ind w:left="426"/>
        <w:jc w:val="right"/>
        <w:rPr>
          <w:bCs/>
          <w:sz w:val="20"/>
          <w:szCs w:val="20"/>
        </w:rPr>
      </w:pPr>
      <w:r>
        <w:rPr>
          <w:bCs/>
          <w:sz w:val="20"/>
          <w:szCs w:val="20"/>
        </w:rPr>
        <w:t>2. pielikums</w:t>
      </w:r>
    </w:p>
    <w:p w14:paraId="38C813F2" w14:textId="77777777" w:rsidR="00441596" w:rsidRDefault="00441596" w:rsidP="00441596">
      <w:pPr>
        <w:pStyle w:val="ListParagraph"/>
        <w:ind w:left="426"/>
        <w:jc w:val="right"/>
        <w:rPr>
          <w:bCs/>
          <w:sz w:val="20"/>
          <w:szCs w:val="20"/>
        </w:rPr>
      </w:pPr>
    </w:p>
    <w:p w14:paraId="6EB20E0B" w14:textId="77777777" w:rsidR="00441596" w:rsidRDefault="00441596" w:rsidP="00441596">
      <w:pPr>
        <w:pStyle w:val="ListParagraph"/>
        <w:spacing w:after="0" w:line="240" w:lineRule="auto"/>
        <w:ind w:left="426"/>
        <w:jc w:val="right"/>
        <w:rPr>
          <w:b/>
          <w:sz w:val="20"/>
          <w:szCs w:val="20"/>
        </w:rPr>
      </w:pPr>
      <w:r>
        <w:rPr>
          <w:b/>
          <w:sz w:val="20"/>
          <w:szCs w:val="20"/>
        </w:rPr>
        <w:t xml:space="preserve">Tehniskās specifikācijas sagatavošanas datums: </w:t>
      </w:r>
      <w:r>
        <w:rPr>
          <w:sz w:val="20"/>
          <w:szCs w:val="20"/>
        </w:rPr>
        <w:t>10.11.2025.</w:t>
      </w:r>
    </w:p>
    <w:p w14:paraId="3FD1A1C0" w14:textId="77777777" w:rsidR="00441596" w:rsidRDefault="00441596" w:rsidP="00441596">
      <w:pPr>
        <w:widowControl/>
        <w:overflowPunct/>
        <w:autoSpaceDE/>
        <w:adjustRightInd/>
        <w:spacing w:before="120" w:after="120"/>
        <w:jc w:val="center"/>
        <w:rPr>
          <w:rFonts w:asciiTheme="minorHAnsi" w:hAnsiTheme="minorHAnsi" w:cstheme="minorHAnsi"/>
          <w:b/>
          <w:bCs/>
          <w:caps/>
          <w:kern w:val="0"/>
          <w:sz w:val="22"/>
          <w:szCs w:val="22"/>
          <w:lang w:val="lv-LV" w:eastAsia="en-US"/>
        </w:rPr>
      </w:pPr>
    </w:p>
    <w:p w14:paraId="193EDA95" w14:textId="77777777" w:rsidR="004F1935" w:rsidRPr="004F1935" w:rsidRDefault="004F1935" w:rsidP="004F1935">
      <w:pPr>
        <w:widowControl/>
        <w:overflowPunct/>
        <w:autoSpaceDE/>
        <w:autoSpaceDN/>
        <w:adjustRightInd/>
        <w:spacing w:before="120" w:after="120"/>
        <w:jc w:val="center"/>
        <w:rPr>
          <w:rFonts w:asciiTheme="minorHAnsi" w:hAnsiTheme="minorHAnsi" w:cstheme="minorHAnsi"/>
          <w:b/>
          <w:bCs/>
          <w:caps/>
          <w:kern w:val="0"/>
          <w:sz w:val="22"/>
          <w:szCs w:val="22"/>
          <w:lang w:val="pl-PL" w:eastAsia="en-US"/>
        </w:rPr>
      </w:pPr>
      <w:r w:rsidRPr="004F1935">
        <w:rPr>
          <w:rFonts w:asciiTheme="minorHAnsi" w:hAnsiTheme="minorHAnsi" w:cstheme="minorHAnsi"/>
          <w:b/>
          <w:bCs/>
          <w:caps/>
          <w:kern w:val="0"/>
          <w:sz w:val="22"/>
          <w:szCs w:val="22"/>
          <w:lang w:val="pl-PL" w:eastAsia="en-US"/>
        </w:rPr>
        <w:t>tehniskā specifikācija / tehniskais un finanšu piedāvājums</w:t>
      </w:r>
    </w:p>
    <w:p w14:paraId="42DC04CE" w14:textId="4B15A936" w:rsidR="00194524" w:rsidRPr="008602FD" w:rsidRDefault="00BA538C" w:rsidP="008602FD">
      <w:pPr>
        <w:widowControl/>
        <w:overflowPunct/>
        <w:autoSpaceDE/>
        <w:autoSpaceDN/>
        <w:adjustRightInd/>
        <w:spacing w:before="120" w:after="120"/>
        <w:jc w:val="center"/>
        <w:rPr>
          <w:rFonts w:asciiTheme="minorHAnsi" w:hAnsiTheme="minorHAnsi" w:cstheme="minorHAnsi"/>
          <w:b/>
          <w:bCs/>
          <w:caps/>
          <w:sz w:val="22"/>
          <w:szCs w:val="22"/>
          <w:lang w:val="lv-LV"/>
        </w:rPr>
      </w:pPr>
      <w:r w:rsidRPr="008602FD">
        <w:rPr>
          <w:rFonts w:asciiTheme="minorHAnsi" w:hAnsiTheme="minorHAnsi" w:cstheme="minorHAnsi"/>
          <w:b/>
          <w:bCs/>
          <w:caps/>
          <w:kern w:val="0"/>
          <w:sz w:val="22"/>
          <w:szCs w:val="22"/>
          <w:lang w:val="lv-LV" w:eastAsia="en-US"/>
        </w:rPr>
        <w:t>19. daļa</w:t>
      </w:r>
      <w:r w:rsidR="008602FD" w:rsidRPr="008602FD">
        <w:rPr>
          <w:rFonts w:asciiTheme="minorHAnsi" w:hAnsiTheme="minorHAnsi" w:cstheme="minorHAnsi"/>
          <w:b/>
          <w:bCs/>
          <w:caps/>
          <w:kern w:val="0"/>
          <w:sz w:val="22"/>
          <w:szCs w:val="22"/>
          <w:lang w:val="lv-LV" w:eastAsia="en-US"/>
        </w:rPr>
        <w:t xml:space="preserve"> “</w:t>
      </w:r>
      <w:r w:rsidR="002504D1" w:rsidRPr="008602FD">
        <w:rPr>
          <w:rFonts w:asciiTheme="minorHAnsi" w:hAnsiTheme="minorHAnsi" w:cstheme="minorHAnsi"/>
          <w:b/>
          <w:iCs/>
          <w:caps/>
          <w:sz w:val="22"/>
          <w:szCs w:val="22"/>
          <w:lang w:val="lv-LV"/>
        </w:rPr>
        <w:t>Saldējošā galda centrifūga</w:t>
      </w:r>
      <w:r w:rsidR="008602FD" w:rsidRPr="008602FD">
        <w:rPr>
          <w:rFonts w:asciiTheme="minorHAnsi" w:hAnsiTheme="minorHAnsi" w:cstheme="minorHAnsi"/>
          <w:b/>
          <w:iCs/>
          <w:caps/>
          <w:sz w:val="22"/>
          <w:szCs w:val="22"/>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3"/>
        <w:gridCol w:w="6068"/>
        <w:gridCol w:w="1172"/>
        <w:gridCol w:w="5394"/>
        <w:gridCol w:w="1089"/>
      </w:tblGrid>
      <w:tr w:rsidR="00317CBF" w:rsidRPr="00317CBF" w14:paraId="17CA1956" w14:textId="29A09883" w:rsidTr="00317CBF">
        <w:trPr>
          <w:trHeight w:val="715"/>
          <w:tblHeader/>
        </w:trPr>
        <w:tc>
          <w:tcPr>
            <w:tcW w:w="2470" w:type="pct"/>
            <w:gridSpan w:val="2"/>
            <w:vAlign w:val="center"/>
          </w:tcPr>
          <w:p w14:paraId="1800F494" w14:textId="64FAFA22" w:rsidR="00317CBF" w:rsidRPr="00317CBF" w:rsidRDefault="00317CBF" w:rsidP="002504D1">
            <w:pPr>
              <w:jc w:val="center"/>
              <w:rPr>
                <w:rFonts w:asciiTheme="minorHAnsi" w:hAnsiTheme="minorHAnsi" w:cstheme="minorHAnsi"/>
                <w:b/>
                <w:sz w:val="22"/>
                <w:szCs w:val="22"/>
                <w:lang w:val="lv-LV"/>
              </w:rPr>
            </w:pPr>
            <w:r w:rsidRPr="00317CBF">
              <w:rPr>
                <w:rFonts w:asciiTheme="minorHAnsi" w:hAnsiTheme="minorHAnsi" w:cstheme="minorHAnsi"/>
                <w:b/>
                <w:sz w:val="22"/>
                <w:szCs w:val="22"/>
                <w:lang w:val="lv-LV"/>
              </w:rPr>
              <w:t>Tehniskā specifikācija</w:t>
            </w:r>
          </w:p>
        </w:tc>
        <w:tc>
          <w:tcPr>
            <w:tcW w:w="387" w:type="pct"/>
            <w:vAlign w:val="center"/>
          </w:tcPr>
          <w:p w14:paraId="77B38B9B" w14:textId="39AB9DD8" w:rsidR="00317CBF" w:rsidRPr="00317CBF" w:rsidRDefault="00317CBF" w:rsidP="002504D1">
            <w:pPr>
              <w:jc w:val="center"/>
              <w:rPr>
                <w:rFonts w:asciiTheme="minorHAnsi" w:hAnsiTheme="minorHAnsi" w:cstheme="minorHAnsi"/>
                <w:b/>
                <w:sz w:val="22"/>
                <w:szCs w:val="22"/>
                <w:lang w:val="lv-LV"/>
              </w:rPr>
            </w:pPr>
            <w:r w:rsidRPr="00317CBF">
              <w:rPr>
                <w:rFonts w:asciiTheme="minorHAnsi" w:hAnsiTheme="minorHAnsi" w:cstheme="minorHAnsi"/>
                <w:b/>
                <w:sz w:val="22"/>
                <w:szCs w:val="22"/>
                <w:lang w:val="lv-LV"/>
              </w:rPr>
              <w:t>Daudzums</w:t>
            </w:r>
          </w:p>
        </w:tc>
        <w:tc>
          <w:tcPr>
            <w:tcW w:w="1783" w:type="pct"/>
            <w:vAlign w:val="center"/>
          </w:tcPr>
          <w:p w14:paraId="4F467C51" w14:textId="77777777" w:rsidR="00317CBF" w:rsidRPr="00317CBF" w:rsidRDefault="00317CBF" w:rsidP="002504D1">
            <w:pPr>
              <w:widowControl/>
              <w:overflowPunct/>
              <w:autoSpaceDE/>
              <w:autoSpaceDN/>
              <w:adjustRightInd/>
              <w:spacing w:line="259" w:lineRule="auto"/>
              <w:jc w:val="center"/>
              <w:rPr>
                <w:rFonts w:asciiTheme="minorHAnsi" w:hAnsiTheme="minorHAnsi" w:cstheme="minorHAnsi"/>
                <w:b/>
                <w:sz w:val="22"/>
                <w:szCs w:val="22"/>
                <w:lang w:val="lv-LV"/>
              </w:rPr>
            </w:pPr>
            <w:r w:rsidRPr="00317CBF">
              <w:rPr>
                <w:rFonts w:asciiTheme="minorHAnsi" w:hAnsiTheme="minorHAnsi" w:cstheme="minorHAnsi"/>
                <w:b/>
                <w:sz w:val="22"/>
                <w:szCs w:val="22"/>
                <w:lang w:val="lv-LV"/>
              </w:rPr>
              <w:t>Tehniskais piedāvājums</w:t>
            </w:r>
          </w:p>
          <w:p w14:paraId="3DFFC234" w14:textId="4296AE56" w:rsidR="00317CBF" w:rsidRPr="00C5633B" w:rsidRDefault="005E7283" w:rsidP="002504D1">
            <w:pPr>
              <w:jc w:val="center"/>
              <w:rPr>
                <w:rFonts w:asciiTheme="minorHAnsi" w:hAnsiTheme="minorHAnsi" w:cstheme="minorHAnsi"/>
                <w:b/>
                <w:lang w:val="lv-LV"/>
              </w:rPr>
            </w:pPr>
            <w:r w:rsidRPr="0093245D">
              <w:rPr>
                <w:rFonts w:asciiTheme="minorHAnsi" w:hAnsiTheme="minorHAnsi" w:cstheme="minorHAnsi"/>
                <w:bCs/>
                <w:lang w:val="lv-LV"/>
              </w:rPr>
              <w:t xml:space="preserve">Pretendenta piedāvātās iekārtas apraksts, ražotājs, marka, citi parametri atbilstoši tehniskajai specifikācijai. Atsauce uz iekārtas raksturojošās dokumentācijas lpp. vai </w:t>
            </w:r>
            <w:proofErr w:type="spellStart"/>
            <w:r w:rsidRPr="0093245D">
              <w:rPr>
                <w:rFonts w:asciiTheme="minorHAnsi" w:hAnsiTheme="minorHAnsi" w:cstheme="minorHAnsi"/>
                <w:bCs/>
                <w:lang w:val="lv-LV"/>
              </w:rPr>
              <w:t>linku</w:t>
            </w:r>
            <w:proofErr w:type="spellEnd"/>
            <w:r>
              <w:rPr>
                <w:rFonts w:asciiTheme="minorHAnsi" w:hAnsiTheme="minorHAnsi" w:cstheme="minorHAnsi"/>
                <w:bCs/>
                <w:lang w:val="lv-LV"/>
              </w:rPr>
              <w:t>/saiti</w:t>
            </w:r>
            <w:r w:rsidRPr="0093245D">
              <w:rPr>
                <w:rFonts w:asciiTheme="minorHAnsi" w:hAnsiTheme="minorHAnsi" w:cstheme="minorHAnsi"/>
                <w:bCs/>
                <w:lang w:val="lv-LV"/>
              </w:rPr>
              <w:t xml:space="preserve">, </w:t>
            </w:r>
            <w:r w:rsidRPr="0093245D">
              <w:rPr>
                <w:rFonts w:asciiTheme="minorHAnsi" w:eastAsiaTheme="minorHAnsi" w:hAnsiTheme="minorHAnsi" w:cstheme="minorHAnsi"/>
                <w:bCs/>
                <w:lang w:val="lv-LV" w:eastAsia="en-US"/>
              </w:rPr>
              <w:t>kur atrodama informācija par iekārtas atbilstību katrai prasībai</w:t>
            </w:r>
            <w:r>
              <w:rPr>
                <w:rFonts w:asciiTheme="minorHAnsi" w:eastAsiaTheme="minorHAnsi" w:hAnsiTheme="minorHAnsi" w:cstheme="minorHAnsi"/>
                <w:bCs/>
                <w:lang w:val="lv-LV" w:eastAsia="en-US"/>
              </w:rPr>
              <w:t xml:space="preserve">. </w:t>
            </w:r>
            <w:r w:rsidRPr="00930077">
              <w:rPr>
                <w:rFonts w:asciiTheme="minorHAnsi" w:eastAsiaTheme="minorHAnsi" w:hAnsiTheme="minorHAnsi" w:cstheme="minorHAnsi"/>
                <w:bCs/>
                <w:lang w:val="lv-LV" w:eastAsia="en-US"/>
              </w:rPr>
              <w:t xml:space="preserve">Iekārtas elektroenerģijas patēriņš </w:t>
            </w:r>
            <w:proofErr w:type="spellStart"/>
            <w:r w:rsidRPr="00930077">
              <w:rPr>
                <w:rFonts w:asciiTheme="minorHAnsi" w:eastAsiaTheme="minorHAnsi" w:hAnsiTheme="minorHAnsi" w:cstheme="minorHAnsi"/>
                <w:bCs/>
                <w:lang w:val="lv-LV" w:eastAsia="en-US"/>
              </w:rPr>
              <w:t>kW</w:t>
            </w:r>
            <w:proofErr w:type="spellEnd"/>
            <w:r w:rsidRPr="00930077">
              <w:rPr>
                <w:rFonts w:asciiTheme="minorHAnsi" w:eastAsiaTheme="minorHAnsi" w:hAnsiTheme="minorHAnsi" w:cstheme="minorHAnsi"/>
                <w:bCs/>
                <w:lang w:val="lv-LV" w:eastAsia="en-US"/>
              </w:rPr>
              <w:t xml:space="preserve"> stundā</w:t>
            </w:r>
            <w:r>
              <w:rPr>
                <w:rFonts w:asciiTheme="minorHAnsi" w:eastAsiaTheme="minorHAnsi" w:hAnsiTheme="minorHAnsi" w:cstheme="minorHAnsi"/>
                <w:bCs/>
                <w:lang w:val="lv-LV" w:eastAsia="en-US"/>
              </w:rPr>
              <w:t>.</w:t>
            </w:r>
          </w:p>
        </w:tc>
        <w:tc>
          <w:tcPr>
            <w:tcW w:w="360" w:type="pct"/>
            <w:vAlign w:val="center"/>
          </w:tcPr>
          <w:p w14:paraId="774E2855" w14:textId="42A735D0" w:rsidR="00317CBF" w:rsidRPr="00317CBF" w:rsidRDefault="00317CBF" w:rsidP="002504D1">
            <w:pPr>
              <w:widowControl/>
              <w:overflowPunct/>
              <w:autoSpaceDE/>
              <w:autoSpaceDN/>
              <w:adjustRightInd/>
              <w:spacing w:line="259" w:lineRule="auto"/>
              <w:jc w:val="center"/>
              <w:rPr>
                <w:rFonts w:asciiTheme="minorHAnsi" w:hAnsiTheme="minorHAnsi" w:cstheme="minorHAnsi"/>
                <w:b/>
                <w:sz w:val="22"/>
                <w:szCs w:val="22"/>
                <w:lang w:val="lv-LV"/>
              </w:rPr>
            </w:pPr>
            <w:r w:rsidRPr="00317CBF">
              <w:rPr>
                <w:rFonts w:asciiTheme="minorHAnsi" w:hAnsiTheme="minorHAnsi" w:cstheme="minorHAnsi"/>
                <w:b/>
                <w:sz w:val="22"/>
                <w:szCs w:val="22"/>
                <w:lang w:val="lv-LV"/>
              </w:rPr>
              <w:t xml:space="preserve">Cena* EUR </w:t>
            </w:r>
          </w:p>
          <w:p w14:paraId="716CC1D9" w14:textId="7E8DBAAA" w:rsidR="00317CBF" w:rsidRPr="00317CBF" w:rsidRDefault="00317CBF" w:rsidP="002504D1">
            <w:pPr>
              <w:jc w:val="center"/>
              <w:rPr>
                <w:rFonts w:asciiTheme="minorHAnsi" w:hAnsiTheme="minorHAnsi" w:cstheme="minorHAnsi"/>
                <w:b/>
                <w:sz w:val="22"/>
                <w:szCs w:val="22"/>
                <w:lang w:val="lv-LV"/>
              </w:rPr>
            </w:pPr>
            <w:r w:rsidRPr="00317CBF">
              <w:rPr>
                <w:rFonts w:asciiTheme="minorHAnsi" w:hAnsiTheme="minorHAnsi" w:cstheme="minorHAnsi"/>
                <w:b/>
                <w:sz w:val="22"/>
                <w:szCs w:val="22"/>
                <w:lang w:val="lv-LV"/>
              </w:rPr>
              <w:t>bez PVN</w:t>
            </w:r>
          </w:p>
        </w:tc>
      </w:tr>
      <w:tr w:rsidR="005E7283" w:rsidRPr="00C5633B" w14:paraId="746BE7E0" w14:textId="6C8476C6" w:rsidTr="00C501A3">
        <w:tblPrEx>
          <w:tblLook w:val="01E0" w:firstRow="1" w:lastRow="1" w:firstColumn="1" w:lastColumn="1" w:noHBand="0" w:noVBand="0"/>
        </w:tblPrEx>
        <w:tc>
          <w:tcPr>
            <w:tcW w:w="464" w:type="pct"/>
            <w:vMerge w:val="restart"/>
          </w:tcPr>
          <w:p w14:paraId="5362EADC" w14:textId="77777777" w:rsidR="005E7283" w:rsidRPr="00C5633B" w:rsidRDefault="005E7283" w:rsidP="001C4989">
            <w:pPr>
              <w:rPr>
                <w:rFonts w:asciiTheme="minorHAnsi" w:hAnsiTheme="minorHAnsi" w:cstheme="minorHAnsi"/>
                <w:lang w:val="lv-LV"/>
              </w:rPr>
            </w:pPr>
            <w:r w:rsidRPr="00C5633B">
              <w:rPr>
                <w:rFonts w:asciiTheme="minorHAnsi" w:hAnsiTheme="minorHAnsi" w:cstheme="minorHAnsi"/>
                <w:lang w:val="lv-LV"/>
              </w:rPr>
              <w:t>Komplektācija un tehniskās prasības</w:t>
            </w:r>
          </w:p>
        </w:tc>
        <w:tc>
          <w:tcPr>
            <w:tcW w:w="2006" w:type="pct"/>
          </w:tcPr>
          <w:p w14:paraId="3973ED10" w14:textId="0F2636D2" w:rsidR="005E7283" w:rsidRPr="00DC6E28" w:rsidRDefault="005E7283" w:rsidP="002504D1">
            <w:pPr>
              <w:tabs>
                <w:tab w:val="left" w:pos="330"/>
              </w:tabs>
              <w:jc w:val="both"/>
              <w:rPr>
                <w:rFonts w:asciiTheme="minorHAnsi" w:hAnsiTheme="minorHAnsi" w:cstheme="minorHAnsi"/>
                <w:lang w:val="lv-LV"/>
              </w:rPr>
            </w:pPr>
            <w:r w:rsidRPr="00DC6E28">
              <w:rPr>
                <w:rFonts w:asciiTheme="minorHAnsi" w:hAnsiTheme="minorHAnsi" w:cstheme="minorHAnsi"/>
                <w:lang w:val="lv-LV"/>
              </w:rPr>
              <w:t>Iekārta</w:t>
            </w:r>
            <w:r w:rsidR="00956E93">
              <w:rPr>
                <w:rFonts w:asciiTheme="minorHAnsi" w:hAnsiTheme="minorHAnsi" w:cstheme="minorHAnsi"/>
                <w:lang w:val="lv-LV"/>
              </w:rPr>
              <w:t>:</w:t>
            </w:r>
          </w:p>
          <w:p w14:paraId="06F72BDE" w14:textId="006062D9" w:rsidR="005E7283" w:rsidRPr="00C5633B" w:rsidRDefault="005E7283" w:rsidP="00956E93">
            <w:pPr>
              <w:pStyle w:val="ListParagraph"/>
              <w:numPr>
                <w:ilvl w:val="0"/>
                <w:numId w:val="12"/>
              </w:numPr>
              <w:spacing w:after="0" w:line="240" w:lineRule="auto"/>
              <w:ind w:left="329" w:hanging="329"/>
              <w:jc w:val="both"/>
              <w:rPr>
                <w:rFonts w:cstheme="minorHAnsi"/>
                <w:sz w:val="20"/>
                <w:szCs w:val="20"/>
              </w:rPr>
            </w:pPr>
            <w:r w:rsidRPr="00C5633B">
              <w:rPr>
                <w:rFonts w:cstheme="minorHAnsi"/>
                <w:sz w:val="20"/>
                <w:szCs w:val="20"/>
              </w:rPr>
              <w:t xml:space="preserve">Metāla </w:t>
            </w:r>
            <w:proofErr w:type="spellStart"/>
            <w:r w:rsidRPr="00C5633B">
              <w:rPr>
                <w:rFonts w:cstheme="minorHAnsi"/>
                <w:sz w:val="20"/>
                <w:szCs w:val="20"/>
              </w:rPr>
              <w:t>aizsargkorpuss</w:t>
            </w:r>
            <w:proofErr w:type="spellEnd"/>
            <w:r w:rsidRPr="00C5633B">
              <w:rPr>
                <w:rFonts w:cstheme="minorHAnsi"/>
                <w:sz w:val="20"/>
                <w:szCs w:val="20"/>
              </w:rPr>
              <w:t xml:space="preserve"> ar vāku</w:t>
            </w:r>
          </w:p>
          <w:p w14:paraId="283B097B" w14:textId="0CBCC99F" w:rsidR="005E7283" w:rsidRPr="00C5633B" w:rsidRDefault="005E7283" w:rsidP="00956E93">
            <w:pPr>
              <w:pStyle w:val="ListParagraph"/>
              <w:numPr>
                <w:ilvl w:val="0"/>
                <w:numId w:val="12"/>
              </w:numPr>
              <w:spacing w:after="0" w:line="240" w:lineRule="auto"/>
              <w:ind w:left="329" w:hanging="329"/>
              <w:jc w:val="both"/>
              <w:rPr>
                <w:rFonts w:cstheme="minorHAnsi"/>
                <w:sz w:val="20"/>
                <w:szCs w:val="20"/>
              </w:rPr>
            </w:pPr>
            <w:r w:rsidRPr="00C5633B">
              <w:rPr>
                <w:rFonts w:cstheme="minorHAnsi"/>
                <w:sz w:val="20"/>
                <w:szCs w:val="20"/>
              </w:rPr>
              <w:t>Temperatūru var iestatīt diapazonā no -10</w:t>
            </w:r>
            <w:r w:rsidRPr="00C5633B">
              <w:rPr>
                <w:rFonts w:cstheme="minorHAnsi"/>
                <w:sz w:val="20"/>
                <w:szCs w:val="20"/>
                <w:vertAlign w:val="superscript"/>
              </w:rPr>
              <w:t>o</w:t>
            </w:r>
            <w:r w:rsidRPr="00C5633B">
              <w:rPr>
                <w:rFonts w:cstheme="minorHAnsi"/>
                <w:sz w:val="20"/>
                <w:szCs w:val="20"/>
              </w:rPr>
              <w:t>C līdz +25</w:t>
            </w:r>
            <w:r w:rsidRPr="00C5633B">
              <w:rPr>
                <w:rFonts w:cstheme="minorHAnsi"/>
                <w:sz w:val="20"/>
                <w:szCs w:val="20"/>
                <w:vertAlign w:val="superscript"/>
              </w:rPr>
              <w:t>o</w:t>
            </w:r>
            <w:r w:rsidRPr="00C5633B">
              <w:rPr>
                <w:rFonts w:cstheme="minorHAnsi"/>
                <w:sz w:val="20"/>
                <w:szCs w:val="20"/>
              </w:rPr>
              <w:t>C</w:t>
            </w:r>
          </w:p>
          <w:p w14:paraId="74F2C2E1" w14:textId="418F8160" w:rsidR="005E7283" w:rsidRPr="00C5633B" w:rsidRDefault="005E7283" w:rsidP="00956E93">
            <w:pPr>
              <w:pStyle w:val="ListParagraph"/>
              <w:numPr>
                <w:ilvl w:val="0"/>
                <w:numId w:val="12"/>
              </w:numPr>
              <w:spacing w:after="0"/>
              <w:ind w:left="329" w:hanging="329"/>
              <w:jc w:val="both"/>
              <w:rPr>
                <w:rFonts w:cstheme="minorHAnsi"/>
                <w:sz w:val="20"/>
                <w:szCs w:val="20"/>
              </w:rPr>
            </w:pPr>
            <w:proofErr w:type="spellStart"/>
            <w:r w:rsidRPr="00C5633B">
              <w:rPr>
                <w:rFonts w:cstheme="minorHAnsi"/>
                <w:sz w:val="20"/>
                <w:szCs w:val="20"/>
              </w:rPr>
              <w:t>Priekšdzesēšanas</w:t>
            </w:r>
            <w:proofErr w:type="spellEnd"/>
            <w:r w:rsidRPr="00C5633B">
              <w:rPr>
                <w:rFonts w:cstheme="minorHAnsi"/>
                <w:sz w:val="20"/>
                <w:szCs w:val="20"/>
              </w:rPr>
              <w:t xml:space="preserve"> funkcija</w:t>
            </w:r>
          </w:p>
          <w:p w14:paraId="221883BE" w14:textId="396312F6" w:rsidR="005E7283" w:rsidRPr="00C5633B" w:rsidRDefault="005E7283" w:rsidP="00956E93">
            <w:pPr>
              <w:pStyle w:val="ListParagraph"/>
              <w:numPr>
                <w:ilvl w:val="0"/>
                <w:numId w:val="12"/>
              </w:numPr>
              <w:spacing w:after="0" w:line="240" w:lineRule="auto"/>
              <w:ind w:left="329" w:hanging="329"/>
              <w:jc w:val="both"/>
              <w:rPr>
                <w:rFonts w:cstheme="minorHAnsi"/>
                <w:sz w:val="20"/>
                <w:szCs w:val="20"/>
              </w:rPr>
            </w:pPr>
            <w:r w:rsidRPr="00C5633B">
              <w:rPr>
                <w:rFonts w:cstheme="minorHAnsi"/>
                <w:sz w:val="20"/>
                <w:szCs w:val="20"/>
              </w:rPr>
              <w:t>Temperatūras iestatīšanas solis: 1</w:t>
            </w:r>
            <w:r w:rsidRPr="00C5633B">
              <w:rPr>
                <w:rFonts w:cstheme="minorHAnsi"/>
                <w:sz w:val="20"/>
                <w:szCs w:val="20"/>
                <w:vertAlign w:val="superscript"/>
              </w:rPr>
              <w:t>o</w:t>
            </w:r>
            <w:r w:rsidRPr="00C5633B">
              <w:rPr>
                <w:rFonts w:cstheme="minorHAnsi"/>
                <w:sz w:val="20"/>
                <w:szCs w:val="20"/>
              </w:rPr>
              <w:t>C</w:t>
            </w:r>
          </w:p>
          <w:p w14:paraId="3FD31CB1" w14:textId="28DB42C8" w:rsidR="005E7283" w:rsidRPr="00C5633B" w:rsidRDefault="005E7283" w:rsidP="00956E93">
            <w:pPr>
              <w:pStyle w:val="ListParagraph"/>
              <w:numPr>
                <w:ilvl w:val="0"/>
                <w:numId w:val="12"/>
              </w:numPr>
              <w:spacing w:after="0" w:line="240" w:lineRule="auto"/>
              <w:ind w:left="329" w:hanging="329"/>
              <w:jc w:val="both"/>
              <w:rPr>
                <w:rFonts w:cstheme="minorHAnsi"/>
                <w:sz w:val="20"/>
                <w:szCs w:val="20"/>
              </w:rPr>
            </w:pPr>
            <w:r w:rsidRPr="00C5633B">
              <w:rPr>
                <w:rFonts w:cstheme="minorHAnsi"/>
                <w:sz w:val="20"/>
                <w:szCs w:val="20"/>
              </w:rPr>
              <w:t>Darbības laikā uztur stabilu uzstādīto temperatūru</w:t>
            </w:r>
          </w:p>
          <w:p w14:paraId="2CDED108" w14:textId="0A04A2EE" w:rsidR="005E7283" w:rsidRPr="00C5633B" w:rsidRDefault="005E7283" w:rsidP="00956E93">
            <w:pPr>
              <w:pStyle w:val="ListParagraph"/>
              <w:numPr>
                <w:ilvl w:val="0"/>
                <w:numId w:val="12"/>
              </w:numPr>
              <w:spacing w:after="0" w:line="240" w:lineRule="auto"/>
              <w:ind w:left="329" w:hanging="329"/>
              <w:jc w:val="both"/>
              <w:rPr>
                <w:rFonts w:cstheme="minorHAnsi"/>
                <w:sz w:val="20"/>
                <w:szCs w:val="20"/>
              </w:rPr>
            </w:pPr>
            <w:proofErr w:type="spellStart"/>
            <w:r w:rsidRPr="00C5633B">
              <w:rPr>
                <w:rFonts w:cstheme="minorHAnsi"/>
                <w:sz w:val="20"/>
                <w:szCs w:val="20"/>
              </w:rPr>
              <w:t>Apgriezienu</w:t>
            </w:r>
            <w:proofErr w:type="spellEnd"/>
            <w:r w:rsidRPr="00C5633B">
              <w:rPr>
                <w:rFonts w:cstheme="minorHAnsi"/>
                <w:sz w:val="20"/>
                <w:szCs w:val="20"/>
              </w:rPr>
              <w:t xml:space="preserve"> skaits minūtē (</w:t>
            </w:r>
            <w:proofErr w:type="spellStart"/>
            <w:r w:rsidRPr="00C5633B">
              <w:rPr>
                <w:rFonts w:cstheme="minorHAnsi"/>
                <w:sz w:val="20"/>
                <w:szCs w:val="20"/>
              </w:rPr>
              <w:t>rpm</w:t>
            </w:r>
            <w:proofErr w:type="spellEnd"/>
            <w:r w:rsidRPr="00C5633B">
              <w:rPr>
                <w:rFonts w:cstheme="minorHAnsi"/>
                <w:sz w:val="20"/>
                <w:szCs w:val="20"/>
              </w:rPr>
              <w:t>)</w:t>
            </w:r>
            <w:r>
              <w:rPr>
                <w:rFonts w:cstheme="minorHAnsi"/>
                <w:sz w:val="20"/>
                <w:szCs w:val="20"/>
              </w:rPr>
              <w:t xml:space="preserve"> vismaz</w:t>
            </w:r>
            <w:r w:rsidRPr="00C5633B">
              <w:rPr>
                <w:rFonts w:cstheme="minorHAnsi"/>
                <w:sz w:val="20"/>
                <w:szCs w:val="20"/>
              </w:rPr>
              <w:t xml:space="preserve"> līdz 1</w:t>
            </w:r>
            <w:r>
              <w:rPr>
                <w:rFonts w:cstheme="minorHAnsi"/>
                <w:sz w:val="20"/>
                <w:szCs w:val="20"/>
              </w:rPr>
              <w:t>4</w:t>
            </w:r>
            <w:r w:rsidRPr="00C5633B">
              <w:rPr>
                <w:rFonts w:cstheme="minorHAnsi"/>
                <w:sz w:val="20"/>
                <w:szCs w:val="20"/>
              </w:rPr>
              <w:t xml:space="preserve">000 </w:t>
            </w:r>
            <w:proofErr w:type="spellStart"/>
            <w:r w:rsidRPr="00C5633B">
              <w:rPr>
                <w:rFonts w:cstheme="minorHAnsi"/>
                <w:sz w:val="20"/>
                <w:szCs w:val="20"/>
              </w:rPr>
              <w:t>rpm</w:t>
            </w:r>
            <w:proofErr w:type="spellEnd"/>
          </w:p>
          <w:p w14:paraId="0A5160D2" w14:textId="7E9DBD35" w:rsidR="005E7283" w:rsidRPr="00C5633B" w:rsidRDefault="005E7283" w:rsidP="00956E93">
            <w:pPr>
              <w:pStyle w:val="ListParagraph"/>
              <w:numPr>
                <w:ilvl w:val="0"/>
                <w:numId w:val="12"/>
              </w:numPr>
              <w:spacing w:after="0" w:line="240" w:lineRule="auto"/>
              <w:ind w:left="329" w:hanging="329"/>
              <w:jc w:val="both"/>
              <w:rPr>
                <w:rFonts w:cstheme="minorHAnsi"/>
                <w:sz w:val="20"/>
                <w:szCs w:val="20"/>
              </w:rPr>
            </w:pPr>
            <w:r w:rsidRPr="00C5633B">
              <w:rPr>
                <w:rFonts w:cstheme="minorHAnsi"/>
                <w:sz w:val="20"/>
                <w:szCs w:val="20"/>
              </w:rPr>
              <w:t xml:space="preserve">Ātruma iestatīšanas solis: 100 </w:t>
            </w:r>
            <w:proofErr w:type="spellStart"/>
            <w:r w:rsidRPr="00C5633B">
              <w:rPr>
                <w:rFonts w:cstheme="minorHAnsi"/>
                <w:sz w:val="20"/>
                <w:szCs w:val="20"/>
              </w:rPr>
              <w:t>apgriezieni</w:t>
            </w:r>
            <w:proofErr w:type="spellEnd"/>
            <w:r w:rsidRPr="00C5633B">
              <w:rPr>
                <w:rFonts w:cstheme="minorHAnsi"/>
                <w:sz w:val="20"/>
                <w:szCs w:val="20"/>
              </w:rPr>
              <w:t>/minūtē</w:t>
            </w:r>
          </w:p>
          <w:p w14:paraId="016E9BFF" w14:textId="04709032" w:rsidR="005E7283" w:rsidRPr="00C5633B" w:rsidRDefault="005E7283" w:rsidP="00956E93">
            <w:pPr>
              <w:pStyle w:val="ListParagraph"/>
              <w:numPr>
                <w:ilvl w:val="0"/>
                <w:numId w:val="12"/>
              </w:numPr>
              <w:spacing w:after="0" w:line="240" w:lineRule="auto"/>
              <w:ind w:left="329" w:hanging="329"/>
              <w:jc w:val="both"/>
              <w:rPr>
                <w:rFonts w:cstheme="minorHAnsi"/>
                <w:sz w:val="20"/>
                <w:szCs w:val="20"/>
              </w:rPr>
            </w:pPr>
            <w:r w:rsidRPr="00C5633B">
              <w:rPr>
                <w:rFonts w:cstheme="minorHAnsi"/>
                <w:sz w:val="20"/>
                <w:szCs w:val="20"/>
              </w:rPr>
              <w:t>Rotora apstāšanās laiks: līdz 30 sekundēm</w:t>
            </w:r>
          </w:p>
          <w:p w14:paraId="2EE75934" w14:textId="6D587E0A" w:rsidR="005E7283" w:rsidRPr="00C5633B" w:rsidRDefault="005E7283" w:rsidP="00956E93">
            <w:pPr>
              <w:pStyle w:val="ListParagraph"/>
              <w:numPr>
                <w:ilvl w:val="0"/>
                <w:numId w:val="12"/>
              </w:numPr>
              <w:spacing w:after="0" w:line="240" w:lineRule="auto"/>
              <w:ind w:left="329" w:hanging="329"/>
              <w:jc w:val="both"/>
              <w:rPr>
                <w:rFonts w:cstheme="minorHAnsi"/>
                <w:sz w:val="20"/>
                <w:szCs w:val="20"/>
              </w:rPr>
            </w:pPr>
            <w:r w:rsidRPr="00C5633B">
              <w:rPr>
                <w:rFonts w:cstheme="minorHAnsi"/>
                <w:sz w:val="20"/>
                <w:szCs w:val="20"/>
              </w:rPr>
              <w:t>Darbības laika iestatījumi no 1 minūtes līdz 90 minūtēm</w:t>
            </w:r>
          </w:p>
          <w:p w14:paraId="298365F3" w14:textId="583A9ACB" w:rsidR="005E7283" w:rsidRPr="009571C4" w:rsidRDefault="005E7283" w:rsidP="00956E93">
            <w:pPr>
              <w:pStyle w:val="ListParagraph"/>
              <w:numPr>
                <w:ilvl w:val="0"/>
                <w:numId w:val="12"/>
              </w:numPr>
              <w:spacing w:after="0" w:line="240" w:lineRule="auto"/>
              <w:ind w:left="329" w:hanging="329"/>
              <w:jc w:val="both"/>
              <w:rPr>
                <w:rFonts w:cstheme="minorHAnsi"/>
                <w:sz w:val="20"/>
                <w:szCs w:val="20"/>
              </w:rPr>
            </w:pPr>
            <w:r w:rsidRPr="00C5633B">
              <w:rPr>
                <w:rFonts w:cstheme="minorHAnsi"/>
                <w:sz w:val="20"/>
                <w:szCs w:val="20"/>
              </w:rPr>
              <w:t>Svars: ne vairāk kā 60 kg</w:t>
            </w:r>
            <w:r w:rsidRPr="009571C4">
              <w:rPr>
                <w:rFonts w:cstheme="minorHAnsi"/>
                <w:sz w:val="20"/>
                <w:szCs w:val="20"/>
              </w:rPr>
              <w:t xml:space="preserve"> (± </w:t>
            </w:r>
            <w:r>
              <w:rPr>
                <w:rFonts w:cstheme="minorHAnsi"/>
                <w:sz w:val="20"/>
                <w:szCs w:val="20"/>
              </w:rPr>
              <w:t>5 kg</w:t>
            </w:r>
            <w:r w:rsidRPr="009571C4">
              <w:rPr>
                <w:rFonts w:cstheme="minorHAnsi"/>
                <w:sz w:val="20"/>
                <w:szCs w:val="20"/>
              </w:rPr>
              <w:t>)</w:t>
            </w:r>
          </w:p>
          <w:p w14:paraId="6E3D604C" w14:textId="0322894E" w:rsidR="005E7283" w:rsidRPr="00C5633B" w:rsidRDefault="005E7283" w:rsidP="00956E93">
            <w:pPr>
              <w:pStyle w:val="ListParagraph"/>
              <w:numPr>
                <w:ilvl w:val="0"/>
                <w:numId w:val="12"/>
              </w:numPr>
              <w:spacing w:after="0" w:line="240" w:lineRule="auto"/>
              <w:ind w:left="329" w:hanging="329"/>
              <w:jc w:val="both"/>
              <w:rPr>
                <w:rFonts w:cstheme="minorHAnsi"/>
                <w:sz w:val="20"/>
                <w:szCs w:val="20"/>
              </w:rPr>
            </w:pPr>
            <w:r w:rsidRPr="00C5633B">
              <w:rPr>
                <w:rFonts w:cstheme="minorHAnsi"/>
                <w:sz w:val="20"/>
                <w:szCs w:val="20"/>
              </w:rPr>
              <w:t xml:space="preserve">Automātiska darbības apturēšana kļūdas gadījumā, </w:t>
            </w:r>
            <w:r w:rsidR="00AF70AD">
              <w:rPr>
                <w:rFonts w:cstheme="minorHAnsi"/>
                <w:sz w:val="20"/>
                <w:szCs w:val="20"/>
              </w:rPr>
              <w:t xml:space="preserve">ja </w:t>
            </w:r>
            <w:r w:rsidRPr="00C5633B">
              <w:rPr>
                <w:rFonts w:cstheme="minorHAnsi"/>
                <w:sz w:val="20"/>
                <w:szCs w:val="20"/>
              </w:rPr>
              <w:t>ievietotie materiāli nav līdzsvarā u.c. tehniskas problēmas konstatēšanas gadījumā</w:t>
            </w:r>
          </w:p>
          <w:p w14:paraId="718F33D3" w14:textId="4830900A" w:rsidR="005E7283" w:rsidRPr="001B7408" w:rsidRDefault="005E7283" w:rsidP="00956E93">
            <w:pPr>
              <w:pStyle w:val="ListParagraph"/>
              <w:numPr>
                <w:ilvl w:val="0"/>
                <w:numId w:val="12"/>
              </w:numPr>
              <w:spacing w:after="0" w:line="240" w:lineRule="auto"/>
              <w:ind w:left="329" w:hanging="329"/>
              <w:jc w:val="both"/>
              <w:rPr>
                <w:rFonts w:cstheme="minorHAnsi"/>
                <w:sz w:val="20"/>
                <w:szCs w:val="20"/>
              </w:rPr>
            </w:pPr>
            <w:r w:rsidRPr="001B7408">
              <w:rPr>
                <w:rFonts w:cstheme="minorHAnsi"/>
                <w:sz w:val="20"/>
                <w:szCs w:val="20"/>
              </w:rPr>
              <w:t>LCD displejs</w:t>
            </w:r>
          </w:p>
          <w:p w14:paraId="250A5169" w14:textId="0A1299E4" w:rsidR="005E7283" w:rsidRPr="001B7408" w:rsidRDefault="005E7283" w:rsidP="00956E93">
            <w:pPr>
              <w:pStyle w:val="ListParagraph"/>
              <w:numPr>
                <w:ilvl w:val="0"/>
                <w:numId w:val="12"/>
              </w:numPr>
              <w:spacing w:after="0" w:line="240" w:lineRule="auto"/>
              <w:ind w:left="329" w:hanging="329"/>
              <w:jc w:val="both"/>
              <w:rPr>
                <w:rFonts w:cstheme="minorHAnsi"/>
                <w:sz w:val="20"/>
                <w:szCs w:val="20"/>
              </w:rPr>
            </w:pPr>
            <w:r w:rsidRPr="001B7408">
              <w:rPr>
                <w:rFonts w:cstheme="minorHAnsi"/>
                <w:sz w:val="20"/>
                <w:szCs w:val="20"/>
              </w:rPr>
              <w:t>Centrifūgai jābūt novietojamai uz galda virsmas</w:t>
            </w:r>
          </w:p>
          <w:p w14:paraId="7BEFAA49" w14:textId="3615B86E" w:rsidR="005E7283" w:rsidRPr="001B7408" w:rsidRDefault="005E7283" w:rsidP="00956E93">
            <w:pPr>
              <w:pStyle w:val="ListParagraph"/>
              <w:numPr>
                <w:ilvl w:val="0"/>
                <w:numId w:val="12"/>
              </w:numPr>
              <w:spacing w:after="0" w:line="240" w:lineRule="auto"/>
              <w:ind w:left="329" w:hanging="329"/>
              <w:jc w:val="both"/>
              <w:rPr>
                <w:rFonts w:cstheme="minorHAnsi"/>
                <w:sz w:val="20"/>
                <w:szCs w:val="20"/>
              </w:rPr>
            </w:pPr>
            <w:r w:rsidRPr="001B7408">
              <w:rPr>
                <w:rFonts w:cstheme="minorHAnsi"/>
                <w:sz w:val="20"/>
                <w:szCs w:val="20"/>
              </w:rPr>
              <w:t xml:space="preserve">Iekārtas izmēri nepārsniedz: </w:t>
            </w:r>
            <w:r w:rsidR="00B25CF2" w:rsidRPr="001B7408">
              <w:rPr>
                <w:rFonts w:cstheme="minorHAnsi"/>
                <w:sz w:val="20"/>
                <w:szCs w:val="20"/>
                <w:lang w:val="en-GB"/>
              </w:rPr>
              <w:t xml:space="preserve">550 mm </w:t>
            </w:r>
            <w:r w:rsidR="00B25CF2" w:rsidRPr="001B7408">
              <w:rPr>
                <w:rFonts w:cstheme="minorHAnsi"/>
                <w:sz w:val="20"/>
                <w:szCs w:val="20"/>
              </w:rPr>
              <w:t xml:space="preserve">(±30 mm) </w:t>
            </w:r>
            <w:r w:rsidR="00B25CF2" w:rsidRPr="001B7408">
              <w:rPr>
                <w:rFonts w:cstheme="minorHAnsi"/>
                <w:sz w:val="20"/>
                <w:szCs w:val="20"/>
                <w:lang w:val="en-GB"/>
              </w:rPr>
              <w:t xml:space="preserve">x 570 mm </w:t>
            </w:r>
            <w:r w:rsidR="00B25CF2" w:rsidRPr="001B7408">
              <w:rPr>
                <w:rFonts w:cstheme="minorHAnsi"/>
                <w:sz w:val="20"/>
                <w:szCs w:val="20"/>
              </w:rPr>
              <w:t>(±30 mm)</w:t>
            </w:r>
            <w:r w:rsidR="00B25CF2" w:rsidRPr="001B7408">
              <w:rPr>
                <w:rFonts w:cstheme="minorHAnsi"/>
                <w:sz w:val="20"/>
                <w:szCs w:val="20"/>
                <w:lang w:val="en-GB"/>
              </w:rPr>
              <w:t xml:space="preserve"> x 310 mm </w:t>
            </w:r>
            <w:r w:rsidR="00B25CF2" w:rsidRPr="001B7408">
              <w:rPr>
                <w:rFonts w:cstheme="minorHAnsi"/>
                <w:sz w:val="20"/>
                <w:szCs w:val="20"/>
              </w:rPr>
              <w:t>(±30 mm) (</w:t>
            </w:r>
            <w:proofErr w:type="spellStart"/>
            <w:r w:rsidR="00B25CF2" w:rsidRPr="001B7408">
              <w:rPr>
                <w:rFonts w:cstheme="minorHAnsi"/>
                <w:sz w:val="20"/>
                <w:szCs w:val="20"/>
                <w:lang w:val="en-GB"/>
              </w:rPr>
              <w:t>platums</w:t>
            </w:r>
            <w:proofErr w:type="spellEnd"/>
            <w:r w:rsidR="00B25CF2" w:rsidRPr="001B7408">
              <w:rPr>
                <w:rFonts w:cstheme="minorHAnsi"/>
                <w:sz w:val="20"/>
                <w:szCs w:val="20"/>
                <w:lang w:val="en-GB"/>
              </w:rPr>
              <w:t xml:space="preserve"> x </w:t>
            </w:r>
            <w:proofErr w:type="spellStart"/>
            <w:r w:rsidR="00B25CF2" w:rsidRPr="001B7408">
              <w:rPr>
                <w:rFonts w:cstheme="minorHAnsi"/>
                <w:sz w:val="20"/>
                <w:szCs w:val="20"/>
                <w:lang w:val="en-GB"/>
              </w:rPr>
              <w:t>dziļums</w:t>
            </w:r>
            <w:proofErr w:type="spellEnd"/>
            <w:r w:rsidR="00B25CF2" w:rsidRPr="001B7408">
              <w:rPr>
                <w:rFonts w:cstheme="minorHAnsi"/>
                <w:sz w:val="20"/>
                <w:szCs w:val="20"/>
                <w:lang w:val="en-GB"/>
              </w:rPr>
              <w:t xml:space="preserve"> x </w:t>
            </w:r>
            <w:proofErr w:type="spellStart"/>
            <w:r w:rsidR="00B25CF2" w:rsidRPr="001B7408">
              <w:rPr>
                <w:rFonts w:cstheme="minorHAnsi"/>
                <w:sz w:val="20"/>
                <w:szCs w:val="20"/>
                <w:lang w:val="en-GB"/>
              </w:rPr>
              <w:t>augstums</w:t>
            </w:r>
            <w:proofErr w:type="spellEnd"/>
            <w:r w:rsidR="00B25CF2" w:rsidRPr="001B7408">
              <w:rPr>
                <w:rFonts w:cstheme="minorHAnsi"/>
                <w:sz w:val="20"/>
                <w:szCs w:val="20"/>
                <w:lang w:val="en-GB"/>
              </w:rPr>
              <w:t xml:space="preserve">) </w:t>
            </w:r>
            <w:r w:rsidR="00B25CF2" w:rsidRPr="001B7408">
              <w:rPr>
                <w:rFonts w:cstheme="minorHAnsi"/>
                <w:sz w:val="20"/>
                <w:szCs w:val="20"/>
              </w:rPr>
              <w:t xml:space="preserve"> </w:t>
            </w:r>
          </w:p>
          <w:p w14:paraId="3BA1CDBC" w14:textId="34649D25" w:rsidR="005E7283" w:rsidRPr="00C5633B" w:rsidRDefault="005E7283" w:rsidP="00B434D1">
            <w:pPr>
              <w:pStyle w:val="ListParagraph"/>
              <w:tabs>
                <w:tab w:val="left" w:pos="330"/>
              </w:tabs>
              <w:spacing w:after="0" w:line="240" w:lineRule="auto"/>
              <w:ind w:left="0"/>
              <w:jc w:val="both"/>
              <w:rPr>
                <w:rFonts w:cstheme="minorHAnsi"/>
                <w:sz w:val="20"/>
                <w:szCs w:val="20"/>
              </w:rPr>
            </w:pPr>
            <w:r w:rsidRPr="001B7408">
              <w:rPr>
                <w:rFonts w:cstheme="minorHAnsi"/>
                <w:sz w:val="20"/>
                <w:szCs w:val="20"/>
              </w:rPr>
              <w:t>Komplektācijā jāietver:</w:t>
            </w:r>
          </w:p>
          <w:p w14:paraId="3E29BFEC" w14:textId="59338997" w:rsidR="005E7283" w:rsidRPr="00C5633B" w:rsidRDefault="005E7283" w:rsidP="00956E93">
            <w:pPr>
              <w:pStyle w:val="ListParagraph"/>
              <w:numPr>
                <w:ilvl w:val="0"/>
                <w:numId w:val="17"/>
              </w:numPr>
              <w:spacing w:after="0" w:line="240" w:lineRule="auto"/>
              <w:ind w:left="329" w:hanging="283"/>
              <w:jc w:val="both"/>
              <w:rPr>
                <w:rFonts w:cstheme="minorHAnsi"/>
                <w:sz w:val="20"/>
                <w:szCs w:val="20"/>
              </w:rPr>
            </w:pPr>
            <w:proofErr w:type="spellStart"/>
            <w:r w:rsidRPr="00C5633B">
              <w:rPr>
                <w:rFonts w:cstheme="minorHAnsi"/>
                <w:i/>
                <w:iCs/>
                <w:sz w:val="20"/>
                <w:szCs w:val="20"/>
              </w:rPr>
              <w:t>Swing-out</w:t>
            </w:r>
            <w:proofErr w:type="spellEnd"/>
            <w:r w:rsidRPr="00C5633B">
              <w:rPr>
                <w:rFonts w:cstheme="minorHAnsi"/>
                <w:sz w:val="20"/>
                <w:szCs w:val="20"/>
              </w:rPr>
              <w:t xml:space="preserve"> rotors, minimums 24 pozīcijas, 1,5 un 2,0 ml </w:t>
            </w:r>
            <w:proofErr w:type="spellStart"/>
            <w:r w:rsidRPr="00C5633B">
              <w:rPr>
                <w:rFonts w:cstheme="minorHAnsi"/>
                <w:sz w:val="20"/>
                <w:szCs w:val="20"/>
              </w:rPr>
              <w:t>ependrofu</w:t>
            </w:r>
            <w:proofErr w:type="spellEnd"/>
            <w:r w:rsidRPr="00C5633B">
              <w:rPr>
                <w:rFonts w:cstheme="minorHAnsi"/>
                <w:sz w:val="20"/>
                <w:szCs w:val="20"/>
              </w:rPr>
              <w:t xml:space="preserve"> stobriņiem, kas spēj nodrošināt </w:t>
            </w:r>
            <w:r>
              <w:rPr>
                <w:rFonts w:cstheme="minorHAnsi"/>
                <w:sz w:val="20"/>
                <w:szCs w:val="20"/>
              </w:rPr>
              <w:t>vismaz 14`000</w:t>
            </w:r>
            <w:r w:rsidRPr="00C5633B">
              <w:rPr>
                <w:rFonts w:cstheme="minorHAnsi"/>
                <w:sz w:val="20"/>
                <w:szCs w:val="20"/>
              </w:rPr>
              <w:t xml:space="preserve">  </w:t>
            </w:r>
            <w:proofErr w:type="spellStart"/>
            <w:r w:rsidRPr="00C5633B">
              <w:rPr>
                <w:rFonts w:cstheme="minorHAnsi"/>
                <w:sz w:val="20"/>
                <w:szCs w:val="20"/>
              </w:rPr>
              <w:t>apgriezienu</w:t>
            </w:r>
            <w:proofErr w:type="spellEnd"/>
            <w:r w:rsidRPr="00C5633B">
              <w:rPr>
                <w:rFonts w:cstheme="minorHAnsi"/>
                <w:sz w:val="20"/>
                <w:szCs w:val="20"/>
              </w:rPr>
              <w:t xml:space="preserve"> skaitu minūtē</w:t>
            </w:r>
          </w:p>
          <w:p w14:paraId="1C5FFD21" w14:textId="29325C3E" w:rsidR="005E7283" w:rsidRPr="00C5633B" w:rsidRDefault="005E7283" w:rsidP="00956E93">
            <w:pPr>
              <w:pStyle w:val="ListParagraph"/>
              <w:numPr>
                <w:ilvl w:val="0"/>
                <w:numId w:val="17"/>
              </w:numPr>
              <w:spacing w:after="0" w:line="240" w:lineRule="auto"/>
              <w:ind w:left="329" w:hanging="283"/>
              <w:jc w:val="both"/>
              <w:rPr>
                <w:rFonts w:cstheme="minorHAnsi"/>
                <w:sz w:val="20"/>
                <w:szCs w:val="20"/>
              </w:rPr>
            </w:pPr>
            <w:proofErr w:type="spellStart"/>
            <w:r w:rsidRPr="00C5633B">
              <w:rPr>
                <w:rFonts w:cstheme="minorHAnsi"/>
                <w:i/>
                <w:iCs/>
                <w:sz w:val="20"/>
                <w:szCs w:val="20"/>
              </w:rPr>
              <w:lastRenderedPageBreak/>
              <w:t>Swing-out</w:t>
            </w:r>
            <w:proofErr w:type="spellEnd"/>
            <w:r w:rsidRPr="00C5633B">
              <w:rPr>
                <w:rFonts w:cstheme="minorHAnsi"/>
                <w:i/>
                <w:iCs/>
                <w:sz w:val="20"/>
                <w:szCs w:val="20"/>
              </w:rPr>
              <w:t xml:space="preserve"> </w:t>
            </w:r>
            <w:r w:rsidRPr="00C5633B">
              <w:rPr>
                <w:rFonts w:cstheme="minorHAnsi"/>
                <w:sz w:val="20"/>
                <w:szCs w:val="20"/>
              </w:rPr>
              <w:t xml:space="preserve">rotors paredzēts 4 groziem, kas spēj nodrošināt </w:t>
            </w:r>
            <w:r>
              <w:rPr>
                <w:rFonts w:cstheme="minorHAnsi"/>
                <w:sz w:val="20"/>
                <w:szCs w:val="20"/>
              </w:rPr>
              <w:t xml:space="preserve">vismaz 5`000 </w:t>
            </w:r>
            <w:proofErr w:type="spellStart"/>
            <w:r w:rsidRPr="00C5633B">
              <w:rPr>
                <w:rFonts w:cstheme="minorHAnsi"/>
                <w:sz w:val="20"/>
                <w:szCs w:val="20"/>
              </w:rPr>
              <w:t>apgriezienu</w:t>
            </w:r>
            <w:proofErr w:type="spellEnd"/>
            <w:r w:rsidRPr="00C5633B">
              <w:rPr>
                <w:rFonts w:cstheme="minorHAnsi"/>
                <w:sz w:val="20"/>
                <w:szCs w:val="20"/>
              </w:rPr>
              <w:t xml:space="preserve"> skaitu minūtē</w:t>
            </w:r>
          </w:p>
          <w:p w14:paraId="4EA2F595" w14:textId="22D7DB7B" w:rsidR="005E7283" w:rsidRPr="00C5633B" w:rsidRDefault="005E7283" w:rsidP="00956E93">
            <w:pPr>
              <w:pStyle w:val="ListParagraph"/>
              <w:numPr>
                <w:ilvl w:val="0"/>
                <w:numId w:val="17"/>
              </w:numPr>
              <w:spacing w:after="0" w:line="240" w:lineRule="auto"/>
              <w:ind w:left="329" w:hanging="283"/>
              <w:jc w:val="both"/>
              <w:rPr>
                <w:rFonts w:cstheme="minorHAnsi"/>
                <w:sz w:val="20"/>
                <w:szCs w:val="20"/>
              </w:rPr>
            </w:pPr>
            <w:proofErr w:type="spellStart"/>
            <w:r w:rsidRPr="00C5633B">
              <w:rPr>
                <w:rFonts w:cstheme="minorHAnsi"/>
                <w:i/>
                <w:iCs/>
                <w:sz w:val="20"/>
                <w:szCs w:val="20"/>
              </w:rPr>
              <w:t>Swing-out</w:t>
            </w:r>
            <w:proofErr w:type="spellEnd"/>
            <w:r w:rsidRPr="00C5633B">
              <w:rPr>
                <w:rFonts w:cstheme="minorHAnsi"/>
                <w:i/>
                <w:iCs/>
                <w:sz w:val="20"/>
                <w:szCs w:val="20"/>
              </w:rPr>
              <w:t xml:space="preserve"> </w:t>
            </w:r>
            <w:r w:rsidRPr="00C5633B">
              <w:rPr>
                <w:rFonts w:cstheme="minorHAnsi"/>
                <w:sz w:val="20"/>
                <w:szCs w:val="20"/>
              </w:rPr>
              <w:t>rotora groza adapteris, kas paredzēts 2-4</w:t>
            </w:r>
            <w:r w:rsidR="00956E93">
              <w:rPr>
                <w:rFonts w:cstheme="minorHAnsi"/>
                <w:sz w:val="20"/>
                <w:szCs w:val="20"/>
              </w:rPr>
              <w:t xml:space="preserve"> </w:t>
            </w:r>
            <w:r w:rsidRPr="00C5633B">
              <w:rPr>
                <w:rFonts w:cstheme="minorHAnsi"/>
                <w:sz w:val="20"/>
                <w:szCs w:val="20"/>
              </w:rPr>
              <w:t>ml un 4-7</w:t>
            </w:r>
            <w:r w:rsidR="00956E93">
              <w:rPr>
                <w:rFonts w:cstheme="minorHAnsi"/>
                <w:sz w:val="20"/>
                <w:szCs w:val="20"/>
              </w:rPr>
              <w:t xml:space="preserve"> </w:t>
            </w:r>
            <w:r w:rsidRPr="00C5633B">
              <w:rPr>
                <w:rFonts w:cstheme="minorHAnsi"/>
                <w:sz w:val="20"/>
                <w:szCs w:val="20"/>
              </w:rPr>
              <w:t xml:space="preserve">ml </w:t>
            </w:r>
            <w:proofErr w:type="spellStart"/>
            <w:r w:rsidRPr="00C5633B">
              <w:rPr>
                <w:rFonts w:cstheme="minorHAnsi"/>
                <w:sz w:val="20"/>
                <w:szCs w:val="20"/>
              </w:rPr>
              <w:t>vakutainera</w:t>
            </w:r>
            <w:proofErr w:type="spellEnd"/>
            <w:r w:rsidRPr="00C5633B">
              <w:rPr>
                <w:rFonts w:cstheme="minorHAnsi"/>
                <w:sz w:val="20"/>
                <w:szCs w:val="20"/>
              </w:rPr>
              <w:t xml:space="preserve"> stobriņiem</w:t>
            </w:r>
          </w:p>
          <w:p w14:paraId="02932AC3" w14:textId="4E0BB0B6" w:rsidR="005E7283" w:rsidRPr="00C5633B" w:rsidRDefault="005E7283" w:rsidP="00956E93">
            <w:pPr>
              <w:pStyle w:val="ListParagraph"/>
              <w:numPr>
                <w:ilvl w:val="0"/>
                <w:numId w:val="17"/>
              </w:numPr>
              <w:spacing w:after="0" w:line="240" w:lineRule="auto"/>
              <w:ind w:left="329" w:hanging="283"/>
              <w:jc w:val="both"/>
              <w:rPr>
                <w:rFonts w:cstheme="minorHAnsi"/>
                <w:sz w:val="20"/>
                <w:szCs w:val="20"/>
              </w:rPr>
            </w:pPr>
            <w:proofErr w:type="spellStart"/>
            <w:r w:rsidRPr="00C5633B">
              <w:rPr>
                <w:rFonts w:cstheme="minorHAnsi"/>
                <w:i/>
                <w:iCs/>
                <w:sz w:val="20"/>
                <w:szCs w:val="20"/>
              </w:rPr>
              <w:t>Swing-out</w:t>
            </w:r>
            <w:proofErr w:type="spellEnd"/>
            <w:r w:rsidRPr="00C5633B">
              <w:rPr>
                <w:rFonts w:cstheme="minorHAnsi"/>
                <w:i/>
                <w:iCs/>
                <w:sz w:val="20"/>
                <w:szCs w:val="20"/>
              </w:rPr>
              <w:t xml:space="preserve"> </w:t>
            </w:r>
            <w:r w:rsidRPr="00C5633B">
              <w:rPr>
                <w:rFonts w:cstheme="minorHAnsi"/>
                <w:sz w:val="20"/>
                <w:szCs w:val="20"/>
              </w:rPr>
              <w:t>rotora groza adapteris, kas paredzēts 8-10</w:t>
            </w:r>
            <w:r w:rsidR="00956E93">
              <w:rPr>
                <w:rFonts w:cstheme="minorHAnsi"/>
                <w:sz w:val="20"/>
                <w:szCs w:val="20"/>
              </w:rPr>
              <w:t xml:space="preserve"> </w:t>
            </w:r>
            <w:r w:rsidRPr="00C5633B">
              <w:rPr>
                <w:rFonts w:cstheme="minorHAnsi"/>
                <w:sz w:val="20"/>
                <w:szCs w:val="20"/>
              </w:rPr>
              <w:t xml:space="preserve">ml </w:t>
            </w:r>
            <w:proofErr w:type="spellStart"/>
            <w:r w:rsidRPr="00C5633B">
              <w:rPr>
                <w:rFonts w:cstheme="minorHAnsi"/>
                <w:sz w:val="20"/>
                <w:szCs w:val="20"/>
              </w:rPr>
              <w:t>vakutainera</w:t>
            </w:r>
            <w:proofErr w:type="spellEnd"/>
            <w:r w:rsidRPr="00C5633B">
              <w:rPr>
                <w:rFonts w:cstheme="minorHAnsi"/>
                <w:sz w:val="20"/>
                <w:szCs w:val="20"/>
              </w:rPr>
              <w:t xml:space="preserve"> stobriņiem</w:t>
            </w:r>
          </w:p>
          <w:p w14:paraId="09F0D1EB" w14:textId="2634E755" w:rsidR="005E7283" w:rsidRPr="00C5633B" w:rsidRDefault="005E7283" w:rsidP="00956E93">
            <w:pPr>
              <w:pStyle w:val="ListParagraph"/>
              <w:numPr>
                <w:ilvl w:val="0"/>
                <w:numId w:val="17"/>
              </w:numPr>
              <w:spacing w:after="0" w:line="240" w:lineRule="auto"/>
              <w:ind w:left="329" w:hanging="283"/>
              <w:jc w:val="both"/>
              <w:rPr>
                <w:rFonts w:cstheme="minorHAnsi"/>
                <w:sz w:val="20"/>
                <w:szCs w:val="20"/>
              </w:rPr>
            </w:pPr>
            <w:proofErr w:type="spellStart"/>
            <w:r w:rsidRPr="00C5633B">
              <w:rPr>
                <w:rFonts w:cstheme="minorHAnsi"/>
                <w:i/>
                <w:iCs/>
                <w:sz w:val="20"/>
                <w:szCs w:val="20"/>
              </w:rPr>
              <w:t>Swing-out</w:t>
            </w:r>
            <w:proofErr w:type="spellEnd"/>
            <w:r w:rsidRPr="00C5633B">
              <w:rPr>
                <w:rFonts w:cstheme="minorHAnsi"/>
                <w:i/>
                <w:iCs/>
                <w:sz w:val="20"/>
                <w:szCs w:val="20"/>
              </w:rPr>
              <w:t xml:space="preserve"> </w:t>
            </w:r>
            <w:r w:rsidRPr="00C5633B">
              <w:rPr>
                <w:rFonts w:cstheme="minorHAnsi"/>
                <w:sz w:val="20"/>
                <w:szCs w:val="20"/>
              </w:rPr>
              <w:t>rotora groza adapteris, kas paredzēts 15 ml koniskajiem stobriņiem</w:t>
            </w:r>
          </w:p>
          <w:p w14:paraId="688606E5" w14:textId="569B749B" w:rsidR="005E7283" w:rsidRPr="00C5633B" w:rsidRDefault="005E7283" w:rsidP="00956E93">
            <w:pPr>
              <w:pStyle w:val="ListParagraph"/>
              <w:numPr>
                <w:ilvl w:val="0"/>
                <w:numId w:val="17"/>
              </w:numPr>
              <w:spacing w:after="0" w:line="240" w:lineRule="auto"/>
              <w:ind w:left="329" w:hanging="283"/>
              <w:jc w:val="both"/>
              <w:rPr>
                <w:rFonts w:cstheme="minorHAnsi"/>
                <w:sz w:val="20"/>
                <w:szCs w:val="20"/>
              </w:rPr>
            </w:pPr>
            <w:proofErr w:type="spellStart"/>
            <w:r w:rsidRPr="00C5633B">
              <w:rPr>
                <w:rFonts w:cstheme="minorHAnsi"/>
                <w:i/>
                <w:iCs/>
                <w:sz w:val="20"/>
                <w:szCs w:val="20"/>
              </w:rPr>
              <w:t>Swing-out</w:t>
            </w:r>
            <w:proofErr w:type="spellEnd"/>
            <w:r w:rsidRPr="00C5633B">
              <w:rPr>
                <w:rFonts w:cstheme="minorHAnsi"/>
                <w:i/>
                <w:iCs/>
                <w:sz w:val="20"/>
                <w:szCs w:val="20"/>
              </w:rPr>
              <w:t xml:space="preserve"> </w:t>
            </w:r>
            <w:r w:rsidRPr="00C5633B">
              <w:rPr>
                <w:rFonts w:cstheme="minorHAnsi"/>
                <w:sz w:val="20"/>
                <w:szCs w:val="20"/>
              </w:rPr>
              <w:t>rotora groza adapteris, kas paredzēts 50 ml koniskajiem stobriņiem</w:t>
            </w:r>
          </w:p>
        </w:tc>
        <w:tc>
          <w:tcPr>
            <w:tcW w:w="387" w:type="pct"/>
            <w:vMerge w:val="restart"/>
          </w:tcPr>
          <w:p w14:paraId="78C36C82" w14:textId="2504A096" w:rsidR="005E7283" w:rsidRPr="00C5633B" w:rsidRDefault="005E7283" w:rsidP="005E7283">
            <w:pPr>
              <w:spacing w:before="240"/>
              <w:jc w:val="center"/>
              <w:rPr>
                <w:rFonts w:asciiTheme="minorHAnsi" w:hAnsiTheme="minorHAnsi" w:cstheme="minorHAnsi"/>
                <w:lang w:val="lv-LV"/>
              </w:rPr>
            </w:pPr>
            <w:r w:rsidRPr="00C5633B">
              <w:rPr>
                <w:rFonts w:asciiTheme="minorHAnsi" w:hAnsiTheme="minorHAnsi" w:cstheme="minorHAnsi"/>
                <w:lang w:val="lv-LV"/>
              </w:rPr>
              <w:lastRenderedPageBreak/>
              <w:t>1</w:t>
            </w:r>
          </w:p>
        </w:tc>
        <w:tc>
          <w:tcPr>
            <w:tcW w:w="1783" w:type="pct"/>
          </w:tcPr>
          <w:p w14:paraId="7C26B7F3" w14:textId="77777777" w:rsidR="005E7283" w:rsidRPr="00C5633B" w:rsidRDefault="005E7283" w:rsidP="00C501A3">
            <w:pPr>
              <w:rPr>
                <w:rFonts w:asciiTheme="minorHAnsi" w:hAnsiTheme="minorHAnsi" w:cstheme="minorHAnsi"/>
                <w:lang w:val="lv-LV"/>
              </w:rPr>
            </w:pPr>
          </w:p>
        </w:tc>
        <w:tc>
          <w:tcPr>
            <w:tcW w:w="360" w:type="pct"/>
            <w:vMerge w:val="restart"/>
          </w:tcPr>
          <w:p w14:paraId="14B47F54" w14:textId="77777777" w:rsidR="005E7283" w:rsidRPr="00C5633B" w:rsidRDefault="005E7283" w:rsidP="005E7283">
            <w:pPr>
              <w:spacing w:before="240"/>
              <w:jc w:val="center"/>
              <w:rPr>
                <w:rFonts w:asciiTheme="minorHAnsi" w:hAnsiTheme="minorHAnsi" w:cstheme="minorHAnsi"/>
                <w:lang w:val="lv-LV"/>
              </w:rPr>
            </w:pPr>
          </w:p>
        </w:tc>
      </w:tr>
      <w:tr w:rsidR="005E7283" w:rsidRPr="00C5633B" w14:paraId="233CA3BF" w14:textId="77777777" w:rsidTr="005E7283">
        <w:tblPrEx>
          <w:tblLook w:val="01E0" w:firstRow="1" w:lastRow="1" w:firstColumn="1" w:lastColumn="1" w:noHBand="0" w:noVBand="0"/>
        </w:tblPrEx>
        <w:tc>
          <w:tcPr>
            <w:tcW w:w="464" w:type="pct"/>
            <w:vMerge/>
          </w:tcPr>
          <w:p w14:paraId="199EEEDD" w14:textId="77777777" w:rsidR="005E7283" w:rsidRPr="00C5633B" w:rsidRDefault="005E7283" w:rsidP="005E7283">
            <w:pPr>
              <w:rPr>
                <w:rFonts w:asciiTheme="minorHAnsi" w:hAnsiTheme="minorHAnsi" w:cstheme="minorHAnsi"/>
                <w:lang w:val="lv-LV"/>
              </w:rPr>
            </w:pPr>
          </w:p>
        </w:tc>
        <w:tc>
          <w:tcPr>
            <w:tcW w:w="2006" w:type="pct"/>
          </w:tcPr>
          <w:p w14:paraId="013E4165" w14:textId="36C40523" w:rsidR="005E7283" w:rsidRPr="00DC6E28" w:rsidRDefault="005E7283" w:rsidP="005E7283">
            <w:pPr>
              <w:tabs>
                <w:tab w:val="left" w:pos="330"/>
              </w:tabs>
              <w:jc w:val="both"/>
              <w:rPr>
                <w:rFonts w:asciiTheme="minorHAnsi" w:hAnsiTheme="minorHAnsi" w:cstheme="minorHAnsi"/>
                <w:lang w:val="lv-LV"/>
              </w:rPr>
            </w:pPr>
            <w:r w:rsidRPr="00930077">
              <w:rPr>
                <w:rFonts w:asciiTheme="minorHAnsi" w:hAnsiTheme="minorHAnsi" w:cstheme="minorHAnsi"/>
                <w:lang w:val="lv-LV"/>
              </w:rPr>
              <w:t xml:space="preserve">Iekārtas elektroenerģijas patēriņš </w:t>
            </w:r>
            <w:proofErr w:type="spellStart"/>
            <w:r w:rsidRPr="00930077">
              <w:rPr>
                <w:rFonts w:asciiTheme="minorHAnsi" w:hAnsiTheme="minorHAnsi" w:cstheme="minorHAnsi"/>
                <w:lang w:val="lv-LV"/>
              </w:rPr>
              <w:t>kW</w:t>
            </w:r>
            <w:proofErr w:type="spellEnd"/>
            <w:r w:rsidRPr="00930077">
              <w:rPr>
                <w:rFonts w:asciiTheme="minorHAnsi" w:hAnsiTheme="minorHAnsi" w:cstheme="minorHAnsi"/>
                <w:lang w:val="lv-LV"/>
              </w:rPr>
              <w:t xml:space="preserve"> stundā</w:t>
            </w:r>
          </w:p>
        </w:tc>
        <w:tc>
          <w:tcPr>
            <w:tcW w:w="387" w:type="pct"/>
            <w:vMerge/>
          </w:tcPr>
          <w:p w14:paraId="4C5F8081" w14:textId="77777777" w:rsidR="005E7283" w:rsidRPr="00C5633B" w:rsidRDefault="005E7283" w:rsidP="005E7283">
            <w:pPr>
              <w:jc w:val="center"/>
              <w:rPr>
                <w:rFonts w:asciiTheme="minorHAnsi" w:hAnsiTheme="minorHAnsi" w:cstheme="minorHAnsi"/>
                <w:lang w:val="lv-LV"/>
              </w:rPr>
            </w:pPr>
          </w:p>
        </w:tc>
        <w:tc>
          <w:tcPr>
            <w:tcW w:w="1783" w:type="pct"/>
            <w:vAlign w:val="center"/>
          </w:tcPr>
          <w:p w14:paraId="06D1B347" w14:textId="77777777" w:rsidR="005E7283" w:rsidRPr="00C5633B" w:rsidRDefault="005E7283" w:rsidP="005E7283">
            <w:pPr>
              <w:jc w:val="center"/>
              <w:rPr>
                <w:rFonts w:asciiTheme="minorHAnsi" w:hAnsiTheme="minorHAnsi" w:cstheme="minorHAnsi"/>
                <w:lang w:val="lv-LV"/>
              </w:rPr>
            </w:pPr>
          </w:p>
        </w:tc>
        <w:tc>
          <w:tcPr>
            <w:tcW w:w="360" w:type="pct"/>
            <w:vMerge/>
            <w:vAlign w:val="center"/>
          </w:tcPr>
          <w:p w14:paraId="35D764A3" w14:textId="77777777" w:rsidR="005E7283" w:rsidRPr="00C5633B" w:rsidRDefault="005E7283" w:rsidP="005E7283">
            <w:pPr>
              <w:jc w:val="center"/>
              <w:rPr>
                <w:rFonts w:asciiTheme="minorHAnsi" w:hAnsiTheme="minorHAnsi" w:cstheme="minorHAnsi"/>
                <w:lang w:val="lv-LV"/>
              </w:rPr>
            </w:pPr>
          </w:p>
        </w:tc>
      </w:tr>
      <w:tr w:rsidR="005E7283" w:rsidRPr="00C5633B" w14:paraId="2D154074" w14:textId="5478F74B" w:rsidTr="005E7283">
        <w:tblPrEx>
          <w:tblLook w:val="01E0" w:firstRow="1" w:lastRow="1" w:firstColumn="1" w:lastColumn="1" w:noHBand="0" w:noVBand="0"/>
        </w:tblPrEx>
        <w:tc>
          <w:tcPr>
            <w:tcW w:w="464" w:type="pct"/>
            <w:vMerge w:val="restart"/>
          </w:tcPr>
          <w:p w14:paraId="6AAB6D4A" w14:textId="77777777" w:rsidR="005E7283" w:rsidRPr="00C5633B" w:rsidRDefault="005E7283" w:rsidP="005E7283">
            <w:pPr>
              <w:rPr>
                <w:rFonts w:asciiTheme="minorHAnsi" w:hAnsiTheme="minorHAnsi" w:cstheme="minorHAnsi"/>
                <w:lang w:val="lv-LV"/>
              </w:rPr>
            </w:pPr>
            <w:r w:rsidRPr="00C5633B">
              <w:rPr>
                <w:rFonts w:asciiTheme="minorHAnsi" w:hAnsiTheme="minorHAnsi" w:cstheme="minorHAnsi"/>
                <w:lang w:val="lv-LV"/>
              </w:rPr>
              <w:t>Citas prasības</w:t>
            </w:r>
          </w:p>
        </w:tc>
        <w:tc>
          <w:tcPr>
            <w:tcW w:w="2006" w:type="pct"/>
          </w:tcPr>
          <w:p w14:paraId="4D8CA5E5" w14:textId="7AE2EA98" w:rsidR="005E7283" w:rsidRPr="00C5633B" w:rsidRDefault="0070072C" w:rsidP="005E7283">
            <w:pPr>
              <w:jc w:val="both"/>
              <w:rPr>
                <w:rFonts w:asciiTheme="minorHAnsi" w:hAnsiTheme="minorHAnsi" w:cstheme="minorHAnsi"/>
                <w:lang w:val="lv-LV"/>
              </w:rPr>
            </w:pPr>
            <w:r w:rsidRPr="0070072C">
              <w:rPr>
                <w:rFonts w:asciiTheme="minorHAnsi" w:hAnsiTheme="minorHAnsi" w:cstheme="minorHAnsi"/>
                <w:lang w:val="lv-LV"/>
              </w:rPr>
              <w:t>Piegādes termiņš – 1 (viens) mēnesis</w:t>
            </w:r>
          </w:p>
        </w:tc>
        <w:tc>
          <w:tcPr>
            <w:tcW w:w="387" w:type="pct"/>
            <w:vMerge/>
          </w:tcPr>
          <w:p w14:paraId="27C51F41" w14:textId="77777777" w:rsidR="005E7283" w:rsidRPr="00C5633B" w:rsidRDefault="005E7283" w:rsidP="005E7283">
            <w:pPr>
              <w:rPr>
                <w:rFonts w:asciiTheme="minorHAnsi" w:hAnsiTheme="minorHAnsi" w:cstheme="minorHAnsi"/>
                <w:lang w:val="lv-LV"/>
              </w:rPr>
            </w:pPr>
          </w:p>
        </w:tc>
        <w:tc>
          <w:tcPr>
            <w:tcW w:w="1783" w:type="pct"/>
          </w:tcPr>
          <w:p w14:paraId="504CCB04" w14:textId="77777777" w:rsidR="005E7283" w:rsidRPr="00C5633B" w:rsidRDefault="005E7283" w:rsidP="005E7283">
            <w:pPr>
              <w:rPr>
                <w:rFonts w:asciiTheme="minorHAnsi" w:hAnsiTheme="minorHAnsi" w:cstheme="minorHAnsi"/>
                <w:lang w:val="lv-LV"/>
              </w:rPr>
            </w:pPr>
          </w:p>
        </w:tc>
        <w:tc>
          <w:tcPr>
            <w:tcW w:w="360" w:type="pct"/>
            <w:vMerge/>
          </w:tcPr>
          <w:p w14:paraId="7B428075" w14:textId="77777777" w:rsidR="005E7283" w:rsidRPr="00C5633B" w:rsidRDefault="005E7283" w:rsidP="005E7283">
            <w:pPr>
              <w:rPr>
                <w:rFonts w:asciiTheme="minorHAnsi" w:hAnsiTheme="minorHAnsi" w:cstheme="minorHAnsi"/>
                <w:lang w:val="lv-LV"/>
              </w:rPr>
            </w:pPr>
          </w:p>
        </w:tc>
      </w:tr>
      <w:tr w:rsidR="00E8561A" w:rsidRPr="00C5633B" w14:paraId="5F26DDA6" w14:textId="77777777" w:rsidTr="005E7283">
        <w:tblPrEx>
          <w:tblLook w:val="01E0" w:firstRow="1" w:lastRow="1" w:firstColumn="1" w:lastColumn="1" w:noHBand="0" w:noVBand="0"/>
        </w:tblPrEx>
        <w:tc>
          <w:tcPr>
            <w:tcW w:w="464" w:type="pct"/>
            <w:vMerge/>
          </w:tcPr>
          <w:p w14:paraId="1858F5FF" w14:textId="77777777" w:rsidR="00E8561A" w:rsidRPr="00C5633B" w:rsidRDefault="00E8561A" w:rsidP="005E7283">
            <w:pPr>
              <w:rPr>
                <w:rFonts w:asciiTheme="minorHAnsi" w:hAnsiTheme="minorHAnsi" w:cstheme="minorHAnsi"/>
                <w:lang w:val="lv-LV"/>
              </w:rPr>
            </w:pPr>
          </w:p>
        </w:tc>
        <w:tc>
          <w:tcPr>
            <w:tcW w:w="2006" w:type="pct"/>
          </w:tcPr>
          <w:p w14:paraId="27E20869" w14:textId="3EF0B637" w:rsidR="00E8561A" w:rsidRPr="00C5633B" w:rsidRDefault="00E8561A" w:rsidP="005E7283">
            <w:pPr>
              <w:jc w:val="both"/>
              <w:rPr>
                <w:rFonts w:asciiTheme="minorHAnsi" w:hAnsiTheme="minorHAnsi" w:cstheme="minorHAnsi"/>
                <w:lang w:val="lv-LV"/>
              </w:rPr>
            </w:pPr>
            <w:r w:rsidRPr="00C5633B">
              <w:rPr>
                <w:rFonts w:asciiTheme="minorHAnsi" w:hAnsiTheme="minorHAnsi" w:cstheme="minorHAnsi"/>
                <w:lang w:val="lv-LV"/>
              </w:rPr>
              <w:t xml:space="preserve">Garantijas </w:t>
            </w:r>
            <w:r w:rsidR="00DF68F2">
              <w:rPr>
                <w:rFonts w:asciiTheme="minorHAnsi" w:hAnsiTheme="minorHAnsi" w:cstheme="minorHAnsi"/>
                <w:lang w:val="lv-LV"/>
              </w:rPr>
              <w:t>termiņš</w:t>
            </w:r>
            <w:r w:rsidRPr="00C5633B">
              <w:rPr>
                <w:rFonts w:asciiTheme="minorHAnsi" w:hAnsiTheme="minorHAnsi" w:cstheme="minorHAnsi"/>
                <w:lang w:val="lv-LV"/>
              </w:rPr>
              <w:t xml:space="preserve"> vismaz 2 (divi) gadi</w:t>
            </w:r>
            <w:r>
              <w:rPr>
                <w:rFonts w:asciiTheme="minorHAnsi" w:hAnsiTheme="minorHAnsi" w:cstheme="minorHAnsi"/>
                <w:lang w:val="lv-LV"/>
              </w:rPr>
              <w:t xml:space="preserve"> </w:t>
            </w:r>
            <w:r w:rsidRPr="00564DD1">
              <w:rPr>
                <w:rFonts w:asciiTheme="minorHAnsi" w:hAnsiTheme="minorHAnsi" w:cs="Arial"/>
                <w:i/>
                <w:iCs/>
                <w:lang w:val="lv-LV"/>
              </w:rPr>
              <w:t>(pretendents var norādīt lielāku garantijas termiņu)</w:t>
            </w:r>
          </w:p>
        </w:tc>
        <w:tc>
          <w:tcPr>
            <w:tcW w:w="387" w:type="pct"/>
            <w:vMerge/>
          </w:tcPr>
          <w:p w14:paraId="256976A4" w14:textId="77777777" w:rsidR="00E8561A" w:rsidRPr="00C5633B" w:rsidRDefault="00E8561A" w:rsidP="005E7283">
            <w:pPr>
              <w:rPr>
                <w:rFonts w:asciiTheme="minorHAnsi" w:hAnsiTheme="minorHAnsi" w:cstheme="minorHAnsi"/>
                <w:lang w:val="lv-LV"/>
              </w:rPr>
            </w:pPr>
          </w:p>
        </w:tc>
        <w:tc>
          <w:tcPr>
            <w:tcW w:w="1783" w:type="pct"/>
          </w:tcPr>
          <w:p w14:paraId="59F94AE4" w14:textId="77777777" w:rsidR="00E8561A" w:rsidRPr="00C5633B" w:rsidRDefault="00E8561A" w:rsidP="005E7283">
            <w:pPr>
              <w:rPr>
                <w:rFonts w:asciiTheme="minorHAnsi" w:hAnsiTheme="minorHAnsi" w:cstheme="minorHAnsi"/>
                <w:lang w:val="lv-LV"/>
              </w:rPr>
            </w:pPr>
          </w:p>
        </w:tc>
        <w:tc>
          <w:tcPr>
            <w:tcW w:w="360" w:type="pct"/>
            <w:vMerge/>
          </w:tcPr>
          <w:p w14:paraId="4BBAFA73" w14:textId="77777777" w:rsidR="00E8561A" w:rsidRPr="00C5633B" w:rsidRDefault="00E8561A" w:rsidP="005E7283">
            <w:pPr>
              <w:rPr>
                <w:rFonts w:asciiTheme="minorHAnsi" w:hAnsiTheme="minorHAnsi" w:cstheme="minorHAnsi"/>
                <w:lang w:val="lv-LV"/>
              </w:rPr>
            </w:pPr>
          </w:p>
        </w:tc>
      </w:tr>
      <w:tr w:rsidR="005E7283" w:rsidRPr="00C5633B" w14:paraId="0845F6D1" w14:textId="70D7446E" w:rsidTr="005E7283">
        <w:tblPrEx>
          <w:tblLook w:val="01E0" w:firstRow="1" w:lastRow="1" w:firstColumn="1" w:lastColumn="1" w:noHBand="0" w:noVBand="0"/>
        </w:tblPrEx>
        <w:trPr>
          <w:trHeight w:val="285"/>
        </w:trPr>
        <w:tc>
          <w:tcPr>
            <w:tcW w:w="464" w:type="pct"/>
            <w:vMerge/>
          </w:tcPr>
          <w:p w14:paraId="25A019CA" w14:textId="77777777" w:rsidR="005E7283" w:rsidRPr="00C5633B" w:rsidRDefault="005E7283" w:rsidP="005E7283">
            <w:pPr>
              <w:rPr>
                <w:rFonts w:asciiTheme="minorHAnsi" w:hAnsiTheme="minorHAnsi" w:cstheme="minorHAnsi"/>
                <w:lang w:val="lv-LV"/>
              </w:rPr>
            </w:pPr>
          </w:p>
        </w:tc>
        <w:tc>
          <w:tcPr>
            <w:tcW w:w="2006" w:type="pct"/>
          </w:tcPr>
          <w:p w14:paraId="0A0A1BE0" w14:textId="0BD37FDC" w:rsidR="005E7283" w:rsidRPr="00964A04" w:rsidRDefault="005E7283" w:rsidP="005E7283">
            <w:pPr>
              <w:jc w:val="both"/>
              <w:rPr>
                <w:rFonts w:asciiTheme="minorHAnsi" w:hAnsiTheme="minorHAnsi" w:cstheme="minorHAnsi"/>
                <w:lang w:val="lv-LV"/>
              </w:rPr>
            </w:pPr>
            <w:r w:rsidRPr="00964A04">
              <w:rPr>
                <w:rFonts w:asciiTheme="minorHAnsi" w:hAnsiTheme="minorHAnsi" w:cstheme="minorHAnsi"/>
                <w:lang w:val="lv-LV"/>
              </w:rPr>
              <w:t>Cenā iekļauta iepriekš minētā komplektācija, piegāde un uzstādīšana.</w:t>
            </w:r>
          </w:p>
        </w:tc>
        <w:tc>
          <w:tcPr>
            <w:tcW w:w="387" w:type="pct"/>
            <w:vMerge/>
          </w:tcPr>
          <w:p w14:paraId="40DC0A69" w14:textId="77777777" w:rsidR="005E7283" w:rsidRPr="00C5633B" w:rsidRDefault="005E7283" w:rsidP="005E7283">
            <w:pPr>
              <w:rPr>
                <w:rFonts w:asciiTheme="minorHAnsi" w:hAnsiTheme="minorHAnsi" w:cstheme="minorHAnsi"/>
                <w:lang w:val="lv-LV"/>
              </w:rPr>
            </w:pPr>
          </w:p>
        </w:tc>
        <w:tc>
          <w:tcPr>
            <w:tcW w:w="1783" w:type="pct"/>
          </w:tcPr>
          <w:p w14:paraId="54883429" w14:textId="77777777" w:rsidR="005E7283" w:rsidRPr="00C5633B" w:rsidRDefault="005E7283" w:rsidP="005E7283">
            <w:pPr>
              <w:rPr>
                <w:rFonts w:asciiTheme="minorHAnsi" w:hAnsiTheme="minorHAnsi" w:cstheme="minorHAnsi"/>
                <w:lang w:val="lv-LV"/>
              </w:rPr>
            </w:pPr>
          </w:p>
        </w:tc>
        <w:tc>
          <w:tcPr>
            <w:tcW w:w="360" w:type="pct"/>
            <w:vMerge/>
          </w:tcPr>
          <w:p w14:paraId="5A45FA9B" w14:textId="77777777" w:rsidR="005E7283" w:rsidRPr="00C5633B" w:rsidRDefault="005E7283" w:rsidP="005E7283">
            <w:pPr>
              <w:rPr>
                <w:rFonts w:asciiTheme="minorHAnsi" w:hAnsiTheme="minorHAnsi" w:cstheme="minorHAnsi"/>
                <w:lang w:val="lv-LV"/>
              </w:rPr>
            </w:pPr>
          </w:p>
        </w:tc>
      </w:tr>
      <w:tr w:rsidR="005E7283" w:rsidRPr="00C5633B" w14:paraId="58F56E40" w14:textId="13675B40" w:rsidTr="005E7283">
        <w:tblPrEx>
          <w:tblLook w:val="01E0" w:firstRow="1" w:lastRow="1" w:firstColumn="1" w:lastColumn="1" w:noHBand="0" w:noVBand="0"/>
        </w:tblPrEx>
        <w:trPr>
          <w:trHeight w:val="270"/>
        </w:trPr>
        <w:tc>
          <w:tcPr>
            <w:tcW w:w="464" w:type="pct"/>
            <w:vMerge/>
          </w:tcPr>
          <w:p w14:paraId="62403126" w14:textId="77777777" w:rsidR="005E7283" w:rsidRPr="00C5633B" w:rsidRDefault="005E7283" w:rsidP="005E7283">
            <w:pPr>
              <w:rPr>
                <w:rFonts w:asciiTheme="minorHAnsi" w:hAnsiTheme="minorHAnsi" w:cstheme="minorHAnsi"/>
                <w:lang w:val="lv-LV"/>
              </w:rPr>
            </w:pPr>
          </w:p>
        </w:tc>
        <w:tc>
          <w:tcPr>
            <w:tcW w:w="2006" w:type="pct"/>
          </w:tcPr>
          <w:p w14:paraId="53AA6442" w14:textId="702D0B7B" w:rsidR="005E7283" w:rsidRPr="00964A04" w:rsidRDefault="005E7283" w:rsidP="005E7283">
            <w:pPr>
              <w:jc w:val="both"/>
              <w:rPr>
                <w:rFonts w:asciiTheme="minorHAnsi" w:hAnsiTheme="minorHAnsi" w:cstheme="minorHAnsi"/>
                <w:lang w:val="lv-LV"/>
              </w:rPr>
            </w:pPr>
            <w:r w:rsidRPr="00964A04">
              <w:rPr>
                <w:rFonts w:asciiTheme="minorHAnsi" w:hAnsiTheme="minorHAnsi" w:cstheme="minorHAnsi"/>
                <w:lang w:val="lv-LV"/>
              </w:rPr>
              <w:t>Piegādātājs nodrošina ražotāja sertificētu inženieri, kas kompetents veikt iekārtas regulārās pārbaudes un verifikāciju, un kuram, iekārtas darbības traucējumu gadījumos, jāierodas 24 stundu laikā no izsaukuma brīža</w:t>
            </w:r>
          </w:p>
        </w:tc>
        <w:tc>
          <w:tcPr>
            <w:tcW w:w="387" w:type="pct"/>
            <w:vMerge/>
          </w:tcPr>
          <w:p w14:paraId="4AD50F91" w14:textId="77777777" w:rsidR="005E7283" w:rsidRPr="00C5633B" w:rsidRDefault="005E7283" w:rsidP="005E7283">
            <w:pPr>
              <w:rPr>
                <w:rFonts w:asciiTheme="minorHAnsi" w:hAnsiTheme="minorHAnsi" w:cstheme="minorHAnsi"/>
                <w:lang w:val="lv-LV"/>
              </w:rPr>
            </w:pPr>
          </w:p>
        </w:tc>
        <w:tc>
          <w:tcPr>
            <w:tcW w:w="1783" w:type="pct"/>
          </w:tcPr>
          <w:p w14:paraId="6AC3147A" w14:textId="77777777" w:rsidR="005E7283" w:rsidRPr="00C5633B" w:rsidRDefault="005E7283" w:rsidP="005E7283">
            <w:pPr>
              <w:rPr>
                <w:rFonts w:asciiTheme="minorHAnsi" w:hAnsiTheme="minorHAnsi" w:cstheme="minorHAnsi"/>
                <w:lang w:val="lv-LV"/>
              </w:rPr>
            </w:pPr>
          </w:p>
        </w:tc>
        <w:tc>
          <w:tcPr>
            <w:tcW w:w="360" w:type="pct"/>
            <w:vMerge/>
          </w:tcPr>
          <w:p w14:paraId="6683051E" w14:textId="77777777" w:rsidR="005E7283" w:rsidRPr="00C5633B" w:rsidRDefault="005E7283" w:rsidP="005E7283">
            <w:pPr>
              <w:rPr>
                <w:rFonts w:asciiTheme="minorHAnsi" w:hAnsiTheme="minorHAnsi" w:cstheme="minorHAnsi"/>
                <w:lang w:val="lv-LV"/>
              </w:rPr>
            </w:pPr>
          </w:p>
        </w:tc>
      </w:tr>
      <w:tr w:rsidR="00574717" w:rsidRPr="00C5633B" w14:paraId="201EE9DE" w14:textId="77777777" w:rsidTr="005E7283">
        <w:tblPrEx>
          <w:tblLook w:val="01E0" w:firstRow="1" w:lastRow="1" w:firstColumn="1" w:lastColumn="1" w:noHBand="0" w:noVBand="0"/>
        </w:tblPrEx>
        <w:trPr>
          <w:trHeight w:val="270"/>
        </w:trPr>
        <w:tc>
          <w:tcPr>
            <w:tcW w:w="464" w:type="pct"/>
            <w:vMerge/>
          </w:tcPr>
          <w:p w14:paraId="69DADA56" w14:textId="77777777" w:rsidR="00574717" w:rsidRPr="00C5633B" w:rsidRDefault="00574717" w:rsidP="005E7283">
            <w:pPr>
              <w:rPr>
                <w:rFonts w:asciiTheme="minorHAnsi" w:hAnsiTheme="minorHAnsi" w:cstheme="minorHAnsi"/>
                <w:lang w:val="lv-LV"/>
              </w:rPr>
            </w:pPr>
          </w:p>
        </w:tc>
        <w:tc>
          <w:tcPr>
            <w:tcW w:w="2006" w:type="pct"/>
          </w:tcPr>
          <w:p w14:paraId="0BF6F1EF" w14:textId="5CFEA5E4" w:rsidR="00574717" w:rsidRPr="00964A04" w:rsidRDefault="00574717" w:rsidP="005E7283">
            <w:pPr>
              <w:jc w:val="both"/>
              <w:rPr>
                <w:rFonts w:asciiTheme="minorHAnsi" w:hAnsiTheme="minorHAnsi" w:cstheme="minorHAnsi"/>
                <w:lang w:val="lv-LV"/>
              </w:rPr>
            </w:pPr>
            <w:r w:rsidRPr="00BE247F">
              <w:rPr>
                <w:rFonts w:asciiTheme="minorHAnsi" w:hAnsiTheme="minorHAnsi" w:cstheme="minorHAnsi"/>
                <w:lang w:val="lv-LV"/>
              </w:rPr>
              <w:t>Instrukcija latviešu vai angļu valodā</w:t>
            </w:r>
          </w:p>
        </w:tc>
        <w:tc>
          <w:tcPr>
            <w:tcW w:w="387" w:type="pct"/>
            <w:vMerge/>
          </w:tcPr>
          <w:p w14:paraId="1BAC0564" w14:textId="77777777" w:rsidR="00574717" w:rsidRPr="00C5633B" w:rsidRDefault="00574717" w:rsidP="005E7283">
            <w:pPr>
              <w:rPr>
                <w:rFonts w:asciiTheme="minorHAnsi" w:hAnsiTheme="minorHAnsi" w:cstheme="minorHAnsi"/>
                <w:lang w:val="lv-LV"/>
              </w:rPr>
            </w:pPr>
          </w:p>
        </w:tc>
        <w:tc>
          <w:tcPr>
            <w:tcW w:w="1783" w:type="pct"/>
          </w:tcPr>
          <w:p w14:paraId="31577D35" w14:textId="77777777" w:rsidR="00574717" w:rsidRPr="00C5633B" w:rsidRDefault="00574717" w:rsidP="005E7283">
            <w:pPr>
              <w:rPr>
                <w:rFonts w:asciiTheme="minorHAnsi" w:hAnsiTheme="minorHAnsi" w:cstheme="minorHAnsi"/>
                <w:lang w:val="lv-LV"/>
              </w:rPr>
            </w:pPr>
          </w:p>
        </w:tc>
        <w:tc>
          <w:tcPr>
            <w:tcW w:w="360" w:type="pct"/>
            <w:vMerge/>
          </w:tcPr>
          <w:p w14:paraId="046B36B8" w14:textId="77777777" w:rsidR="00574717" w:rsidRPr="00C5633B" w:rsidRDefault="00574717" w:rsidP="005E7283">
            <w:pPr>
              <w:rPr>
                <w:rFonts w:asciiTheme="minorHAnsi" w:hAnsiTheme="minorHAnsi" w:cstheme="minorHAnsi"/>
                <w:lang w:val="lv-LV"/>
              </w:rPr>
            </w:pPr>
          </w:p>
        </w:tc>
      </w:tr>
      <w:tr w:rsidR="005E4EB1" w:rsidRPr="00C5633B" w14:paraId="620C997A" w14:textId="77777777" w:rsidTr="005E7283">
        <w:tblPrEx>
          <w:tblLook w:val="01E0" w:firstRow="1" w:lastRow="1" w:firstColumn="1" w:lastColumn="1" w:noHBand="0" w:noVBand="0"/>
        </w:tblPrEx>
        <w:trPr>
          <w:trHeight w:val="270"/>
        </w:trPr>
        <w:tc>
          <w:tcPr>
            <w:tcW w:w="464" w:type="pct"/>
            <w:vMerge/>
          </w:tcPr>
          <w:p w14:paraId="224230BD" w14:textId="77777777" w:rsidR="005E4EB1" w:rsidRPr="00C5633B" w:rsidRDefault="005E4EB1" w:rsidP="005E7283">
            <w:pPr>
              <w:rPr>
                <w:rFonts w:asciiTheme="minorHAnsi" w:hAnsiTheme="minorHAnsi" w:cstheme="minorHAnsi"/>
                <w:lang w:val="lv-LV"/>
              </w:rPr>
            </w:pPr>
          </w:p>
        </w:tc>
        <w:tc>
          <w:tcPr>
            <w:tcW w:w="2006" w:type="pct"/>
          </w:tcPr>
          <w:p w14:paraId="60548EF0" w14:textId="7B222109" w:rsidR="005E4EB1" w:rsidRPr="00BE247F" w:rsidRDefault="005E4EB1" w:rsidP="005E7283">
            <w:pPr>
              <w:jc w:val="both"/>
              <w:rPr>
                <w:rFonts w:asciiTheme="minorHAnsi" w:hAnsiTheme="minorHAnsi" w:cstheme="minorHAnsi"/>
                <w:lang w:val="lv-LV"/>
              </w:rPr>
            </w:pPr>
            <w:r w:rsidRPr="005E4EB1">
              <w:rPr>
                <w:rFonts w:asciiTheme="minorHAnsi" w:hAnsiTheme="minorHAnsi" w:cstheme="minorHAnsi"/>
                <w:lang w:val="lv-LV"/>
              </w:rPr>
              <w:t>CE marķējums</w:t>
            </w:r>
          </w:p>
        </w:tc>
        <w:tc>
          <w:tcPr>
            <w:tcW w:w="387" w:type="pct"/>
            <w:vMerge/>
          </w:tcPr>
          <w:p w14:paraId="26FC6F15" w14:textId="77777777" w:rsidR="005E4EB1" w:rsidRPr="00C5633B" w:rsidRDefault="005E4EB1" w:rsidP="005E7283">
            <w:pPr>
              <w:rPr>
                <w:rFonts w:asciiTheme="minorHAnsi" w:hAnsiTheme="minorHAnsi" w:cstheme="minorHAnsi"/>
                <w:lang w:val="lv-LV"/>
              </w:rPr>
            </w:pPr>
          </w:p>
        </w:tc>
        <w:tc>
          <w:tcPr>
            <w:tcW w:w="1783" w:type="pct"/>
          </w:tcPr>
          <w:p w14:paraId="3D3E4B5A" w14:textId="77777777" w:rsidR="005E4EB1" w:rsidRPr="00C5633B" w:rsidRDefault="005E4EB1" w:rsidP="005E7283">
            <w:pPr>
              <w:rPr>
                <w:rFonts w:asciiTheme="minorHAnsi" w:hAnsiTheme="minorHAnsi" w:cstheme="minorHAnsi"/>
                <w:lang w:val="lv-LV"/>
              </w:rPr>
            </w:pPr>
          </w:p>
        </w:tc>
        <w:tc>
          <w:tcPr>
            <w:tcW w:w="360" w:type="pct"/>
            <w:vMerge/>
          </w:tcPr>
          <w:p w14:paraId="19DD838E" w14:textId="77777777" w:rsidR="005E4EB1" w:rsidRPr="00C5633B" w:rsidRDefault="005E4EB1" w:rsidP="005E7283">
            <w:pPr>
              <w:rPr>
                <w:rFonts w:asciiTheme="minorHAnsi" w:hAnsiTheme="minorHAnsi" w:cstheme="minorHAnsi"/>
                <w:lang w:val="lv-LV"/>
              </w:rPr>
            </w:pPr>
          </w:p>
        </w:tc>
      </w:tr>
      <w:tr w:rsidR="005E7283" w:rsidRPr="00C5633B" w14:paraId="055B03CB" w14:textId="349AF7D1" w:rsidTr="005E7283">
        <w:tblPrEx>
          <w:tblLook w:val="01E0" w:firstRow="1" w:lastRow="1" w:firstColumn="1" w:lastColumn="1" w:noHBand="0" w:noVBand="0"/>
        </w:tblPrEx>
        <w:trPr>
          <w:trHeight w:val="255"/>
        </w:trPr>
        <w:tc>
          <w:tcPr>
            <w:tcW w:w="464" w:type="pct"/>
            <w:vMerge/>
          </w:tcPr>
          <w:p w14:paraId="2749391A" w14:textId="77777777" w:rsidR="005E7283" w:rsidRPr="00C5633B" w:rsidRDefault="005E7283" w:rsidP="005E7283">
            <w:pPr>
              <w:rPr>
                <w:rFonts w:asciiTheme="minorHAnsi" w:hAnsiTheme="minorHAnsi" w:cstheme="minorHAnsi"/>
                <w:lang w:val="lv-LV"/>
              </w:rPr>
            </w:pPr>
          </w:p>
        </w:tc>
        <w:tc>
          <w:tcPr>
            <w:tcW w:w="2006" w:type="pct"/>
          </w:tcPr>
          <w:p w14:paraId="3F2051DB" w14:textId="092AA9B2" w:rsidR="005E7283" w:rsidRPr="00964A04" w:rsidRDefault="005E7283" w:rsidP="005E7283">
            <w:pPr>
              <w:jc w:val="both"/>
              <w:rPr>
                <w:rFonts w:asciiTheme="minorHAnsi" w:hAnsiTheme="minorHAnsi" w:cstheme="minorHAnsi"/>
                <w:lang w:val="lv-LV"/>
              </w:rPr>
            </w:pPr>
            <w:r w:rsidRPr="00964A04">
              <w:rPr>
                <w:rFonts w:asciiTheme="minorHAnsi" w:hAnsiTheme="minorHAnsi" w:cstheme="minorHAnsi"/>
                <w:lang w:val="lv-LV"/>
              </w:rPr>
              <w:t>Derīg</w:t>
            </w:r>
            <w:r w:rsidR="008B4E77">
              <w:rPr>
                <w:rFonts w:asciiTheme="minorHAnsi" w:hAnsiTheme="minorHAnsi" w:cstheme="minorHAnsi"/>
                <w:lang w:val="lv-LV"/>
              </w:rPr>
              <w:t>a</w:t>
            </w:r>
            <w:r w:rsidRPr="00964A04">
              <w:rPr>
                <w:rFonts w:asciiTheme="minorHAnsi" w:hAnsiTheme="minorHAnsi" w:cstheme="minorHAnsi"/>
                <w:lang w:val="lv-LV"/>
              </w:rPr>
              <w:t xml:space="preserve"> lietošanai Eiropas voltāžās diapazonā (nomināls 100-240V AC 50Hz) ar Eiropas tipa kontaktdakšu</w:t>
            </w:r>
          </w:p>
        </w:tc>
        <w:tc>
          <w:tcPr>
            <w:tcW w:w="387" w:type="pct"/>
            <w:vMerge/>
          </w:tcPr>
          <w:p w14:paraId="55F1119E" w14:textId="77777777" w:rsidR="005E7283" w:rsidRPr="00C5633B" w:rsidRDefault="005E7283" w:rsidP="005E7283">
            <w:pPr>
              <w:rPr>
                <w:rFonts w:asciiTheme="minorHAnsi" w:hAnsiTheme="minorHAnsi" w:cstheme="minorHAnsi"/>
                <w:lang w:val="lv-LV"/>
              </w:rPr>
            </w:pPr>
          </w:p>
        </w:tc>
        <w:tc>
          <w:tcPr>
            <w:tcW w:w="1783" w:type="pct"/>
          </w:tcPr>
          <w:p w14:paraId="1C3DAE78" w14:textId="77777777" w:rsidR="005E7283" w:rsidRPr="00C5633B" w:rsidRDefault="005E7283" w:rsidP="005E7283">
            <w:pPr>
              <w:rPr>
                <w:rFonts w:asciiTheme="minorHAnsi" w:hAnsiTheme="minorHAnsi" w:cstheme="minorHAnsi"/>
                <w:lang w:val="lv-LV"/>
              </w:rPr>
            </w:pPr>
          </w:p>
        </w:tc>
        <w:tc>
          <w:tcPr>
            <w:tcW w:w="360" w:type="pct"/>
            <w:vMerge/>
          </w:tcPr>
          <w:p w14:paraId="76E7DFE3" w14:textId="77777777" w:rsidR="005E7283" w:rsidRPr="00C5633B" w:rsidRDefault="005E7283" w:rsidP="005E7283">
            <w:pPr>
              <w:rPr>
                <w:rFonts w:asciiTheme="minorHAnsi" w:hAnsiTheme="minorHAnsi" w:cstheme="minorHAnsi"/>
                <w:lang w:val="lv-LV"/>
              </w:rPr>
            </w:pPr>
          </w:p>
        </w:tc>
      </w:tr>
      <w:tr w:rsidR="005E7283" w:rsidRPr="00C5633B" w14:paraId="33415C0B" w14:textId="0451A4E7" w:rsidTr="005E7283">
        <w:tblPrEx>
          <w:tblLook w:val="01E0" w:firstRow="1" w:lastRow="1" w:firstColumn="1" w:lastColumn="1" w:noHBand="0" w:noVBand="0"/>
        </w:tblPrEx>
        <w:trPr>
          <w:trHeight w:val="225"/>
        </w:trPr>
        <w:tc>
          <w:tcPr>
            <w:tcW w:w="464" w:type="pct"/>
            <w:vMerge/>
          </w:tcPr>
          <w:p w14:paraId="58CE5975" w14:textId="77777777" w:rsidR="005E7283" w:rsidRPr="00C5633B" w:rsidRDefault="005E7283" w:rsidP="005E7283">
            <w:pPr>
              <w:rPr>
                <w:rFonts w:asciiTheme="minorHAnsi" w:hAnsiTheme="minorHAnsi" w:cstheme="minorHAnsi"/>
                <w:lang w:val="lv-LV"/>
              </w:rPr>
            </w:pPr>
          </w:p>
        </w:tc>
        <w:tc>
          <w:tcPr>
            <w:tcW w:w="2006" w:type="pct"/>
          </w:tcPr>
          <w:p w14:paraId="7F4AC19B" w14:textId="7E7482FA" w:rsidR="005E7283" w:rsidRPr="00964A04" w:rsidRDefault="005E7283" w:rsidP="005E7283">
            <w:pPr>
              <w:jc w:val="both"/>
              <w:rPr>
                <w:rFonts w:asciiTheme="minorHAnsi" w:hAnsiTheme="minorHAnsi" w:cstheme="minorHAnsi"/>
                <w:lang w:val="lv-LV"/>
              </w:rPr>
            </w:pPr>
            <w:r w:rsidRPr="00964A04">
              <w:rPr>
                <w:rFonts w:asciiTheme="minorHAnsi" w:hAnsiTheme="minorHAnsi" w:cstheme="minorHAnsi"/>
                <w:lang w:val="lv-LV"/>
              </w:rPr>
              <w:t>Piegādes adrese: Rīga, Lejupes iela 3</w:t>
            </w:r>
          </w:p>
        </w:tc>
        <w:tc>
          <w:tcPr>
            <w:tcW w:w="387" w:type="pct"/>
            <w:vMerge/>
          </w:tcPr>
          <w:p w14:paraId="71F24AEC" w14:textId="77777777" w:rsidR="005E7283" w:rsidRPr="00C5633B" w:rsidRDefault="005E7283" w:rsidP="005E7283">
            <w:pPr>
              <w:rPr>
                <w:rFonts w:asciiTheme="minorHAnsi" w:hAnsiTheme="minorHAnsi" w:cstheme="minorHAnsi"/>
                <w:lang w:val="lv-LV"/>
              </w:rPr>
            </w:pPr>
          </w:p>
        </w:tc>
        <w:tc>
          <w:tcPr>
            <w:tcW w:w="1783" w:type="pct"/>
          </w:tcPr>
          <w:p w14:paraId="7731240F" w14:textId="77777777" w:rsidR="005E7283" w:rsidRPr="00C5633B" w:rsidRDefault="005E7283" w:rsidP="005E7283">
            <w:pPr>
              <w:rPr>
                <w:rFonts w:asciiTheme="minorHAnsi" w:hAnsiTheme="minorHAnsi" w:cstheme="minorHAnsi"/>
                <w:lang w:val="lv-LV"/>
              </w:rPr>
            </w:pPr>
          </w:p>
        </w:tc>
        <w:tc>
          <w:tcPr>
            <w:tcW w:w="360" w:type="pct"/>
            <w:vMerge/>
          </w:tcPr>
          <w:p w14:paraId="635B933E" w14:textId="77777777" w:rsidR="005E7283" w:rsidRPr="00C5633B" w:rsidRDefault="005E7283" w:rsidP="005E7283">
            <w:pPr>
              <w:rPr>
                <w:rFonts w:asciiTheme="minorHAnsi" w:hAnsiTheme="minorHAnsi" w:cstheme="minorHAnsi"/>
                <w:lang w:val="lv-LV"/>
              </w:rPr>
            </w:pPr>
          </w:p>
        </w:tc>
      </w:tr>
    </w:tbl>
    <w:p w14:paraId="7F65C9D1" w14:textId="77777777" w:rsidR="00317CBF" w:rsidRPr="00317CBF" w:rsidRDefault="00317CBF" w:rsidP="00317CBF">
      <w:pPr>
        <w:widowControl/>
        <w:overflowPunct/>
        <w:autoSpaceDE/>
        <w:autoSpaceDN/>
        <w:adjustRightInd/>
        <w:rPr>
          <w:rFonts w:asciiTheme="minorHAnsi" w:hAnsiTheme="minorHAnsi" w:cstheme="minorHAnsi"/>
          <w:sz w:val="22"/>
          <w:szCs w:val="22"/>
          <w:lang w:val="lv-LV"/>
        </w:rPr>
      </w:pPr>
      <w:bookmarkStart w:id="2" w:name="_Hlk75838324"/>
    </w:p>
    <w:p w14:paraId="7EFC4B23" w14:textId="77777777" w:rsidR="00317CBF" w:rsidRPr="00317CBF" w:rsidRDefault="00317CBF" w:rsidP="00317CBF">
      <w:pPr>
        <w:widowControl/>
        <w:overflowPunct/>
        <w:autoSpaceDE/>
        <w:autoSpaceDN/>
        <w:adjustRightInd/>
        <w:rPr>
          <w:rFonts w:asciiTheme="minorHAnsi" w:hAnsiTheme="minorHAnsi" w:cstheme="minorHAnsi"/>
          <w:sz w:val="22"/>
          <w:szCs w:val="22"/>
          <w:lang w:val="lv-LV"/>
        </w:rPr>
      </w:pPr>
      <w:r w:rsidRPr="00317CBF">
        <w:rPr>
          <w:rFonts w:asciiTheme="minorHAnsi" w:hAnsiTheme="minorHAnsi" w:cstheme="minorHAnsi"/>
          <w:sz w:val="22"/>
          <w:szCs w:val="22"/>
          <w:lang w:val="lv-LV"/>
        </w:rPr>
        <w:t>*Norādītā cena ietver visas izmaksas, kas saistītas ar tehniskajai specifikācijai atbilstošas iekārtas piegādi, t.sk. uzstādīšanu, garantijas servisa nodrošināšanu, nodokļu, nodevu, transportēšanas u.c. izmaksas, kas nepieciešamas pakalpojuma pilnīgai un kvalitatīvai sniegšanai saskaņā ar iepirkuma nolikumu un tā pielikumiem.</w:t>
      </w:r>
      <w:bookmarkEnd w:id="2"/>
    </w:p>
    <w:p w14:paraId="152A168D" w14:textId="77777777" w:rsidR="00F2643C" w:rsidRPr="00C5633B" w:rsidRDefault="00F2643C" w:rsidP="00194524">
      <w:pPr>
        <w:widowControl/>
        <w:overflowPunct/>
        <w:autoSpaceDE/>
        <w:autoSpaceDN/>
        <w:adjustRightInd/>
        <w:rPr>
          <w:rFonts w:asciiTheme="minorHAnsi" w:hAnsiTheme="minorHAnsi" w:cstheme="minorHAnsi"/>
          <w:b/>
          <w:bCs/>
          <w:caps/>
          <w:sz w:val="22"/>
          <w:szCs w:val="22"/>
          <w:lang w:val="lv-LV"/>
        </w:rPr>
      </w:pPr>
    </w:p>
    <w:sectPr w:rsidR="00F2643C" w:rsidRPr="00C5633B" w:rsidSect="0039574A">
      <w:pgSz w:w="16838" w:h="11906" w:orient="landscape"/>
      <w:pgMar w:top="1134"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nQuanYi Micro Hei">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16A9"/>
    <w:multiLevelType w:val="hybridMultilevel"/>
    <w:tmpl w:val="2788ED84"/>
    <w:lvl w:ilvl="0" w:tplc="EB1E8A9C">
      <w:start w:val="2"/>
      <w:numFmt w:val="bullet"/>
      <w:lvlText w:val="-"/>
      <w:lvlJc w:val="left"/>
      <w:pPr>
        <w:ind w:left="720" w:hanging="360"/>
      </w:pPr>
      <w:rPr>
        <w:rFonts w:ascii="Times New Roman" w:eastAsia="WenQuanYi Micro He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5E932CB"/>
    <w:multiLevelType w:val="hybridMultilevel"/>
    <w:tmpl w:val="96C6A3D8"/>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180D72FB"/>
    <w:multiLevelType w:val="hybridMultilevel"/>
    <w:tmpl w:val="A9F23E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FD04C7"/>
    <w:multiLevelType w:val="multilevel"/>
    <w:tmpl w:val="74DA3034"/>
    <w:lvl w:ilvl="0">
      <w:start w:val="7"/>
      <w:numFmt w:val="decimal"/>
      <w:lvlText w:val="%1."/>
      <w:lvlJc w:val="left"/>
      <w:pPr>
        <w:ind w:left="720" w:hanging="360"/>
      </w:pPr>
      <w:rPr>
        <w:rFonts w:asciiTheme="minorHAnsi" w:hAnsi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1A73C9"/>
    <w:multiLevelType w:val="hybridMultilevel"/>
    <w:tmpl w:val="BA749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41ABF"/>
    <w:multiLevelType w:val="hybridMultilevel"/>
    <w:tmpl w:val="D93447B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2F760CC6"/>
    <w:multiLevelType w:val="hybridMultilevel"/>
    <w:tmpl w:val="9A88EA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8C0ADD"/>
    <w:multiLevelType w:val="hybridMultilevel"/>
    <w:tmpl w:val="01BA9F5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449E34D4"/>
    <w:multiLevelType w:val="hybridMultilevel"/>
    <w:tmpl w:val="FF1201C6"/>
    <w:lvl w:ilvl="0" w:tplc="442A58E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E8D4EBB"/>
    <w:multiLevelType w:val="hybridMultilevel"/>
    <w:tmpl w:val="5FFE0B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513940ED"/>
    <w:multiLevelType w:val="hybridMultilevel"/>
    <w:tmpl w:val="1700C7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46C691B"/>
    <w:multiLevelType w:val="multilevel"/>
    <w:tmpl w:val="07909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85619F"/>
    <w:multiLevelType w:val="hybridMultilevel"/>
    <w:tmpl w:val="5AE09DBA"/>
    <w:lvl w:ilvl="0" w:tplc="0FBE5E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5B5F77"/>
    <w:multiLevelType w:val="hybridMultilevel"/>
    <w:tmpl w:val="239C74B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192E59"/>
    <w:multiLevelType w:val="hybridMultilevel"/>
    <w:tmpl w:val="EF7C1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90262D"/>
    <w:multiLevelType w:val="hybridMultilevel"/>
    <w:tmpl w:val="F4C6F12A"/>
    <w:lvl w:ilvl="0" w:tplc="9CC4A6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E4145A0"/>
    <w:multiLevelType w:val="hybridMultilevel"/>
    <w:tmpl w:val="A7C265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72174848">
    <w:abstractNumId w:val="3"/>
  </w:num>
  <w:num w:numId="2" w16cid:durableId="1002244771">
    <w:abstractNumId w:val="2"/>
  </w:num>
  <w:num w:numId="3" w16cid:durableId="58749313">
    <w:abstractNumId w:val="10"/>
  </w:num>
  <w:num w:numId="4" w16cid:durableId="598488360">
    <w:abstractNumId w:val="6"/>
  </w:num>
  <w:num w:numId="5" w16cid:durableId="1717391835">
    <w:abstractNumId w:val="16"/>
  </w:num>
  <w:num w:numId="6" w16cid:durableId="579798883">
    <w:abstractNumId w:val="4"/>
  </w:num>
  <w:num w:numId="7" w16cid:durableId="360085547">
    <w:abstractNumId w:val="0"/>
  </w:num>
  <w:num w:numId="8" w16cid:durableId="2081636031">
    <w:abstractNumId w:val="5"/>
  </w:num>
  <w:num w:numId="9" w16cid:durableId="1898197260">
    <w:abstractNumId w:val="14"/>
  </w:num>
  <w:num w:numId="10" w16cid:durableId="1749231662">
    <w:abstractNumId w:val="9"/>
  </w:num>
  <w:num w:numId="11" w16cid:durableId="1582369460">
    <w:abstractNumId w:val="15"/>
  </w:num>
  <w:num w:numId="12" w16cid:durableId="1162240066">
    <w:abstractNumId w:val="8"/>
  </w:num>
  <w:num w:numId="13" w16cid:durableId="1858302467">
    <w:abstractNumId w:val="12"/>
  </w:num>
  <w:num w:numId="14" w16cid:durableId="1526822723">
    <w:abstractNumId w:val="11"/>
  </w:num>
  <w:num w:numId="15" w16cid:durableId="1520392125">
    <w:abstractNumId w:val="7"/>
  </w:num>
  <w:num w:numId="16" w16cid:durableId="421682529">
    <w:abstractNumId w:val="1"/>
  </w:num>
  <w:num w:numId="17" w16cid:durableId="493452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13"/>
    <w:rsid w:val="00036A34"/>
    <w:rsid w:val="00037197"/>
    <w:rsid w:val="00067D7E"/>
    <w:rsid w:val="00083CAD"/>
    <w:rsid w:val="00091159"/>
    <w:rsid w:val="000A4DC0"/>
    <w:rsid w:val="000B5345"/>
    <w:rsid w:val="000F2230"/>
    <w:rsid w:val="00156D78"/>
    <w:rsid w:val="00173EB4"/>
    <w:rsid w:val="001827A4"/>
    <w:rsid w:val="00194524"/>
    <w:rsid w:val="001B7408"/>
    <w:rsid w:val="001C32D1"/>
    <w:rsid w:val="001C4B7B"/>
    <w:rsid w:val="00213C1B"/>
    <w:rsid w:val="00222671"/>
    <w:rsid w:val="002434C0"/>
    <w:rsid w:val="002504D1"/>
    <w:rsid w:val="00283A87"/>
    <w:rsid w:val="00286FB9"/>
    <w:rsid w:val="002924D7"/>
    <w:rsid w:val="002C4778"/>
    <w:rsid w:val="002D1D59"/>
    <w:rsid w:val="002E14C6"/>
    <w:rsid w:val="00312A21"/>
    <w:rsid w:val="00313EE9"/>
    <w:rsid w:val="00317CBF"/>
    <w:rsid w:val="00323A87"/>
    <w:rsid w:val="0032744B"/>
    <w:rsid w:val="00331990"/>
    <w:rsid w:val="0034130A"/>
    <w:rsid w:val="003524EF"/>
    <w:rsid w:val="0039574A"/>
    <w:rsid w:val="003976BC"/>
    <w:rsid w:val="003B18D1"/>
    <w:rsid w:val="003B6F2C"/>
    <w:rsid w:val="003C3334"/>
    <w:rsid w:val="003F1285"/>
    <w:rsid w:val="00432148"/>
    <w:rsid w:val="00441596"/>
    <w:rsid w:val="00441C3A"/>
    <w:rsid w:val="00484A13"/>
    <w:rsid w:val="004A1DC6"/>
    <w:rsid w:val="004C285D"/>
    <w:rsid w:val="004D5017"/>
    <w:rsid w:val="004D76C1"/>
    <w:rsid w:val="004E6927"/>
    <w:rsid w:val="004E7356"/>
    <w:rsid w:val="004F1935"/>
    <w:rsid w:val="00561A3A"/>
    <w:rsid w:val="00562D6E"/>
    <w:rsid w:val="00563445"/>
    <w:rsid w:val="005637B9"/>
    <w:rsid w:val="00574717"/>
    <w:rsid w:val="00575F84"/>
    <w:rsid w:val="005772A5"/>
    <w:rsid w:val="005B15ED"/>
    <w:rsid w:val="005D30D4"/>
    <w:rsid w:val="005E4EB1"/>
    <w:rsid w:val="005E7283"/>
    <w:rsid w:val="0065567F"/>
    <w:rsid w:val="006A03AA"/>
    <w:rsid w:val="006B1ADA"/>
    <w:rsid w:val="006E3DDA"/>
    <w:rsid w:val="006F3F3F"/>
    <w:rsid w:val="0070072C"/>
    <w:rsid w:val="007223DE"/>
    <w:rsid w:val="00730DA5"/>
    <w:rsid w:val="007339EB"/>
    <w:rsid w:val="0073769B"/>
    <w:rsid w:val="007567F8"/>
    <w:rsid w:val="007702C9"/>
    <w:rsid w:val="007C219E"/>
    <w:rsid w:val="007C5ADA"/>
    <w:rsid w:val="00805A9C"/>
    <w:rsid w:val="00826624"/>
    <w:rsid w:val="008602FD"/>
    <w:rsid w:val="008B4E77"/>
    <w:rsid w:val="008C1ACD"/>
    <w:rsid w:val="008C25F5"/>
    <w:rsid w:val="008D0161"/>
    <w:rsid w:val="008F389B"/>
    <w:rsid w:val="008F64E8"/>
    <w:rsid w:val="009158A3"/>
    <w:rsid w:val="009538C5"/>
    <w:rsid w:val="00956E93"/>
    <w:rsid w:val="009571C4"/>
    <w:rsid w:val="00964A04"/>
    <w:rsid w:val="009664DC"/>
    <w:rsid w:val="00986988"/>
    <w:rsid w:val="009E76EE"/>
    <w:rsid w:val="00A80D20"/>
    <w:rsid w:val="00AA4BCD"/>
    <w:rsid w:val="00AB22B9"/>
    <w:rsid w:val="00AC2CC5"/>
    <w:rsid w:val="00AF4F8A"/>
    <w:rsid w:val="00AF70AD"/>
    <w:rsid w:val="00B23327"/>
    <w:rsid w:val="00B25CF2"/>
    <w:rsid w:val="00B434D1"/>
    <w:rsid w:val="00B52BE2"/>
    <w:rsid w:val="00B543BA"/>
    <w:rsid w:val="00B77891"/>
    <w:rsid w:val="00BA538C"/>
    <w:rsid w:val="00BA703F"/>
    <w:rsid w:val="00BC4839"/>
    <w:rsid w:val="00C16048"/>
    <w:rsid w:val="00C17A85"/>
    <w:rsid w:val="00C24369"/>
    <w:rsid w:val="00C501A3"/>
    <w:rsid w:val="00C53569"/>
    <w:rsid w:val="00C5356B"/>
    <w:rsid w:val="00C5633B"/>
    <w:rsid w:val="00C955C4"/>
    <w:rsid w:val="00CA42C8"/>
    <w:rsid w:val="00CE168D"/>
    <w:rsid w:val="00D13EF9"/>
    <w:rsid w:val="00D33470"/>
    <w:rsid w:val="00D41D80"/>
    <w:rsid w:val="00D86448"/>
    <w:rsid w:val="00DB653F"/>
    <w:rsid w:val="00DC6E28"/>
    <w:rsid w:val="00DF68F2"/>
    <w:rsid w:val="00E15C5B"/>
    <w:rsid w:val="00E32B27"/>
    <w:rsid w:val="00E8561A"/>
    <w:rsid w:val="00EA6C58"/>
    <w:rsid w:val="00EB3A85"/>
    <w:rsid w:val="00EC2C2D"/>
    <w:rsid w:val="00F05CF6"/>
    <w:rsid w:val="00F064BB"/>
    <w:rsid w:val="00F2643C"/>
    <w:rsid w:val="00FD2379"/>
    <w:rsid w:val="00FD3C0E"/>
    <w:rsid w:val="00FD74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8AEF"/>
  <w15:chartTrackingRefBased/>
  <w15:docId w15:val="{8A830F73-DF0B-4314-A279-1FA2AB7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3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F2643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paragraph" w:styleId="Revision">
    <w:name w:val="Revision"/>
    <w:hidden/>
    <w:uiPriority w:val="99"/>
    <w:semiHidden/>
    <w:rsid w:val="00964A04"/>
    <w:pPr>
      <w:spacing w:after="0" w:line="240" w:lineRule="auto"/>
    </w:pPr>
    <w:rPr>
      <w:rFonts w:ascii="Times New Roman" w:eastAsia="Times New Roman" w:hAnsi="Times New Roman" w:cs="Times New Roman"/>
      <w:kern w:val="28"/>
      <w:sz w:val="20"/>
      <w:szCs w:val="20"/>
      <w:lang w:val="en-GB" w:eastAsia="lv-LV"/>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8F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39217">
      <w:bodyDiv w:val="1"/>
      <w:marLeft w:val="0"/>
      <w:marRight w:val="0"/>
      <w:marTop w:val="0"/>
      <w:marBottom w:val="0"/>
      <w:divBdr>
        <w:top w:val="none" w:sz="0" w:space="0" w:color="auto"/>
        <w:left w:val="none" w:sz="0" w:space="0" w:color="auto"/>
        <w:bottom w:val="none" w:sz="0" w:space="0" w:color="auto"/>
        <w:right w:val="none" w:sz="0" w:space="0" w:color="auto"/>
      </w:divBdr>
    </w:div>
    <w:div w:id="277950103">
      <w:bodyDiv w:val="1"/>
      <w:marLeft w:val="0"/>
      <w:marRight w:val="0"/>
      <w:marTop w:val="0"/>
      <w:marBottom w:val="0"/>
      <w:divBdr>
        <w:top w:val="none" w:sz="0" w:space="0" w:color="auto"/>
        <w:left w:val="none" w:sz="0" w:space="0" w:color="auto"/>
        <w:bottom w:val="none" w:sz="0" w:space="0" w:color="auto"/>
        <w:right w:val="none" w:sz="0" w:space="0" w:color="auto"/>
      </w:divBdr>
    </w:div>
    <w:div w:id="310476670">
      <w:bodyDiv w:val="1"/>
      <w:marLeft w:val="0"/>
      <w:marRight w:val="0"/>
      <w:marTop w:val="0"/>
      <w:marBottom w:val="0"/>
      <w:divBdr>
        <w:top w:val="none" w:sz="0" w:space="0" w:color="auto"/>
        <w:left w:val="none" w:sz="0" w:space="0" w:color="auto"/>
        <w:bottom w:val="none" w:sz="0" w:space="0" w:color="auto"/>
        <w:right w:val="none" w:sz="0" w:space="0" w:color="auto"/>
      </w:divBdr>
    </w:div>
    <w:div w:id="356657665">
      <w:bodyDiv w:val="1"/>
      <w:marLeft w:val="0"/>
      <w:marRight w:val="0"/>
      <w:marTop w:val="0"/>
      <w:marBottom w:val="0"/>
      <w:divBdr>
        <w:top w:val="none" w:sz="0" w:space="0" w:color="auto"/>
        <w:left w:val="none" w:sz="0" w:space="0" w:color="auto"/>
        <w:bottom w:val="none" w:sz="0" w:space="0" w:color="auto"/>
        <w:right w:val="none" w:sz="0" w:space="0" w:color="auto"/>
      </w:divBdr>
    </w:div>
    <w:div w:id="403332568">
      <w:bodyDiv w:val="1"/>
      <w:marLeft w:val="0"/>
      <w:marRight w:val="0"/>
      <w:marTop w:val="0"/>
      <w:marBottom w:val="0"/>
      <w:divBdr>
        <w:top w:val="none" w:sz="0" w:space="0" w:color="auto"/>
        <w:left w:val="none" w:sz="0" w:space="0" w:color="auto"/>
        <w:bottom w:val="none" w:sz="0" w:space="0" w:color="auto"/>
        <w:right w:val="none" w:sz="0" w:space="0" w:color="auto"/>
      </w:divBdr>
    </w:div>
    <w:div w:id="456341217">
      <w:bodyDiv w:val="1"/>
      <w:marLeft w:val="0"/>
      <w:marRight w:val="0"/>
      <w:marTop w:val="0"/>
      <w:marBottom w:val="0"/>
      <w:divBdr>
        <w:top w:val="none" w:sz="0" w:space="0" w:color="auto"/>
        <w:left w:val="none" w:sz="0" w:space="0" w:color="auto"/>
        <w:bottom w:val="none" w:sz="0" w:space="0" w:color="auto"/>
        <w:right w:val="none" w:sz="0" w:space="0" w:color="auto"/>
      </w:divBdr>
    </w:div>
    <w:div w:id="694383157">
      <w:bodyDiv w:val="1"/>
      <w:marLeft w:val="0"/>
      <w:marRight w:val="0"/>
      <w:marTop w:val="0"/>
      <w:marBottom w:val="0"/>
      <w:divBdr>
        <w:top w:val="none" w:sz="0" w:space="0" w:color="auto"/>
        <w:left w:val="none" w:sz="0" w:space="0" w:color="auto"/>
        <w:bottom w:val="none" w:sz="0" w:space="0" w:color="auto"/>
        <w:right w:val="none" w:sz="0" w:space="0" w:color="auto"/>
      </w:divBdr>
    </w:div>
    <w:div w:id="1295521924">
      <w:bodyDiv w:val="1"/>
      <w:marLeft w:val="0"/>
      <w:marRight w:val="0"/>
      <w:marTop w:val="0"/>
      <w:marBottom w:val="0"/>
      <w:divBdr>
        <w:top w:val="none" w:sz="0" w:space="0" w:color="auto"/>
        <w:left w:val="none" w:sz="0" w:space="0" w:color="auto"/>
        <w:bottom w:val="none" w:sz="0" w:space="0" w:color="auto"/>
        <w:right w:val="none" w:sz="0" w:space="0" w:color="auto"/>
      </w:divBdr>
    </w:div>
    <w:div w:id="18415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7845-6B8E-4956-AF5C-BC8EBF6C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Pages>
  <Words>1988</Words>
  <Characters>1134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TS</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cp:keywords/>
  <dc:description/>
  <cp:lastModifiedBy>Kristīne Rūmniece-Pakule</cp:lastModifiedBy>
  <cp:revision>64</cp:revision>
  <dcterms:created xsi:type="dcterms:W3CDTF">2022-09-13T07:57:00Z</dcterms:created>
  <dcterms:modified xsi:type="dcterms:W3CDTF">2025-11-19T11:57:00Z</dcterms:modified>
</cp:coreProperties>
</file>