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82D1" w14:textId="77777777" w:rsidR="009E2085" w:rsidRPr="009E2085" w:rsidRDefault="009E2085" w:rsidP="009E2085">
      <w:pPr>
        <w:widowControl/>
        <w:overflowPunct/>
        <w:autoSpaceDE/>
        <w:autoSpaceDN/>
        <w:adjustRightInd/>
        <w:spacing w:after="160" w:line="256" w:lineRule="auto"/>
        <w:ind w:left="426"/>
        <w:contextualSpacing/>
        <w:jc w:val="right"/>
        <w:rPr>
          <w:rFonts w:asciiTheme="minorHAnsi" w:eastAsiaTheme="minorHAnsi" w:hAnsiTheme="minorHAnsi" w:cstheme="minorBidi"/>
          <w:bCs/>
          <w:kern w:val="0"/>
          <w:lang w:val="lv-LV" w:eastAsia="en-US"/>
        </w:rPr>
      </w:pPr>
      <w:bookmarkStart w:id="0" w:name="OLE_LINK1"/>
      <w:bookmarkStart w:id="1" w:name="_Hlk155709169"/>
      <w:r w:rsidRPr="009E2085">
        <w:rPr>
          <w:rFonts w:asciiTheme="minorHAnsi" w:eastAsiaTheme="minorHAnsi" w:hAnsiTheme="minorHAnsi" w:cstheme="minorBidi"/>
          <w:bCs/>
          <w:kern w:val="0"/>
          <w:lang w:val="lv-LV" w:eastAsia="en-US"/>
        </w:rPr>
        <w:t>Pārtikas drošības, dzīvnieku veselības un vides zinātniskā institūta “BIOR”</w:t>
      </w:r>
    </w:p>
    <w:p w14:paraId="6A12549B" w14:textId="77777777" w:rsidR="009E2085" w:rsidRPr="009E2085" w:rsidRDefault="009E2085" w:rsidP="009E2085">
      <w:pPr>
        <w:widowControl/>
        <w:overflowPunct/>
        <w:autoSpaceDE/>
        <w:autoSpaceDN/>
        <w:adjustRightInd/>
        <w:spacing w:after="160" w:line="256" w:lineRule="auto"/>
        <w:ind w:left="426"/>
        <w:contextualSpacing/>
        <w:jc w:val="right"/>
        <w:rPr>
          <w:rFonts w:asciiTheme="minorHAnsi" w:eastAsiaTheme="minorHAnsi" w:hAnsiTheme="minorHAnsi" w:cstheme="minorBidi"/>
          <w:bCs/>
          <w:kern w:val="0"/>
          <w:lang w:val="lv-LV" w:eastAsia="en-US"/>
        </w:rPr>
      </w:pPr>
      <w:r w:rsidRPr="009E2085">
        <w:rPr>
          <w:rFonts w:asciiTheme="minorHAnsi" w:eastAsiaTheme="minorHAnsi" w:hAnsiTheme="minorHAnsi" w:cstheme="minorBidi"/>
          <w:bCs/>
          <w:kern w:val="0"/>
          <w:lang w:val="lv-LV" w:eastAsia="en-US"/>
        </w:rPr>
        <w:t xml:space="preserve">  atklāta konkursa </w:t>
      </w:r>
      <w:bookmarkEnd w:id="0"/>
      <w:r w:rsidRPr="009E2085">
        <w:rPr>
          <w:rFonts w:asciiTheme="minorHAnsi" w:eastAsiaTheme="minorHAnsi" w:hAnsiTheme="minorHAnsi" w:cstheme="minorBidi"/>
          <w:bCs/>
          <w:kern w:val="0"/>
          <w:lang w:val="lv-LV" w:eastAsia="en-US"/>
        </w:rPr>
        <w:t xml:space="preserve">“Laboratorijas iekārtu piegāde’’ </w:t>
      </w:r>
    </w:p>
    <w:p w14:paraId="5C449F7D" w14:textId="77777777" w:rsidR="009E2085" w:rsidRPr="009E2085" w:rsidRDefault="009E2085" w:rsidP="009E2085">
      <w:pPr>
        <w:widowControl/>
        <w:overflowPunct/>
        <w:autoSpaceDE/>
        <w:autoSpaceDN/>
        <w:adjustRightInd/>
        <w:spacing w:after="160" w:line="256" w:lineRule="auto"/>
        <w:ind w:left="426"/>
        <w:contextualSpacing/>
        <w:jc w:val="right"/>
        <w:rPr>
          <w:rFonts w:asciiTheme="minorHAnsi" w:eastAsiaTheme="minorHAnsi" w:hAnsiTheme="minorHAnsi" w:cstheme="minorBidi"/>
          <w:bCs/>
          <w:kern w:val="0"/>
          <w:lang w:val="lv-LV" w:eastAsia="en-US"/>
        </w:rPr>
      </w:pPr>
      <w:r w:rsidRPr="009E2085">
        <w:rPr>
          <w:rFonts w:asciiTheme="minorHAnsi" w:eastAsiaTheme="minorHAnsi" w:hAnsiTheme="minorHAnsi" w:cstheme="minorBidi"/>
          <w:bCs/>
          <w:kern w:val="0"/>
          <w:lang w:val="lv-LV" w:eastAsia="en-US"/>
        </w:rPr>
        <w:t>(ID. Nr. BIOR 2025/48/AK) nolikuma</w:t>
      </w:r>
    </w:p>
    <w:bookmarkEnd w:id="1"/>
    <w:p w14:paraId="4FA76ECD" w14:textId="77777777" w:rsidR="009E2085" w:rsidRPr="009E2085" w:rsidRDefault="009E2085" w:rsidP="009E2085">
      <w:pPr>
        <w:widowControl/>
        <w:overflowPunct/>
        <w:autoSpaceDE/>
        <w:autoSpaceDN/>
        <w:adjustRightInd/>
        <w:spacing w:after="160" w:line="256" w:lineRule="auto"/>
        <w:ind w:left="426"/>
        <w:contextualSpacing/>
        <w:jc w:val="right"/>
        <w:rPr>
          <w:rFonts w:asciiTheme="minorHAnsi" w:eastAsiaTheme="minorHAnsi" w:hAnsiTheme="minorHAnsi" w:cstheme="minorBidi"/>
          <w:bCs/>
          <w:kern w:val="0"/>
          <w:lang w:val="lv-LV" w:eastAsia="en-US"/>
        </w:rPr>
      </w:pPr>
      <w:r w:rsidRPr="009E2085">
        <w:rPr>
          <w:rFonts w:asciiTheme="minorHAnsi" w:eastAsiaTheme="minorHAnsi" w:hAnsiTheme="minorHAnsi" w:cstheme="minorBidi"/>
          <w:bCs/>
          <w:kern w:val="0"/>
          <w:lang w:val="lv-LV" w:eastAsia="en-US"/>
        </w:rPr>
        <w:t>2. pielikums</w:t>
      </w:r>
    </w:p>
    <w:p w14:paraId="655299FE" w14:textId="77777777" w:rsidR="009E2085" w:rsidRPr="009E2085" w:rsidRDefault="009E2085" w:rsidP="009E2085">
      <w:pPr>
        <w:widowControl/>
        <w:overflowPunct/>
        <w:autoSpaceDE/>
        <w:autoSpaceDN/>
        <w:adjustRightInd/>
        <w:spacing w:after="160" w:line="256" w:lineRule="auto"/>
        <w:ind w:left="426"/>
        <w:contextualSpacing/>
        <w:jc w:val="right"/>
        <w:rPr>
          <w:rFonts w:asciiTheme="minorHAnsi" w:eastAsiaTheme="minorHAnsi" w:hAnsiTheme="minorHAnsi" w:cstheme="minorBidi"/>
          <w:bCs/>
          <w:kern w:val="0"/>
          <w:lang w:val="lv-LV" w:eastAsia="en-US"/>
        </w:rPr>
      </w:pPr>
    </w:p>
    <w:p w14:paraId="2CEA9837" w14:textId="77777777" w:rsidR="009E2085" w:rsidRPr="009E2085" w:rsidRDefault="009E2085" w:rsidP="009E2085">
      <w:pPr>
        <w:widowControl/>
        <w:overflowPunct/>
        <w:autoSpaceDE/>
        <w:autoSpaceDN/>
        <w:adjustRightInd/>
        <w:ind w:left="426"/>
        <w:contextualSpacing/>
        <w:jc w:val="right"/>
        <w:rPr>
          <w:rFonts w:asciiTheme="minorHAnsi" w:eastAsiaTheme="minorHAnsi" w:hAnsiTheme="minorHAnsi" w:cstheme="minorBidi"/>
          <w:b/>
          <w:kern w:val="0"/>
          <w:lang w:val="lv-LV" w:eastAsia="en-US"/>
        </w:rPr>
      </w:pPr>
      <w:r w:rsidRPr="009E2085">
        <w:rPr>
          <w:rFonts w:asciiTheme="minorHAnsi" w:eastAsiaTheme="minorHAnsi" w:hAnsiTheme="minorHAnsi" w:cstheme="minorBidi"/>
          <w:b/>
          <w:kern w:val="0"/>
          <w:lang w:val="lv-LV" w:eastAsia="en-US"/>
        </w:rPr>
        <w:t xml:space="preserve">Tehniskās specifikācijas sagatavošanas datums: </w:t>
      </w:r>
      <w:r w:rsidRPr="009E2085">
        <w:rPr>
          <w:rFonts w:asciiTheme="minorHAnsi" w:eastAsiaTheme="minorHAnsi" w:hAnsiTheme="minorHAnsi" w:cstheme="minorBidi"/>
          <w:kern w:val="0"/>
          <w:lang w:val="lv-LV" w:eastAsia="en-US"/>
        </w:rPr>
        <w:t>10.11.2025.</w:t>
      </w:r>
    </w:p>
    <w:p w14:paraId="3EDE41E2" w14:textId="77777777" w:rsidR="009E2085" w:rsidRPr="00D82B97" w:rsidRDefault="009E2085" w:rsidP="009E2085">
      <w:pPr>
        <w:widowControl/>
        <w:overflowPunct/>
        <w:autoSpaceDE/>
        <w:adjustRightInd/>
        <w:spacing w:before="120" w:after="120"/>
        <w:jc w:val="center"/>
        <w:rPr>
          <w:rFonts w:ascii="Calibri" w:hAnsi="Calibri" w:cs="Calibri"/>
          <w:b/>
          <w:bCs/>
          <w:caps/>
          <w:kern w:val="0"/>
          <w:sz w:val="10"/>
          <w:szCs w:val="10"/>
          <w:lang w:val="lv-LV" w:eastAsia="en-US"/>
        </w:rPr>
      </w:pPr>
    </w:p>
    <w:p w14:paraId="7022EDAF" w14:textId="77777777" w:rsidR="00B750CA" w:rsidRPr="00B750CA" w:rsidRDefault="00B750CA" w:rsidP="00B750CA">
      <w:pPr>
        <w:jc w:val="center"/>
        <w:rPr>
          <w:rFonts w:ascii="Calibri" w:hAnsi="Calibri" w:cs="Calibri"/>
          <w:b/>
          <w:bCs/>
          <w:caps/>
          <w:kern w:val="0"/>
          <w:sz w:val="22"/>
          <w:szCs w:val="22"/>
          <w:lang w:val="pl-PL" w:eastAsia="en-US"/>
        </w:rPr>
      </w:pPr>
      <w:r w:rsidRPr="00B750CA">
        <w:rPr>
          <w:rFonts w:ascii="Calibri" w:hAnsi="Calibri" w:cs="Calibri"/>
          <w:b/>
          <w:bCs/>
          <w:caps/>
          <w:kern w:val="0"/>
          <w:sz w:val="22"/>
          <w:szCs w:val="22"/>
          <w:lang w:val="pl-PL" w:eastAsia="en-US"/>
        </w:rPr>
        <w:t>tehniskā specifikācija / tehniskais un finanšu piedāvājums</w:t>
      </w:r>
    </w:p>
    <w:p w14:paraId="42DC04CE" w14:textId="0E4EBD43" w:rsidR="00194524" w:rsidRDefault="005C1C72" w:rsidP="00D82B97">
      <w:pPr>
        <w:spacing w:before="120" w:after="120"/>
        <w:jc w:val="center"/>
        <w:rPr>
          <w:rFonts w:asciiTheme="minorHAnsi" w:hAnsiTheme="minorHAnsi" w:cs="Calibri"/>
          <w:b/>
          <w:bCs/>
          <w:caps/>
          <w:sz w:val="22"/>
          <w:szCs w:val="22"/>
          <w:lang w:val="lv-LV"/>
        </w:rPr>
      </w:pPr>
      <w:r w:rsidRPr="00E37687">
        <w:rPr>
          <w:rFonts w:asciiTheme="minorHAnsi" w:hAnsiTheme="minorHAnsi"/>
          <w:b/>
          <w:bCs/>
          <w:caps/>
          <w:sz w:val="22"/>
          <w:szCs w:val="22"/>
          <w:lang w:val="lv-LV"/>
        </w:rPr>
        <w:t>5. daļa</w:t>
      </w:r>
      <w:r w:rsidR="00E37687" w:rsidRPr="00E37687">
        <w:rPr>
          <w:rFonts w:asciiTheme="minorHAnsi" w:hAnsiTheme="minorHAnsi"/>
          <w:b/>
          <w:bCs/>
          <w:caps/>
          <w:sz w:val="22"/>
          <w:szCs w:val="22"/>
          <w:lang w:val="lv-LV"/>
        </w:rPr>
        <w:t xml:space="preserve"> “</w:t>
      </w:r>
      <w:r w:rsidR="00AD4913" w:rsidRPr="00E37687">
        <w:rPr>
          <w:rFonts w:asciiTheme="minorHAnsi" w:hAnsiTheme="minorHAnsi" w:cs="Calibri"/>
          <w:b/>
          <w:bCs/>
          <w:caps/>
          <w:sz w:val="22"/>
          <w:szCs w:val="22"/>
          <w:lang w:val="lv-LV"/>
        </w:rPr>
        <w:t>Rotors laboratorijas centrifūgai MPW-352R</w:t>
      </w:r>
      <w:r w:rsidR="00E37687" w:rsidRPr="00E37687">
        <w:rPr>
          <w:rFonts w:asciiTheme="minorHAnsi" w:hAnsiTheme="minorHAnsi" w:cs="Calibri"/>
          <w:b/>
          <w:bCs/>
          <w:caps/>
          <w:sz w:val="22"/>
          <w:szCs w:val="22"/>
          <w:lang w:val="lv-LV"/>
        </w:rPr>
        <w:t>”</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1"/>
        <w:gridCol w:w="5470"/>
        <w:gridCol w:w="1172"/>
        <w:gridCol w:w="5179"/>
        <w:gridCol w:w="1418"/>
      </w:tblGrid>
      <w:tr w:rsidR="00B74612" w:rsidRPr="00A16F6A" w14:paraId="17CA1956" w14:textId="595673D2" w:rsidTr="006D2890">
        <w:trPr>
          <w:trHeight w:val="715"/>
          <w:tblHeader/>
        </w:trPr>
        <w:tc>
          <w:tcPr>
            <w:tcW w:w="2414" w:type="pct"/>
            <w:gridSpan w:val="2"/>
            <w:vAlign w:val="center"/>
          </w:tcPr>
          <w:p w14:paraId="1800F494" w14:textId="3E4131B6" w:rsidR="00B74612" w:rsidRPr="002939FE" w:rsidRDefault="00B74612" w:rsidP="00AD4913">
            <w:pPr>
              <w:jc w:val="center"/>
              <w:rPr>
                <w:rFonts w:ascii="Calibri" w:hAnsi="Calibri" w:cs="Calibri"/>
                <w:b/>
                <w:sz w:val="22"/>
                <w:szCs w:val="22"/>
                <w:lang w:val="lv-LV"/>
              </w:rPr>
            </w:pPr>
            <w:r w:rsidRPr="002939FE">
              <w:rPr>
                <w:rFonts w:ascii="Calibri" w:hAnsi="Calibri" w:cs="Calibri"/>
                <w:b/>
                <w:sz w:val="22"/>
                <w:szCs w:val="22"/>
                <w:lang w:val="lv-LV"/>
              </w:rPr>
              <w:t>Tehniskā specifikācija</w:t>
            </w:r>
          </w:p>
        </w:tc>
        <w:tc>
          <w:tcPr>
            <w:tcW w:w="390" w:type="pct"/>
            <w:vAlign w:val="center"/>
          </w:tcPr>
          <w:p w14:paraId="77B38B9B" w14:textId="624925F2" w:rsidR="00B74612" w:rsidRPr="00A16F6A" w:rsidRDefault="00B74612" w:rsidP="00AD4913">
            <w:pPr>
              <w:jc w:val="center"/>
              <w:rPr>
                <w:rFonts w:ascii="Calibri" w:hAnsi="Calibri" w:cs="Calibri"/>
                <w:b/>
                <w:lang w:val="lv-LV"/>
              </w:rPr>
            </w:pPr>
            <w:r w:rsidRPr="002939FE">
              <w:rPr>
                <w:rFonts w:ascii="Calibri" w:hAnsi="Calibri" w:cs="Calibri"/>
                <w:b/>
                <w:sz w:val="22"/>
                <w:szCs w:val="22"/>
                <w:lang w:val="lv-LV"/>
              </w:rPr>
              <w:t>Daudzums</w:t>
            </w:r>
          </w:p>
        </w:tc>
        <w:tc>
          <w:tcPr>
            <w:tcW w:w="1724" w:type="pct"/>
            <w:vAlign w:val="center"/>
          </w:tcPr>
          <w:p w14:paraId="0CFD1491" w14:textId="77777777" w:rsidR="00B74612" w:rsidRPr="002939FE" w:rsidRDefault="00B74612" w:rsidP="00AD4913">
            <w:pPr>
              <w:widowControl/>
              <w:overflowPunct/>
              <w:autoSpaceDE/>
              <w:autoSpaceDN/>
              <w:adjustRightInd/>
              <w:spacing w:line="259" w:lineRule="auto"/>
              <w:jc w:val="center"/>
              <w:rPr>
                <w:rFonts w:ascii="Calibri" w:hAnsi="Calibri" w:cs="Calibri"/>
                <w:b/>
                <w:sz w:val="22"/>
                <w:szCs w:val="22"/>
                <w:lang w:val="lv-LV"/>
              </w:rPr>
            </w:pPr>
            <w:r w:rsidRPr="002939FE">
              <w:rPr>
                <w:rFonts w:ascii="Calibri" w:hAnsi="Calibri" w:cs="Calibri"/>
                <w:b/>
                <w:sz w:val="22"/>
                <w:szCs w:val="22"/>
                <w:lang w:val="lv-LV"/>
              </w:rPr>
              <w:t>Tehniskais piedāvājums</w:t>
            </w:r>
          </w:p>
          <w:p w14:paraId="3DFFC234" w14:textId="641B9DBB" w:rsidR="00B74612" w:rsidRPr="00A16F6A" w:rsidRDefault="004D6318" w:rsidP="00AD4913">
            <w:pPr>
              <w:jc w:val="center"/>
              <w:rPr>
                <w:rFonts w:ascii="Calibri" w:hAnsi="Calibri" w:cs="Calibr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 xml:space="preserve">Iekārtas elektroenerģijas patēriņš </w:t>
            </w:r>
            <w:proofErr w:type="spellStart"/>
            <w:r w:rsidRPr="00930077">
              <w:rPr>
                <w:rFonts w:asciiTheme="minorHAnsi" w:eastAsiaTheme="minorHAnsi" w:hAnsiTheme="minorHAnsi" w:cstheme="minorHAnsi"/>
                <w:bCs/>
                <w:lang w:val="lv-LV" w:eastAsia="en-US"/>
              </w:rPr>
              <w:t>kW</w:t>
            </w:r>
            <w:proofErr w:type="spellEnd"/>
            <w:r w:rsidRPr="00930077">
              <w:rPr>
                <w:rFonts w:asciiTheme="minorHAnsi" w:eastAsiaTheme="minorHAnsi" w:hAnsiTheme="minorHAnsi" w:cstheme="minorHAnsi"/>
                <w:bCs/>
                <w:lang w:val="lv-LV" w:eastAsia="en-US"/>
              </w:rPr>
              <w:t xml:space="preserve"> stundā</w:t>
            </w:r>
            <w:r>
              <w:rPr>
                <w:rFonts w:asciiTheme="minorHAnsi" w:eastAsiaTheme="minorHAnsi" w:hAnsiTheme="minorHAnsi" w:cstheme="minorHAnsi"/>
                <w:bCs/>
                <w:lang w:val="lv-LV" w:eastAsia="en-US"/>
              </w:rPr>
              <w:t>.</w:t>
            </w:r>
          </w:p>
        </w:tc>
        <w:tc>
          <w:tcPr>
            <w:tcW w:w="472" w:type="pct"/>
            <w:vAlign w:val="center"/>
          </w:tcPr>
          <w:p w14:paraId="0744EC28" w14:textId="59E82356" w:rsidR="00B74612" w:rsidRPr="002939FE" w:rsidRDefault="00B74612" w:rsidP="00AD4913">
            <w:pPr>
              <w:widowControl/>
              <w:overflowPunct/>
              <w:autoSpaceDE/>
              <w:autoSpaceDN/>
              <w:adjustRightInd/>
              <w:spacing w:line="259" w:lineRule="auto"/>
              <w:jc w:val="center"/>
              <w:rPr>
                <w:rFonts w:ascii="Calibri" w:hAnsi="Calibri" w:cs="Calibri"/>
                <w:b/>
                <w:sz w:val="22"/>
                <w:szCs w:val="22"/>
                <w:lang w:val="lv-LV"/>
              </w:rPr>
            </w:pPr>
            <w:r w:rsidRPr="002939FE">
              <w:rPr>
                <w:rFonts w:ascii="Calibri" w:hAnsi="Calibri" w:cs="Calibri"/>
                <w:b/>
                <w:sz w:val="22"/>
                <w:szCs w:val="22"/>
                <w:lang w:val="lv-LV"/>
              </w:rPr>
              <w:t xml:space="preserve">Cena* EUR </w:t>
            </w:r>
          </w:p>
          <w:p w14:paraId="768DE865" w14:textId="63AB483D" w:rsidR="00B74612" w:rsidRPr="00A16F6A" w:rsidRDefault="00B74612" w:rsidP="00AD4913">
            <w:pPr>
              <w:jc w:val="center"/>
              <w:rPr>
                <w:rFonts w:ascii="Calibri" w:hAnsi="Calibri" w:cs="Calibri"/>
                <w:b/>
                <w:lang w:val="lv-LV"/>
              </w:rPr>
            </w:pPr>
            <w:r w:rsidRPr="002939FE">
              <w:rPr>
                <w:rFonts w:ascii="Calibri" w:hAnsi="Calibri" w:cs="Calibri"/>
                <w:b/>
                <w:sz w:val="22"/>
                <w:szCs w:val="22"/>
                <w:lang w:val="lv-LV"/>
              </w:rPr>
              <w:t>bez PVN</w:t>
            </w:r>
          </w:p>
        </w:tc>
      </w:tr>
      <w:tr w:rsidR="004D6318" w:rsidRPr="00A16F6A" w14:paraId="746BE7E0" w14:textId="3606AEAA" w:rsidTr="006D2890">
        <w:tblPrEx>
          <w:tblLook w:val="01E0" w:firstRow="1" w:lastRow="1" w:firstColumn="1" w:lastColumn="1" w:noHBand="0" w:noVBand="0"/>
        </w:tblPrEx>
        <w:tc>
          <w:tcPr>
            <w:tcW w:w="593" w:type="pct"/>
            <w:vMerge w:val="restart"/>
          </w:tcPr>
          <w:p w14:paraId="5362EADC" w14:textId="77777777" w:rsidR="004D6318" w:rsidRPr="00A16F6A" w:rsidRDefault="004D6318" w:rsidP="0082641F">
            <w:pPr>
              <w:rPr>
                <w:rFonts w:ascii="Calibri" w:hAnsi="Calibri" w:cs="Calibri"/>
                <w:lang w:val="lv-LV"/>
              </w:rPr>
            </w:pPr>
            <w:r w:rsidRPr="00A16F6A">
              <w:rPr>
                <w:rFonts w:ascii="Calibri" w:hAnsi="Calibri" w:cs="Calibri"/>
                <w:lang w:val="lv-LV"/>
              </w:rPr>
              <w:t>Komplektācija un tehniskās prasības</w:t>
            </w:r>
          </w:p>
        </w:tc>
        <w:tc>
          <w:tcPr>
            <w:tcW w:w="1821" w:type="pct"/>
          </w:tcPr>
          <w:p w14:paraId="616BD237" w14:textId="54EB64F4" w:rsidR="004D6318" w:rsidRPr="00A16F6A" w:rsidRDefault="004D6318" w:rsidP="0082641F">
            <w:pPr>
              <w:ind w:left="19" w:hanging="19"/>
              <w:jc w:val="both"/>
              <w:rPr>
                <w:rFonts w:ascii="Calibri" w:hAnsi="Calibri" w:cs="Calibri"/>
                <w:lang w:val="lv-LV"/>
              </w:rPr>
            </w:pPr>
            <w:r w:rsidRPr="00A16F6A">
              <w:rPr>
                <w:rFonts w:ascii="Calibri" w:hAnsi="Calibri" w:cs="Calibri"/>
                <w:lang w:val="lv-LV"/>
              </w:rPr>
              <w:t xml:space="preserve">Rotora un tā piederumu komplekts, kas nodrošina vismaz 16 gab. </w:t>
            </w:r>
            <w:proofErr w:type="spellStart"/>
            <w:r w:rsidRPr="00A16F6A">
              <w:rPr>
                <w:rFonts w:ascii="Calibri" w:hAnsi="Calibri" w:cs="Calibri"/>
                <w:lang w:val="lv-LV"/>
              </w:rPr>
              <w:t>Sarstedt</w:t>
            </w:r>
            <w:proofErr w:type="spellEnd"/>
            <w:r w:rsidRPr="00A16F6A">
              <w:rPr>
                <w:rFonts w:ascii="Calibri" w:hAnsi="Calibri" w:cs="Calibri"/>
                <w:lang w:val="lv-LV"/>
              </w:rPr>
              <w:t xml:space="preserve"> 50 </w:t>
            </w:r>
            <w:proofErr w:type="spellStart"/>
            <w:r w:rsidRPr="00A16F6A">
              <w:rPr>
                <w:rFonts w:ascii="Calibri" w:hAnsi="Calibri" w:cs="Calibri"/>
                <w:lang w:val="lv-LV"/>
              </w:rPr>
              <w:t>mL</w:t>
            </w:r>
            <w:proofErr w:type="spellEnd"/>
            <w:r w:rsidRPr="00A16F6A">
              <w:rPr>
                <w:rFonts w:ascii="Calibri" w:hAnsi="Calibri" w:cs="Calibri"/>
                <w:lang w:val="lv-LV"/>
              </w:rPr>
              <w:t xml:space="preserve"> stobriņu (</w:t>
            </w:r>
            <w:proofErr w:type="spellStart"/>
            <w:r w:rsidRPr="00A16F6A">
              <w:rPr>
                <w:rFonts w:ascii="Calibri" w:hAnsi="Calibri" w:cs="Calibri"/>
                <w:lang w:val="lv-LV"/>
              </w:rPr>
              <w:t>kat</w:t>
            </w:r>
            <w:proofErr w:type="spellEnd"/>
            <w:r w:rsidRPr="00A16F6A">
              <w:rPr>
                <w:rFonts w:ascii="Calibri" w:hAnsi="Calibri" w:cs="Calibri"/>
                <w:lang w:val="lv-LV"/>
              </w:rPr>
              <w:t xml:space="preserve">. nr. 62.547.004) vienlaicīgu </w:t>
            </w:r>
            <w:proofErr w:type="spellStart"/>
            <w:r w:rsidRPr="00A16F6A">
              <w:rPr>
                <w:rFonts w:ascii="Calibri" w:hAnsi="Calibri" w:cs="Calibri"/>
                <w:lang w:val="lv-LV"/>
              </w:rPr>
              <w:t>centrifugēšanu</w:t>
            </w:r>
            <w:proofErr w:type="spellEnd"/>
            <w:r w:rsidRPr="00A16F6A">
              <w:rPr>
                <w:rFonts w:ascii="Calibri" w:hAnsi="Calibri" w:cs="Calibri"/>
                <w:lang w:val="lv-LV"/>
              </w:rPr>
              <w:t xml:space="preserve"> ar </w:t>
            </w:r>
            <w:r w:rsidRPr="006C705F">
              <w:rPr>
                <w:rFonts w:ascii="Calibri" w:hAnsi="Calibri" w:cs="Calibri"/>
                <w:lang w:val="lv-LV"/>
              </w:rPr>
              <w:t>vismaz 4405 x g</w:t>
            </w:r>
            <w:r w:rsidRPr="00A16F6A">
              <w:rPr>
                <w:rFonts w:ascii="Calibri" w:hAnsi="Calibri" w:cs="Calibri"/>
                <w:lang w:val="lv-LV"/>
              </w:rPr>
              <w:t xml:space="preserve"> </w:t>
            </w:r>
            <w:r>
              <w:rPr>
                <w:rFonts w:ascii="Calibri" w:hAnsi="Calibri" w:cs="Calibri"/>
                <w:lang w:val="lv-LV"/>
              </w:rPr>
              <w:t>relatīvo centrbēdzes</w:t>
            </w:r>
            <w:r w:rsidRPr="00A16F6A">
              <w:rPr>
                <w:rFonts w:ascii="Calibri" w:hAnsi="Calibri" w:cs="Calibri"/>
                <w:lang w:val="lv-LV"/>
              </w:rPr>
              <w:t xml:space="preserve"> spēku laboratorijas centrifūgā MPW-352R. Saderīgs ar šī centrifūgas modeļa automātiskās rotora </w:t>
            </w:r>
            <w:proofErr w:type="spellStart"/>
            <w:r w:rsidRPr="00A16F6A">
              <w:rPr>
                <w:rFonts w:ascii="Calibri" w:hAnsi="Calibri" w:cs="Calibri"/>
                <w:lang w:val="lv-LV"/>
              </w:rPr>
              <w:t>detekcijas</w:t>
            </w:r>
            <w:proofErr w:type="spellEnd"/>
            <w:r w:rsidRPr="00A16F6A">
              <w:rPr>
                <w:rFonts w:ascii="Calibri" w:hAnsi="Calibri" w:cs="Calibri"/>
                <w:lang w:val="lv-LV"/>
              </w:rPr>
              <w:t xml:space="preserve"> funkciju</w:t>
            </w:r>
          </w:p>
          <w:p w14:paraId="122C7258" w14:textId="09461A4E" w:rsidR="004D6318" w:rsidRPr="00A16F6A" w:rsidRDefault="004D6318" w:rsidP="0082641F">
            <w:pPr>
              <w:ind w:left="19" w:hanging="19"/>
              <w:jc w:val="both"/>
              <w:rPr>
                <w:rFonts w:ascii="Calibri" w:hAnsi="Calibri" w:cs="Calibri"/>
                <w:lang w:val="lv-LV"/>
              </w:rPr>
            </w:pPr>
            <w:r w:rsidRPr="00A16F6A">
              <w:rPr>
                <w:rFonts w:ascii="Calibri" w:hAnsi="Calibri" w:cs="Calibri"/>
                <w:lang w:val="lv-LV"/>
              </w:rPr>
              <w:t>Komplektācijā iekļauts:</w:t>
            </w:r>
          </w:p>
          <w:p w14:paraId="4D9C5DC0" w14:textId="6B703C39" w:rsidR="004D6318" w:rsidRPr="00A16F6A" w:rsidRDefault="004D6318" w:rsidP="0082641F">
            <w:pPr>
              <w:pStyle w:val="ListParagraph"/>
              <w:numPr>
                <w:ilvl w:val="0"/>
                <w:numId w:val="13"/>
              </w:numPr>
              <w:tabs>
                <w:tab w:val="left" w:pos="426"/>
              </w:tabs>
              <w:spacing w:line="240" w:lineRule="auto"/>
              <w:ind w:left="303" w:hanging="303"/>
              <w:jc w:val="both"/>
              <w:rPr>
                <w:rFonts w:ascii="Calibri" w:hAnsi="Calibri" w:cs="Calibri"/>
                <w:sz w:val="20"/>
                <w:szCs w:val="20"/>
              </w:rPr>
            </w:pPr>
            <w:r w:rsidRPr="00A16F6A">
              <w:rPr>
                <w:rFonts w:ascii="Calibri" w:hAnsi="Calibri" w:cs="Calibri"/>
                <w:sz w:val="20"/>
                <w:szCs w:val="20"/>
              </w:rPr>
              <w:t>1 gab. – centrifūgas rotors. MPW kataloga nr. 12352 vai ekvivalents</w:t>
            </w:r>
          </w:p>
          <w:p w14:paraId="01CC5C6C" w14:textId="4BC35436" w:rsidR="004D6318" w:rsidRPr="00A16F6A" w:rsidRDefault="004D6318" w:rsidP="0082641F">
            <w:pPr>
              <w:pStyle w:val="ListParagraph"/>
              <w:numPr>
                <w:ilvl w:val="0"/>
                <w:numId w:val="13"/>
              </w:numPr>
              <w:tabs>
                <w:tab w:val="left" w:pos="426"/>
              </w:tabs>
              <w:spacing w:line="240" w:lineRule="auto"/>
              <w:ind w:left="303" w:hanging="303"/>
              <w:jc w:val="both"/>
              <w:rPr>
                <w:rFonts w:ascii="Calibri" w:hAnsi="Calibri" w:cs="Calibri"/>
                <w:sz w:val="20"/>
                <w:szCs w:val="20"/>
              </w:rPr>
            </w:pPr>
            <w:r w:rsidRPr="00A16F6A">
              <w:rPr>
                <w:rFonts w:ascii="Calibri" w:hAnsi="Calibri" w:cs="Calibri"/>
                <w:sz w:val="20"/>
                <w:szCs w:val="20"/>
              </w:rPr>
              <w:t>4 gab. – centrifūgas rotora kausi. MPW kataloga nr. 13352 vai ekvivalents</w:t>
            </w:r>
          </w:p>
          <w:p w14:paraId="688606E5" w14:textId="1F827F0D" w:rsidR="004D6318" w:rsidRPr="00A16F6A" w:rsidRDefault="004D6318" w:rsidP="0082641F">
            <w:pPr>
              <w:pStyle w:val="ListParagraph"/>
              <w:numPr>
                <w:ilvl w:val="0"/>
                <w:numId w:val="13"/>
              </w:numPr>
              <w:tabs>
                <w:tab w:val="left" w:pos="426"/>
              </w:tabs>
              <w:spacing w:line="240" w:lineRule="auto"/>
              <w:ind w:left="303" w:hanging="303"/>
              <w:jc w:val="both"/>
              <w:rPr>
                <w:rFonts w:ascii="Calibri" w:hAnsi="Calibri" w:cs="Calibri"/>
                <w:sz w:val="20"/>
                <w:szCs w:val="20"/>
              </w:rPr>
            </w:pPr>
            <w:r w:rsidRPr="00A16F6A">
              <w:rPr>
                <w:rFonts w:ascii="Calibri" w:hAnsi="Calibri" w:cs="Calibri"/>
                <w:sz w:val="20"/>
                <w:szCs w:val="20"/>
              </w:rPr>
              <w:t xml:space="preserve">4 gab. – </w:t>
            </w:r>
            <w:r>
              <w:rPr>
                <w:rFonts w:ascii="Calibri" w:hAnsi="Calibri" w:cs="Calibri"/>
                <w:sz w:val="20"/>
                <w:szCs w:val="20"/>
              </w:rPr>
              <w:t>r</w:t>
            </w:r>
            <w:r w:rsidRPr="00A16F6A">
              <w:rPr>
                <w:rFonts w:ascii="Calibri" w:hAnsi="Calibri" w:cs="Calibri"/>
                <w:sz w:val="20"/>
                <w:szCs w:val="20"/>
              </w:rPr>
              <w:t xml:space="preserve">otora kausu ieliktņi, kas paredzēti konisko 50 </w:t>
            </w:r>
            <w:proofErr w:type="spellStart"/>
            <w:r w:rsidRPr="00A16F6A">
              <w:rPr>
                <w:rFonts w:ascii="Calibri" w:hAnsi="Calibri" w:cs="Calibri"/>
                <w:sz w:val="20"/>
                <w:szCs w:val="20"/>
              </w:rPr>
              <w:t>mL</w:t>
            </w:r>
            <w:proofErr w:type="spellEnd"/>
            <w:r w:rsidRPr="00A16F6A">
              <w:rPr>
                <w:rFonts w:ascii="Calibri" w:hAnsi="Calibri" w:cs="Calibri"/>
                <w:sz w:val="20"/>
                <w:szCs w:val="20"/>
              </w:rPr>
              <w:t xml:space="preserve"> plastmasas stobriņu ievietošanai. MPW kataloga nr. 14050 vai ekvivalents</w:t>
            </w:r>
          </w:p>
        </w:tc>
        <w:tc>
          <w:tcPr>
            <w:tcW w:w="390" w:type="pct"/>
            <w:vMerge w:val="restart"/>
          </w:tcPr>
          <w:p w14:paraId="78C36C82" w14:textId="145A89AE" w:rsidR="004D6318" w:rsidRPr="00A16F6A" w:rsidRDefault="004D6318" w:rsidP="0082641F">
            <w:pPr>
              <w:spacing w:before="240"/>
              <w:jc w:val="center"/>
              <w:rPr>
                <w:rFonts w:ascii="Calibri" w:hAnsi="Calibri" w:cs="Calibri"/>
                <w:lang w:val="lv-LV"/>
              </w:rPr>
            </w:pPr>
            <w:r w:rsidRPr="00A16F6A">
              <w:rPr>
                <w:rFonts w:ascii="Calibri" w:hAnsi="Calibri" w:cs="Calibri"/>
                <w:lang w:val="lv-LV"/>
              </w:rPr>
              <w:t>1</w:t>
            </w:r>
          </w:p>
        </w:tc>
        <w:tc>
          <w:tcPr>
            <w:tcW w:w="1724" w:type="pct"/>
          </w:tcPr>
          <w:p w14:paraId="7C26B7F3" w14:textId="77777777" w:rsidR="004D6318" w:rsidRPr="00A16F6A" w:rsidRDefault="004D6318" w:rsidP="0082641F">
            <w:pPr>
              <w:rPr>
                <w:rFonts w:ascii="Calibri" w:hAnsi="Calibri" w:cs="Calibri"/>
                <w:lang w:val="lv-LV"/>
              </w:rPr>
            </w:pPr>
          </w:p>
        </w:tc>
        <w:tc>
          <w:tcPr>
            <w:tcW w:w="472" w:type="pct"/>
            <w:vMerge w:val="restart"/>
          </w:tcPr>
          <w:p w14:paraId="35C0C0D3" w14:textId="77777777" w:rsidR="004D6318" w:rsidRPr="00A16F6A" w:rsidRDefault="004D6318" w:rsidP="0082641F">
            <w:pPr>
              <w:spacing w:before="240"/>
              <w:jc w:val="center"/>
              <w:rPr>
                <w:rFonts w:ascii="Calibri" w:hAnsi="Calibri" w:cs="Calibri"/>
                <w:lang w:val="lv-LV"/>
              </w:rPr>
            </w:pPr>
          </w:p>
        </w:tc>
      </w:tr>
      <w:tr w:rsidR="004D6318" w:rsidRPr="00A16F6A" w14:paraId="430D28C3" w14:textId="77777777" w:rsidTr="006D2890">
        <w:tblPrEx>
          <w:tblLook w:val="01E0" w:firstRow="1" w:lastRow="1" w:firstColumn="1" w:lastColumn="1" w:noHBand="0" w:noVBand="0"/>
        </w:tblPrEx>
        <w:tc>
          <w:tcPr>
            <w:tcW w:w="593" w:type="pct"/>
            <w:vMerge/>
          </w:tcPr>
          <w:p w14:paraId="3F05CA11" w14:textId="77777777" w:rsidR="004D6318" w:rsidRPr="00A16F6A" w:rsidRDefault="004D6318" w:rsidP="004D6318">
            <w:pPr>
              <w:rPr>
                <w:rFonts w:ascii="Calibri" w:hAnsi="Calibri" w:cs="Calibri"/>
                <w:lang w:val="lv-LV"/>
              </w:rPr>
            </w:pPr>
          </w:p>
        </w:tc>
        <w:tc>
          <w:tcPr>
            <w:tcW w:w="1821" w:type="pct"/>
          </w:tcPr>
          <w:p w14:paraId="5C25B4AF" w14:textId="5FC041AF" w:rsidR="004D6318" w:rsidRPr="00A16F6A" w:rsidRDefault="004D6318" w:rsidP="004D6318">
            <w:pPr>
              <w:ind w:left="19" w:hanging="19"/>
              <w:jc w:val="both"/>
              <w:rPr>
                <w:rFonts w:ascii="Calibri" w:hAnsi="Calibri" w:cs="Calibri"/>
                <w:lang w:val="lv-LV"/>
              </w:rPr>
            </w:pPr>
            <w:r w:rsidRPr="00930077">
              <w:rPr>
                <w:rFonts w:asciiTheme="minorHAnsi" w:hAnsiTheme="minorHAnsi" w:cstheme="minorHAnsi"/>
                <w:lang w:val="lv-LV"/>
              </w:rPr>
              <w:t xml:space="preserve">Iekārtas elektroenerģijas patēriņš </w:t>
            </w:r>
            <w:proofErr w:type="spellStart"/>
            <w:r w:rsidRPr="00930077">
              <w:rPr>
                <w:rFonts w:asciiTheme="minorHAnsi" w:hAnsiTheme="minorHAnsi" w:cstheme="minorHAnsi"/>
                <w:lang w:val="lv-LV"/>
              </w:rPr>
              <w:t>kW</w:t>
            </w:r>
            <w:proofErr w:type="spellEnd"/>
            <w:r w:rsidRPr="00930077">
              <w:rPr>
                <w:rFonts w:asciiTheme="minorHAnsi" w:hAnsiTheme="minorHAnsi" w:cstheme="minorHAnsi"/>
                <w:lang w:val="lv-LV"/>
              </w:rPr>
              <w:t xml:space="preserve"> stundā</w:t>
            </w:r>
          </w:p>
        </w:tc>
        <w:tc>
          <w:tcPr>
            <w:tcW w:w="390" w:type="pct"/>
            <w:vMerge/>
          </w:tcPr>
          <w:p w14:paraId="2D91747E" w14:textId="77777777" w:rsidR="004D6318" w:rsidRPr="00A16F6A" w:rsidRDefault="004D6318" w:rsidP="004D6318">
            <w:pPr>
              <w:spacing w:before="240"/>
              <w:jc w:val="center"/>
              <w:rPr>
                <w:rFonts w:ascii="Calibri" w:hAnsi="Calibri" w:cs="Calibri"/>
                <w:lang w:val="lv-LV"/>
              </w:rPr>
            </w:pPr>
          </w:p>
        </w:tc>
        <w:tc>
          <w:tcPr>
            <w:tcW w:w="1724" w:type="pct"/>
          </w:tcPr>
          <w:p w14:paraId="402ED439" w14:textId="77777777" w:rsidR="004D6318" w:rsidRPr="00A16F6A" w:rsidRDefault="004D6318" w:rsidP="004D6318">
            <w:pPr>
              <w:rPr>
                <w:rFonts w:ascii="Calibri" w:hAnsi="Calibri" w:cs="Calibri"/>
                <w:lang w:val="lv-LV"/>
              </w:rPr>
            </w:pPr>
          </w:p>
        </w:tc>
        <w:tc>
          <w:tcPr>
            <w:tcW w:w="472" w:type="pct"/>
            <w:vMerge/>
          </w:tcPr>
          <w:p w14:paraId="5F906F5D" w14:textId="77777777" w:rsidR="004D6318" w:rsidRPr="00A16F6A" w:rsidRDefault="004D6318" w:rsidP="004D6318">
            <w:pPr>
              <w:spacing w:before="240"/>
              <w:jc w:val="center"/>
              <w:rPr>
                <w:rFonts w:ascii="Calibri" w:hAnsi="Calibri" w:cs="Calibri"/>
                <w:lang w:val="lv-LV"/>
              </w:rPr>
            </w:pPr>
          </w:p>
        </w:tc>
      </w:tr>
      <w:tr w:rsidR="00E37687" w:rsidRPr="00A16F6A" w14:paraId="2D154074" w14:textId="547DFF99" w:rsidTr="006D2890">
        <w:tblPrEx>
          <w:tblLook w:val="01E0" w:firstRow="1" w:lastRow="1" w:firstColumn="1" w:lastColumn="1" w:noHBand="0" w:noVBand="0"/>
        </w:tblPrEx>
        <w:tc>
          <w:tcPr>
            <w:tcW w:w="593" w:type="pct"/>
            <w:vMerge w:val="restart"/>
          </w:tcPr>
          <w:p w14:paraId="6AAB6D4A" w14:textId="77777777" w:rsidR="00E37687" w:rsidRPr="00A16F6A" w:rsidRDefault="00E37687" w:rsidP="005E1BC9">
            <w:pPr>
              <w:rPr>
                <w:rFonts w:ascii="Calibri" w:hAnsi="Calibri" w:cs="Calibri"/>
                <w:lang w:val="lv-LV"/>
              </w:rPr>
            </w:pPr>
            <w:r w:rsidRPr="00A16F6A">
              <w:rPr>
                <w:rFonts w:ascii="Calibri" w:hAnsi="Calibri" w:cs="Calibri"/>
                <w:lang w:val="lv-LV"/>
              </w:rPr>
              <w:t>Citas prasības</w:t>
            </w:r>
          </w:p>
        </w:tc>
        <w:tc>
          <w:tcPr>
            <w:tcW w:w="1821" w:type="pct"/>
          </w:tcPr>
          <w:p w14:paraId="4D8CA5E5" w14:textId="72EF9663" w:rsidR="00E37687" w:rsidRPr="00A16F6A" w:rsidRDefault="008E4B1F" w:rsidP="005E1BC9">
            <w:pPr>
              <w:jc w:val="both"/>
              <w:rPr>
                <w:rFonts w:ascii="Calibri" w:hAnsi="Calibri" w:cs="Calibri"/>
                <w:lang w:val="lv-LV"/>
              </w:rPr>
            </w:pPr>
            <w:r w:rsidRPr="009D0644">
              <w:rPr>
                <w:rFonts w:asciiTheme="minorHAnsi" w:hAnsiTheme="minorHAnsi" w:cstheme="minorHAnsi"/>
                <w:lang w:val="lv-LV" w:eastAsia="en-US"/>
              </w:rPr>
              <w:t>Piegādes termiņš – 1 (viens) mēnesis</w:t>
            </w:r>
          </w:p>
        </w:tc>
        <w:tc>
          <w:tcPr>
            <w:tcW w:w="390" w:type="pct"/>
            <w:vMerge/>
          </w:tcPr>
          <w:p w14:paraId="27C51F41" w14:textId="77777777" w:rsidR="00E37687" w:rsidRPr="00A16F6A" w:rsidRDefault="00E37687" w:rsidP="005E1BC9">
            <w:pPr>
              <w:rPr>
                <w:rFonts w:ascii="Calibri" w:hAnsi="Calibri" w:cs="Calibri"/>
                <w:lang w:val="lv-LV"/>
              </w:rPr>
            </w:pPr>
          </w:p>
        </w:tc>
        <w:tc>
          <w:tcPr>
            <w:tcW w:w="1724" w:type="pct"/>
          </w:tcPr>
          <w:p w14:paraId="504CCB04" w14:textId="77777777" w:rsidR="00E37687" w:rsidRPr="00A16F6A" w:rsidRDefault="00E37687" w:rsidP="00F4255B">
            <w:pPr>
              <w:rPr>
                <w:rFonts w:ascii="Calibri" w:hAnsi="Calibri" w:cs="Calibri"/>
                <w:lang w:val="lv-LV"/>
              </w:rPr>
            </w:pPr>
          </w:p>
        </w:tc>
        <w:tc>
          <w:tcPr>
            <w:tcW w:w="472" w:type="pct"/>
            <w:vMerge/>
          </w:tcPr>
          <w:p w14:paraId="520F1AE8" w14:textId="77777777" w:rsidR="00E37687" w:rsidRPr="00A16F6A" w:rsidRDefault="00E37687" w:rsidP="005E1BC9">
            <w:pPr>
              <w:rPr>
                <w:rFonts w:ascii="Calibri" w:hAnsi="Calibri" w:cs="Calibri"/>
                <w:lang w:val="lv-LV"/>
              </w:rPr>
            </w:pPr>
          </w:p>
        </w:tc>
      </w:tr>
      <w:tr w:rsidR="00B80DDA" w:rsidRPr="00A16F6A" w14:paraId="446B8750" w14:textId="77777777" w:rsidTr="006D2890">
        <w:tblPrEx>
          <w:tblLook w:val="01E0" w:firstRow="1" w:lastRow="1" w:firstColumn="1" w:lastColumn="1" w:noHBand="0" w:noVBand="0"/>
        </w:tblPrEx>
        <w:trPr>
          <w:trHeight w:val="285"/>
        </w:trPr>
        <w:tc>
          <w:tcPr>
            <w:tcW w:w="593" w:type="pct"/>
            <w:vMerge/>
          </w:tcPr>
          <w:p w14:paraId="3D7164FE" w14:textId="77777777" w:rsidR="00B80DDA" w:rsidRPr="00A16F6A" w:rsidRDefault="00B80DDA" w:rsidP="005E1BC9">
            <w:pPr>
              <w:rPr>
                <w:rFonts w:ascii="Calibri" w:hAnsi="Calibri" w:cs="Calibri"/>
                <w:lang w:val="lv-LV"/>
              </w:rPr>
            </w:pPr>
          </w:p>
        </w:tc>
        <w:tc>
          <w:tcPr>
            <w:tcW w:w="1821" w:type="pct"/>
          </w:tcPr>
          <w:p w14:paraId="423C47A1" w14:textId="743E8F55" w:rsidR="00B80DDA" w:rsidRPr="00A16F6A" w:rsidRDefault="00B80DDA" w:rsidP="005E1BC9">
            <w:pPr>
              <w:jc w:val="both"/>
              <w:rPr>
                <w:rFonts w:ascii="Calibri" w:hAnsi="Calibri" w:cs="Calibri"/>
                <w:lang w:val="lv-LV"/>
              </w:rPr>
            </w:pPr>
            <w:r w:rsidRPr="00386B94">
              <w:rPr>
                <w:rFonts w:asciiTheme="minorHAnsi" w:hAnsiTheme="minorHAnsi" w:cs="Arial"/>
                <w:lang w:val="lv-LV"/>
              </w:rPr>
              <w:t>Garantijas termiņš vismaz 2 (divi) gadi</w:t>
            </w:r>
            <w:r>
              <w:rPr>
                <w:rFonts w:asciiTheme="minorHAnsi" w:hAnsiTheme="minorHAnsi" w:cs="Arial"/>
                <w:lang w:val="lv-LV"/>
              </w:rPr>
              <w:t xml:space="preserve"> </w:t>
            </w:r>
            <w:r w:rsidRPr="00564DD1">
              <w:rPr>
                <w:rFonts w:asciiTheme="minorHAnsi" w:hAnsiTheme="minorHAnsi" w:cs="Arial"/>
                <w:i/>
                <w:iCs/>
                <w:lang w:val="lv-LV"/>
              </w:rPr>
              <w:t>(pretendents var norādīt lielāku garantijas termiņu)</w:t>
            </w:r>
          </w:p>
        </w:tc>
        <w:tc>
          <w:tcPr>
            <w:tcW w:w="390" w:type="pct"/>
            <w:vMerge/>
          </w:tcPr>
          <w:p w14:paraId="1D94BFC9" w14:textId="77777777" w:rsidR="00B80DDA" w:rsidRPr="00A16F6A" w:rsidRDefault="00B80DDA" w:rsidP="005E1BC9">
            <w:pPr>
              <w:rPr>
                <w:rFonts w:ascii="Calibri" w:hAnsi="Calibri" w:cs="Calibri"/>
                <w:lang w:val="lv-LV"/>
              </w:rPr>
            </w:pPr>
          </w:p>
        </w:tc>
        <w:tc>
          <w:tcPr>
            <w:tcW w:w="1724" w:type="pct"/>
          </w:tcPr>
          <w:p w14:paraId="6E8E42C1" w14:textId="77777777" w:rsidR="00B80DDA" w:rsidRPr="00A16F6A" w:rsidRDefault="00B80DDA" w:rsidP="00F4255B">
            <w:pPr>
              <w:rPr>
                <w:rFonts w:ascii="Calibri" w:hAnsi="Calibri" w:cs="Calibri"/>
                <w:lang w:val="lv-LV"/>
              </w:rPr>
            </w:pPr>
          </w:p>
        </w:tc>
        <w:tc>
          <w:tcPr>
            <w:tcW w:w="472" w:type="pct"/>
            <w:vMerge/>
          </w:tcPr>
          <w:p w14:paraId="62A3E3EB" w14:textId="77777777" w:rsidR="00B80DDA" w:rsidRPr="00A16F6A" w:rsidRDefault="00B80DDA" w:rsidP="005E1BC9">
            <w:pPr>
              <w:rPr>
                <w:rFonts w:ascii="Calibri" w:hAnsi="Calibri" w:cs="Calibri"/>
                <w:lang w:val="lv-LV"/>
              </w:rPr>
            </w:pPr>
          </w:p>
        </w:tc>
      </w:tr>
      <w:tr w:rsidR="00877CE3" w:rsidRPr="00A16F6A" w14:paraId="2BA252B6" w14:textId="77777777" w:rsidTr="006D2890">
        <w:tblPrEx>
          <w:tblLook w:val="01E0" w:firstRow="1" w:lastRow="1" w:firstColumn="1" w:lastColumn="1" w:noHBand="0" w:noVBand="0"/>
        </w:tblPrEx>
        <w:trPr>
          <w:trHeight w:val="285"/>
        </w:trPr>
        <w:tc>
          <w:tcPr>
            <w:tcW w:w="593" w:type="pct"/>
            <w:vMerge/>
          </w:tcPr>
          <w:p w14:paraId="5859DADF" w14:textId="77777777" w:rsidR="00877CE3" w:rsidRPr="00A16F6A" w:rsidRDefault="00877CE3" w:rsidP="005E1BC9">
            <w:pPr>
              <w:rPr>
                <w:rFonts w:ascii="Calibri" w:hAnsi="Calibri" w:cs="Calibri"/>
                <w:lang w:val="lv-LV"/>
              </w:rPr>
            </w:pPr>
          </w:p>
        </w:tc>
        <w:tc>
          <w:tcPr>
            <w:tcW w:w="1821" w:type="pct"/>
          </w:tcPr>
          <w:p w14:paraId="0A2E8923" w14:textId="0D4BDA00" w:rsidR="00877CE3" w:rsidRPr="00386B94" w:rsidRDefault="00877CE3" w:rsidP="005E1BC9">
            <w:pPr>
              <w:jc w:val="both"/>
              <w:rPr>
                <w:rFonts w:asciiTheme="minorHAnsi" w:hAnsiTheme="minorHAnsi" w:cs="Arial"/>
                <w:lang w:val="lv-LV"/>
              </w:rPr>
            </w:pPr>
            <w:r w:rsidRPr="00BE247F">
              <w:rPr>
                <w:rFonts w:asciiTheme="minorHAnsi" w:hAnsiTheme="minorHAnsi" w:cstheme="minorHAnsi"/>
                <w:lang w:val="lv-LV"/>
              </w:rPr>
              <w:t>Instrukcija latviešu vai angļu valodā</w:t>
            </w:r>
          </w:p>
        </w:tc>
        <w:tc>
          <w:tcPr>
            <w:tcW w:w="390" w:type="pct"/>
            <w:vMerge/>
          </w:tcPr>
          <w:p w14:paraId="364FBB50" w14:textId="77777777" w:rsidR="00877CE3" w:rsidRPr="00A16F6A" w:rsidRDefault="00877CE3" w:rsidP="005E1BC9">
            <w:pPr>
              <w:rPr>
                <w:rFonts w:ascii="Calibri" w:hAnsi="Calibri" w:cs="Calibri"/>
                <w:lang w:val="lv-LV"/>
              </w:rPr>
            </w:pPr>
          </w:p>
        </w:tc>
        <w:tc>
          <w:tcPr>
            <w:tcW w:w="1724" w:type="pct"/>
          </w:tcPr>
          <w:p w14:paraId="2BD1BD5C" w14:textId="77777777" w:rsidR="00877CE3" w:rsidRPr="00A16F6A" w:rsidRDefault="00877CE3" w:rsidP="00F4255B">
            <w:pPr>
              <w:rPr>
                <w:rFonts w:ascii="Calibri" w:hAnsi="Calibri" w:cs="Calibri"/>
                <w:lang w:val="lv-LV"/>
              </w:rPr>
            </w:pPr>
          </w:p>
        </w:tc>
        <w:tc>
          <w:tcPr>
            <w:tcW w:w="472" w:type="pct"/>
            <w:vMerge/>
          </w:tcPr>
          <w:p w14:paraId="285A4F56" w14:textId="77777777" w:rsidR="00877CE3" w:rsidRPr="00A16F6A" w:rsidRDefault="00877CE3" w:rsidP="005E1BC9">
            <w:pPr>
              <w:rPr>
                <w:rFonts w:ascii="Calibri" w:hAnsi="Calibri" w:cs="Calibri"/>
                <w:lang w:val="lv-LV"/>
              </w:rPr>
            </w:pPr>
          </w:p>
        </w:tc>
      </w:tr>
      <w:tr w:rsidR="00E00E57" w:rsidRPr="00A16F6A" w14:paraId="4F0079F5" w14:textId="77777777" w:rsidTr="006D2890">
        <w:tblPrEx>
          <w:tblLook w:val="01E0" w:firstRow="1" w:lastRow="1" w:firstColumn="1" w:lastColumn="1" w:noHBand="0" w:noVBand="0"/>
        </w:tblPrEx>
        <w:trPr>
          <w:trHeight w:val="285"/>
        </w:trPr>
        <w:tc>
          <w:tcPr>
            <w:tcW w:w="593" w:type="pct"/>
            <w:vMerge/>
          </w:tcPr>
          <w:p w14:paraId="09C29DCF" w14:textId="77777777" w:rsidR="00E00E57" w:rsidRPr="00A16F6A" w:rsidRDefault="00E00E57" w:rsidP="005E1BC9">
            <w:pPr>
              <w:rPr>
                <w:rFonts w:ascii="Calibri" w:hAnsi="Calibri" w:cs="Calibri"/>
                <w:lang w:val="lv-LV"/>
              </w:rPr>
            </w:pPr>
          </w:p>
        </w:tc>
        <w:tc>
          <w:tcPr>
            <w:tcW w:w="1821" w:type="pct"/>
          </w:tcPr>
          <w:p w14:paraId="0A2CBDA2" w14:textId="0BD4B06E" w:rsidR="00E00E57" w:rsidRPr="00BE247F" w:rsidRDefault="00E00E57" w:rsidP="005E1BC9">
            <w:pPr>
              <w:jc w:val="both"/>
              <w:rPr>
                <w:rFonts w:asciiTheme="minorHAnsi" w:hAnsiTheme="minorHAnsi" w:cstheme="minorHAnsi"/>
                <w:lang w:val="lv-LV"/>
              </w:rPr>
            </w:pPr>
            <w:r w:rsidRPr="00E00E57">
              <w:rPr>
                <w:rFonts w:asciiTheme="minorHAnsi" w:hAnsiTheme="minorHAnsi" w:cstheme="minorHAnsi"/>
                <w:lang w:val="lv-LV"/>
              </w:rPr>
              <w:t>CE marķējums</w:t>
            </w:r>
          </w:p>
        </w:tc>
        <w:tc>
          <w:tcPr>
            <w:tcW w:w="390" w:type="pct"/>
            <w:vMerge/>
          </w:tcPr>
          <w:p w14:paraId="7173A280" w14:textId="77777777" w:rsidR="00E00E57" w:rsidRPr="00A16F6A" w:rsidRDefault="00E00E57" w:rsidP="005E1BC9">
            <w:pPr>
              <w:rPr>
                <w:rFonts w:ascii="Calibri" w:hAnsi="Calibri" w:cs="Calibri"/>
                <w:lang w:val="lv-LV"/>
              </w:rPr>
            </w:pPr>
          </w:p>
        </w:tc>
        <w:tc>
          <w:tcPr>
            <w:tcW w:w="1724" w:type="pct"/>
          </w:tcPr>
          <w:p w14:paraId="7C2E009B" w14:textId="77777777" w:rsidR="00E00E57" w:rsidRPr="00A16F6A" w:rsidRDefault="00E00E57" w:rsidP="00F4255B">
            <w:pPr>
              <w:rPr>
                <w:rFonts w:ascii="Calibri" w:hAnsi="Calibri" w:cs="Calibri"/>
                <w:lang w:val="lv-LV"/>
              </w:rPr>
            </w:pPr>
          </w:p>
        </w:tc>
        <w:tc>
          <w:tcPr>
            <w:tcW w:w="472" w:type="pct"/>
            <w:vMerge/>
          </w:tcPr>
          <w:p w14:paraId="0BDA411C" w14:textId="77777777" w:rsidR="00E00E57" w:rsidRPr="00A16F6A" w:rsidRDefault="00E00E57" w:rsidP="005E1BC9">
            <w:pPr>
              <w:rPr>
                <w:rFonts w:ascii="Calibri" w:hAnsi="Calibri" w:cs="Calibri"/>
                <w:lang w:val="lv-LV"/>
              </w:rPr>
            </w:pPr>
          </w:p>
        </w:tc>
      </w:tr>
      <w:tr w:rsidR="00E37687" w:rsidRPr="00A16F6A" w14:paraId="4CB3CC69" w14:textId="6488BAE3" w:rsidTr="006D2890">
        <w:tblPrEx>
          <w:tblLook w:val="01E0" w:firstRow="1" w:lastRow="1" w:firstColumn="1" w:lastColumn="1" w:noHBand="0" w:noVBand="0"/>
        </w:tblPrEx>
        <w:trPr>
          <w:trHeight w:val="285"/>
        </w:trPr>
        <w:tc>
          <w:tcPr>
            <w:tcW w:w="593" w:type="pct"/>
            <w:vMerge/>
          </w:tcPr>
          <w:p w14:paraId="2A6658F7" w14:textId="4801A144" w:rsidR="00E37687" w:rsidRPr="00A16F6A" w:rsidRDefault="00E37687" w:rsidP="005E1BC9">
            <w:pPr>
              <w:rPr>
                <w:rFonts w:ascii="Calibri" w:hAnsi="Calibri" w:cs="Calibri"/>
                <w:lang w:val="lv-LV"/>
              </w:rPr>
            </w:pPr>
          </w:p>
        </w:tc>
        <w:tc>
          <w:tcPr>
            <w:tcW w:w="1821" w:type="pct"/>
          </w:tcPr>
          <w:p w14:paraId="336FB3EE" w14:textId="4A603670" w:rsidR="00E37687" w:rsidRPr="00A16F6A" w:rsidRDefault="00E37687" w:rsidP="005E1BC9">
            <w:pPr>
              <w:jc w:val="both"/>
              <w:rPr>
                <w:rFonts w:ascii="Calibri" w:hAnsi="Calibri" w:cs="Calibri"/>
                <w:lang w:val="lv-LV"/>
              </w:rPr>
            </w:pPr>
            <w:r w:rsidRPr="00A16F6A">
              <w:rPr>
                <w:rFonts w:ascii="Calibri" w:hAnsi="Calibri" w:cs="Calibri"/>
                <w:lang w:val="lv-LV"/>
              </w:rPr>
              <w:t>Piegādes adrese: Rīga, Lejupes iela 3</w:t>
            </w:r>
          </w:p>
        </w:tc>
        <w:tc>
          <w:tcPr>
            <w:tcW w:w="390" w:type="pct"/>
            <w:vMerge/>
          </w:tcPr>
          <w:p w14:paraId="5F566DC7" w14:textId="77777777" w:rsidR="00E37687" w:rsidRPr="00A16F6A" w:rsidRDefault="00E37687" w:rsidP="005E1BC9">
            <w:pPr>
              <w:rPr>
                <w:rFonts w:ascii="Calibri" w:hAnsi="Calibri" w:cs="Calibri"/>
                <w:lang w:val="lv-LV"/>
              </w:rPr>
            </w:pPr>
          </w:p>
        </w:tc>
        <w:tc>
          <w:tcPr>
            <w:tcW w:w="1724" w:type="pct"/>
          </w:tcPr>
          <w:p w14:paraId="11BE4D9A" w14:textId="77777777" w:rsidR="00E37687" w:rsidRPr="00A16F6A" w:rsidRDefault="00E37687" w:rsidP="00F4255B">
            <w:pPr>
              <w:rPr>
                <w:rFonts w:ascii="Calibri" w:hAnsi="Calibri" w:cs="Calibri"/>
                <w:lang w:val="lv-LV"/>
              </w:rPr>
            </w:pPr>
          </w:p>
        </w:tc>
        <w:tc>
          <w:tcPr>
            <w:tcW w:w="472" w:type="pct"/>
            <w:vMerge/>
          </w:tcPr>
          <w:p w14:paraId="093DCBA6" w14:textId="77777777" w:rsidR="00E37687" w:rsidRPr="00A16F6A" w:rsidRDefault="00E37687" w:rsidP="005E1BC9">
            <w:pPr>
              <w:rPr>
                <w:rFonts w:ascii="Calibri" w:hAnsi="Calibri" w:cs="Calibri"/>
                <w:lang w:val="lv-LV"/>
              </w:rPr>
            </w:pPr>
          </w:p>
        </w:tc>
      </w:tr>
    </w:tbl>
    <w:p w14:paraId="152A168D" w14:textId="05F402DE" w:rsidR="00F2643C" w:rsidRPr="00B74612" w:rsidRDefault="00B74612" w:rsidP="00194524">
      <w:pPr>
        <w:widowControl/>
        <w:overflowPunct/>
        <w:autoSpaceDE/>
        <w:autoSpaceDN/>
        <w:adjustRightInd/>
        <w:rPr>
          <w:rFonts w:ascii="Calibri" w:hAnsi="Calibri" w:cs="Calibri"/>
          <w:sz w:val="22"/>
          <w:szCs w:val="22"/>
          <w:lang w:val="lv-LV"/>
        </w:rPr>
      </w:pPr>
      <w:bookmarkStart w:id="2" w:name="_Hlk75838324"/>
      <w:r w:rsidRPr="00310DF2">
        <w:rPr>
          <w:rFonts w:ascii="Calibri" w:hAnsi="Calibri" w:cs="Calibri"/>
          <w:sz w:val="22"/>
          <w:szCs w:val="22"/>
          <w:lang w:val="lv-LV"/>
        </w:rPr>
        <w:t>*Norādītā cena ietver visas izmaksas, kas saistītas ar tehniskajai specifikācijai atbilstošas iekārtas piegādi, t.sk. uzstādīšanu, garantijas servisa nodrošināšanu, nodokļu, nodevu, transportēšanas u.c. izmaksas, kas nepieciešamas pakalpojuma pilnīgai un kvalitatīvai sniegšanai saskaņā ar iepirkuma nolikumu un tā pielikumiem.</w:t>
      </w:r>
      <w:bookmarkEnd w:id="2"/>
    </w:p>
    <w:sectPr w:rsidR="00F2643C" w:rsidRPr="00B74612" w:rsidSect="00784750">
      <w:pgSz w:w="16838" w:h="11906" w:orient="landscape"/>
      <w:pgMar w:top="1134"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6A9"/>
    <w:multiLevelType w:val="hybridMultilevel"/>
    <w:tmpl w:val="2788ED84"/>
    <w:lvl w:ilvl="0" w:tplc="EB1E8A9C">
      <w:start w:val="2"/>
      <w:numFmt w:val="bullet"/>
      <w:lvlText w:val="-"/>
      <w:lvlJc w:val="left"/>
      <w:pPr>
        <w:ind w:left="720" w:hanging="360"/>
      </w:pPr>
      <w:rPr>
        <w:rFonts w:ascii="Times New Roman" w:eastAsia="WenQuanYi Micro He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4651F93"/>
    <w:multiLevelType w:val="hybridMultilevel"/>
    <w:tmpl w:val="4D180DBA"/>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1A73C9"/>
    <w:multiLevelType w:val="hybridMultilevel"/>
    <w:tmpl w:val="BA749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41ABF"/>
    <w:multiLevelType w:val="hybridMultilevel"/>
    <w:tmpl w:val="D93447B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8D4EBB"/>
    <w:multiLevelType w:val="hybridMultilevel"/>
    <w:tmpl w:val="5FFE0B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85619F"/>
    <w:multiLevelType w:val="hybridMultilevel"/>
    <w:tmpl w:val="5AE09DBA"/>
    <w:lvl w:ilvl="0" w:tplc="0FBE5E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192E59"/>
    <w:multiLevelType w:val="hybridMultilevel"/>
    <w:tmpl w:val="EF7C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5D28FD"/>
    <w:multiLevelType w:val="hybridMultilevel"/>
    <w:tmpl w:val="62A82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239905">
    <w:abstractNumId w:val="3"/>
  </w:num>
  <w:num w:numId="2" w16cid:durableId="1335036946">
    <w:abstractNumId w:val="2"/>
  </w:num>
  <w:num w:numId="3" w16cid:durableId="456333918">
    <w:abstractNumId w:val="8"/>
  </w:num>
  <w:num w:numId="4" w16cid:durableId="2087416458">
    <w:abstractNumId w:val="6"/>
  </w:num>
  <w:num w:numId="5" w16cid:durableId="924152170">
    <w:abstractNumId w:val="12"/>
  </w:num>
  <w:num w:numId="6" w16cid:durableId="1788237463">
    <w:abstractNumId w:val="4"/>
  </w:num>
  <w:num w:numId="7" w16cid:durableId="1239096732">
    <w:abstractNumId w:val="0"/>
  </w:num>
  <w:num w:numId="8" w16cid:durableId="257373552">
    <w:abstractNumId w:val="5"/>
  </w:num>
  <w:num w:numId="9" w16cid:durableId="1439834168">
    <w:abstractNumId w:val="10"/>
  </w:num>
  <w:num w:numId="10" w16cid:durableId="1365323707">
    <w:abstractNumId w:val="7"/>
  </w:num>
  <w:num w:numId="11" w16cid:durableId="842356267">
    <w:abstractNumId w:val="9"/>
  </w:num>
  <w:num w:numId="12" w16cid:durableId="1224676986">
    <w:abstractNumId w:val="11"/>
  </w:num>
  <w:num w:numId="13" w16cid:durableId="2261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22029"/>
    <w:rsid w:val="00067D7E"/>
    <w:rsid w:val="00091159"/>
    <w:rsid w:val="000F17BB"/>
    <w:rsid w:val="000F2230"/>
    <w:rsid w:val="00194524"/>
    <w:rsid w:val="001A2486"/>
    <w:rsid w:val="001C32D1"/>
    <w:rsid w:val="001F06B1"/>
    <w:rsid w:val="001F728A"/>
    <w:rsid w:val="00213C1B"/>
    <w:rsid w:val="00222671"/>
    <w:rsid w:val="002434C0"/>
    <w:rsid w:val="00250C4F"/>
    <w:rsid w:val="002924D7"/>
    <w:rsid w:val="002939FE"/>
    <w:rsid w:val="00310DF2"/>
    <w:rsid w:val="00313EE9"/>
    <w:rsid w:val="0035747D"/>
    <w:rsid w:val="003926E2"/>
    <w:rsid w:val="003E737A"/>
    <w:rsid w:val="00484A13"/>
    <w:rsid w:val="004D6318"/>
    <w:rsid w:val="004E1D9E"/>
    <w:rsid w:val="00563445"/>
    <w:rsid w:val="005637B9"/>
    <w:rsid w:val="005B15ED"/>
    <w:rsid w:val="005C1C72"/>
    <w:rsid w:val="005E1BC9"/>
    <w:rsid w:val="005E7543"/>
    <w:rsid w:val="006258D0"/>
    <w:rsid w:val="0065567F"/>
    <w:rsid w:val="00656CA9"/>
    <w:rsid w:val="0069535D"/>
    <w:rsid w:val="006A03AA"/>
    <w:rsid w:val="006C705F"/>
    <w:rsid w:val="006D2890"/>
    <w:rsid w:val="006E078C"/>
    <w:rsid w:val="006F3F3F"/>
    <w:rsid w:val="006F7992"/>
    <w:rsid w:val="007223DE"/>
    <w:rsid w:val="00730DA5"/>
    <w:rsid w:val="0073769B"/>
    <w:rsid w:val="007478D1"/>
    <w:rsid w:val="00784750"/>
    <w:rsid w:val="007C5ADA"/>
    <w:rsid w:val="007C5B14"/>
    <w:rsid w:val="007E15AD"/>
    <w:rsid w:val="0082641F"/>
    <w:rsid w:val="00826624"/>
    <w:rsid w:val="008708EB"/>
    <w:rsid w:val="00877CE3"/>
    <w:rsid w:val="008C18DF"/>
    <w:rsid w:val="008C1ACD"/>
    <w:rsid w:val="008C25F5"/>
    <w:rsid w:val="008D0161"/>
    <w:rsid w:val="008E4B1F"/>
    <w:rsid w:val="00906FDB"/>
    <w:rsid w:val="00920E12"/>
    <w:rsid w:val="0094480D"/>
    <w:rsid w:val="009538C5"/>
    <w:rsid w:val="00965804"/>
    <w:rsid w:val="009664DC"/>
    <w:rsid w:val="00983668"/>
    <w:rsid w:val="009C50F5"/>
    <w:rsid w:val="009E2085"/>
    <w:rsid w:val="009E76EE"/>
    <w:rsid w:val="00A1605A"/>
    <w:rsid w:val="00A16F6A"/>
    <w:rsid w:val="00A80D20"/>
    <w:rsid w:val="00AD4913"/>
    <w:rsid w:val="00AF4F8A"/>
    <w:rsid w:val="00B52BE2"/>
    <w:rsid w:val="00B543BA"/>
    <w:rsid w:val="00B7120A"/>
    <w:rsid w:val="00B74612"/>
    <w:rsid w:val="00B750CA"/>
    <w:rsid w:val="00B77891"/>
    <w:rsid w:val="00B80DDA"/>
    <w:rsid w:val="00BC4839"/>
    <w:rsid w:val="00BD1C24"/>
    <w:rsid w:val="00C24369"/>
    <w:rsid w:val="00C312B5"/>
    <w:rsid w:val="00C34204"/>
    <w:rsid w:val="00C53569"/>
    <w:rsid w:val="00C63AA1"/>
    <w:rsid w:val="00CE7B03"/>
    <w:rsid w:val="00CF6E11"/>
    <w:rsid w:val="00D13EF9"/>
    <w:rsid w:val="00D41D80"/>
    <w:rsid w:val="00D633BE"/>
    <w:rsid w:val="00D82B97"/>
    <w:rsid w:val="00DC1D81"/>
    <w:rsid w:val="00DE2122"/>
    <w:rsid w:val="00E00E57"/>
    <w:rsid w:val="00E10B65"/>
    <w:rsid w:val="00E32B27"/>
    <w:rsid w:val="00E37687"/>
    <w:rsid w:val="00E406C6"/>
    <w:rsid w:val="00EC2B97"/>
    <w:rsid w:val="00EC2C2D"/>
    <w:rsid w:val="00EF7417"/>
    <w:rsid w:val="00F0615E"/>
    <w:rsid w:val="00F14E76"/>
    <w:rsid w:val="00F2643C"/>
    <w:rsid w:val="00F36183"/>
    <w:rsid w:val="00F4255B"/>
    <w:rsid w:val="00F80165"/>
    <w:rsid w:val="00FD1898"/>
    <w:rsid w:val="00FD3C0E"/>
    <w:rsid w:val="00FD74D3"/>
    <w:rsid w:val="00FE1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90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39217">
      <w:bodyDiv w:val="1"/>
      <w:marLeft w:val="0"/>
      <w:marRight w:val="0"/>
      <w:marTop w:val="0"/>
      <w:marBottom w:val="0"/>
      <w:divBdr>
        <w:top w:val="none" w:sz="0" w:space="0" w:color="auto"/>
        <w:left w:val="none" w:sz="0" w:space="0" w:color="auto"/>
        <w:bottom w:val="none" w:sz="0" w:space="0" w:color="auto"/>
        <w:right w:val="none" w:sz="0" w:space="0" w:color="auto"/>
      </w:divBdr>
    </w:div>
    <w:div w:id="277950103">
      <w:bodyDiv w:val="1"/>
      <w:marLeft w:val="0"/>
      <w:marRight w:val="0"/>
      <w:marTop w:val="0"/>
      <w:marBottom w:val="0"/>
      <w:divBdr>
        <w:top w:val="none" w:sz="0" w:space="0" w:color="auto"/>
        <w:left w:val="none" w:sz="0" w:space="0" w:color="auto"/>
        <w:bottom w:val="none" w:sz="0" w:space="0" w:color="auto"/>
        <w:right w:val="none" w:sz="0" w:space="0" w:color="auto"/>
      </w:divBdr>
    </w:div>
    <w:div w:id="310476670">
      <w:bodyDiv w:val="1"/>
      <w:marLeft w:val="0"/>
      <w:marRight w:val="0"/>
      <w:marTop w:val="0"/>
      <w:marBottom w:val="0"/>
      <w:divBdr>
        <w:top w:val="none" w:sz="0" w:space="0" w:color="auto"/>
        <w:left w:val="none" w:sz="0" w:space="0" w:color="auto"/>
        <w:bottom w:val="none" w:sz="0" w:space="0" w:color="auto"/>
        <w:right w:val="none" w:sz="0" w:space="0" w:color="auto"/>
      </w:divBdr>
    </w:div>
    <w:div w:id="356657665">
      <w:bodyDiv w:val="1"/>
      <w:marLeft w:val="0"/>
      <w:marRight w:val="0"/>
      <w:marTop w:val="0"/>
      <w:marBottom w:val="0"/>
      <w:divBdr>
        <w:top w:val="none" w:sz="0" w:space="0" w:color="auto"/>
        <w:left w:val="none" w:sz="0" w:space="0" w:color="auto"/>
        <w:bottom w:val="none" w:sz="0" w:space="0" w:color="auto"/>
        <w:right w:val="none" w:sz="0" w:space="0" w:color="auto"/>
      </w:divBdr>
    </w:div>
    <w:div w:id="403332568">
      <w:bodyDiv w:val="1"/>
      <w:marLeft w:val="0"/>
      <w:marRight w:val="0"/>
      <w:marTop w:val="0"/>
      <w:marBottom w:val="0"/>
      <w:divBdr>
        <w:top w:val="none" w:sz="0" w:space="0" w:color="auto"/>
        <w:left w:val="none" w:sz="0" w:space="0" w:color="auto"/>
        <w:bottom w:val="none" w:sz="0" w:space="0" w:color="auto"/>
        <w:right w:val="none" w:sz="0" w:space="0" w:color="auto"/>
      </w:divBdr>
    </w:div>
    <w:div w:id="456341217">
      <w:bodyDiv w:val="1"/>
      <w:marLeft w:val="0"/>
      <w:marRight w:val="0"/>
      <w:marTop w:val="0"/>
      <w:marBottom w:val="0"/>
      <w:divBdr>
        <w:top w:val="none" w:sz="0" w:space="0" w:color="auto"/>
        <w:left w:val="none" w:sz="0" w:space="0" w:color="auto"/>
        <w:bottom w:val="none" w:sz="0" w:space="0" w:color="auto"/>
        <w:right w:val="none" w:sz="0" w:space="0" w:color="auto"/>
      </w:divBdr>
    </w:div>
    <w:div w:id="694383157">
      <w:bodyDiv w:val="1"/>
      <w:marLeft w:val="0"/>
      <w:marRight w:val="0"/>
      <w:marTop w:val="0"/>
      <w:marBottom w:val="0"/>
      <w:divBdr>
        <w:top w:val="none" w:sz="0" w:space="0" w:color="auto"/>
        <w:left w:val="none" w:sz="0" w:space="0" w:color="auto"/>
        <w:bottom w:val="none" w:sz="0" w:space="0" w:color="auto"/>
        <w:right w:val="none" w:sz="0" w:space="0" w:color="auto"/>
      </w:divBdr>
    </w:div>
    <w:div w:id="1295521924">
      <w:bodyDiv w:val="1"/>
      <w:marLeft w:val="0"/>
      <w:marRight w:val="0"/>
      <w:marTop w:val="0"/>
      <w:marBottom w:val="0"/>
      <w:divBdr>
        <w:top w:val="none" w:sz="0" w:space="0" w:color="auto"/>
        <w:left w:val="none" w:sz="0" w:space="0" w:color="auto"/>
        <w:bottom w:val="none" w:sz="0" w:space="0" w:color="auto"/>
        <w:right w:val="none" w:sz="0" w:space="0" w:color="auto"/>
      </w:divBdr>
    </w:div>
    <w:div w:id="18415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1265</Words>
  <Characters>722</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Avsejenko</dc:creator>
  <cp:keywords/>
  <dc:description/>
  <cp:lastModifiedBy>Kristīne Rūmniece-Pakule</cp:lastModifiedBy>
  <cp:revision>30</cp:revision>
  <cp:lastPrinted>2025-11-13T11:19:00Z</cp:lastPrinted>
  <dcterms:created xsi:type="dcterms:W3CDTF">2025-07-02T10:49:00Z</dcterms:created>
  <dcterms:modified xsi:type="dcterms:W3CDTF">2025-11-19T11:24:00Z</dcterms:modified>
</cp:coreProperties>
</file>