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F67" w14:textId="77777777" w:rsidR="00731376" w:rsidRDefault="00731376" w:rsidP="00731376">
      <w:pPr>
        <w:pStyle w:val="ListParagraph"/>
        <w:ind w:left="426"/>
        <w:jc w:val="right"/>
        <w:rPr>
          <w:bCs/>
          <w:sz w:val="20"/>
          <w:szCs w:val="20"/>
        </w:rPr>
      </w:pPr>
      <w:bookmarkStart w:id="0" w:name="OLE_LINK1"/>
      <w:bookmarkStart w:id="1" w:name="_Hlk155709169"/>
      <w:r>
        <w:rPr>
          <w:bCs/>
          <w:sz w:val="20"/>
          <w:szCs w:val="20"/>
        </w:rPr>
        <w:t>Pārtikas drošības, dzīvnieku veselības un vides zinātniskā institūta “BIOR”</w:t>
      </w:r>
    </w:p>
    <w:p w14:paraId="48C225FF" w14:textId="77777777" w:rsidR="00731376" w:rsidRDefault="00731376" w:rsidP="00731376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atklāta konkursa </w:t>
      </w:r>
      <w:bookmarkEnd w:id="0"/>
      <w:r>
        <w:rPr>
          <w:bCs/>
          <w:sz w:val="20"/>
          <w:szCs w:val="20"/>
        </w:rPr>
        <w:t xml:space="preserve">“Laboratorijas iekārtu piegāde’’ </w:t>
      </w:r>
    </w:p>
    <w:p w14:paraId="5B3890D6" w14:textId="77777777" w:rsidR="00731376" w:rsidRDefault="00731376" w:rsidP="00731376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(ID. Nr. BIOR 2025/48/AK) nolikuma</w:t>
      </w:r>
    </w:p>
    <w:bookmarkEnd w:id="1"/>
    <w:p w14:paraId="24193C7B" w14:textId="77777777" w:rsidR="00731376" w:rsidRDefault="00731376" w:rsidP="00731376">
      <w:pPr>
        <w:pStyle w:val="ListParagraph"/>
        <w:ind w:left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pielikums</w:t>
      </w:r>
    </w:p>
    <w:p w14:paraId="7732133F" w14:textId="77777777" w:rsidR="00731376" w:rsidRDefault="00731376" w:rsidP="00731376">
      <w:pPr>
        <w:pStyle w:val="ListParagraph"/>
        <w:ind w:left="426"/>
        <w:jc w:val="right"/>
        <w:rPr>
          <w:bCs/>
          <w:sz w:val="20"/>
          <w:szCs w:val="20"/>
        </w:rPr>
      </w:pPr>
    </w:p>
    <w:p w14:paraId="57194C8D" w14:textId="77777777" w:rsidR="00731376" w:rsidRDefault="00731376" w:rsidP="00731376">
      <w:pPr>
        <w:pStyle w:val="ListParagraph"/>
        <w:spacing w:after="0" w:line="240" w:lineRule="auto"/>
        <w:ind w:left="42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Tehniskās specifikācijas sagatavošanas datums: </w:t>
      </w:r>
      <w:r>
        <w:rPr>
          <w:sz w:val="20"/>
          <w:szCs w:val="20"/>
        </w:rPr>
        <w:t>10.11.2025.</w:t>
      </w:r>
    </w:p>
    <w:p w14:paraId="009A9006" w14:textId="77777777" w:rsidR="00731376" w:rsidRDefault="00731376" w:rsidP="00731376">
      <w:pPr>
        <w:widowControl/>
        <w:overflowPunct/>
        <w:autoSpaceDE/>
        <w:adjustRightInd/>
        <w:spacing w:before="120" w:after="120"/>
        <w:jc w:val="center"/>
        <w:rPr>
          <w:rFonts w:asciiTheme="minorHAnsi" w:hAnsiTheme="minorHAnsi" w:cstheme="minorHAnsi"/>
          <w:b/>
          <w:bCs/>
          <w:caps/>
          <w:kern w:val="0"/>
          <w:sz w:val="22"/>
          <w:szCs w:val="22"/>
          <w:lang w:val="lv-LV" w:eastAsia="en-US"/>
        </w:rPr>
      </w:pPr>
    </w:p>
    <w:p w14:paraId="2D8C859E" w14:textId="77777777" w:rsidR="0047298B" w:rsidRPr="00A75EDD" w:rsidRDefault="0047298B" w:rsidP="0047298B">
      <w:pPr>
        <w:jc w:val="center"/>
        <w:rPr>
          <w:rFonts w:ascii="Calibri" w:hAnsi="Calibri" w:cs="Calibri"/>
          <w:b/>
          <w:bCs/>
          <w:caps/>
          <w:kern w:val="0"/>
          <w:sz w:val="22"/>
          <w:szCs w:val="22"/>
          <w:lang w:val="pl-PL" w:eastAsia="en-US"/>
        </w:rPr>
      </w:pPr>
      <w:r w:rsidRPr="00A75EDD">
        <w:rPr>
          <w:rFonts w:ascii="Calibri" w:hAnsi="Calibri" w:cs="Calibri"/>
          <w:b/>
          <w:bCs/>
          <w:caps/>
          <w:kern w:val="0"/>
          <w:sz w:val="22"/>
          <w:szCs w:val="22"/>
          <w:lang w:val="pl-PL" w:eastAsia="en-US"/>
        </w:rPr>
        <w:t>tehniskā specifikācija / tehniskais un finanšu piedāvājums</w:t>
      </w:r>
    </w:p>
    <w:p w14:paraId="381ED4E0" w14:textId="6C7107ED" w:rsidR="00A75EDD" w:rsidRPr="00A75EDD" w:rsidRDefault="00CD3E1D" w:rsidP="00A75EDD">
      <w:pPr>
        <w:spacing w:before="120"/>
        <w:jc w:val="center"/>
        <w:rPr>
          <w:rFonts w:ascii="Calibri" w:hAnsi="Calibri" w:cs="Calibri"/>
          <w:b/>
          <w:sz w:val="22"/>
          <w:szCs w:val="22"/>
          <w:lang w:val="lv-LV"/>
        </w:rPr>
      </w:pPr>
      <w:r w:rsidRPr="00A75EDD">
        <w:rPr>
          <w:rFonts w:asciiTheme="minorHAnsi" w:hAnsiTheme="minorHAnsi"/>
          <w:b/>
          <w:bCs/>
          <w:caps/>
          <w:sz w:val="22"/>
          <w:szCs w:val="22"/>
          <w:lang w:val="lv-LV"/>
        </w:rPr>
        <w:t>9. daļa</w:t>
      </w:r>
      <w:r w:rsidR="00A75EDD" w:rsidRPr="00A75EDD">
        <w:rPr>
          <w:rFonts w:asciiTheme="minorHAnsi" w:hAnsiTheme="minorHAnsi"/>
          <w:b/>
          <w:bCs/>
          <w:caps/>
          <w:sz w:val="22"/>
          <w:szCs w:val="22"/>
          <w:lang w:val="lv-LV"/>
        </w:rPr>
        <w:t xml:space="preserve"> “</w:t>
      </w:r>
      <w:r w:rsidR="004131F2" w:rsidRPr="00A75EDD">
        <w:rPr>
          <w:rFonts w:ascii="Calibri" w:hAnsi="Calibri" w:cs="Calibri"/>
          <w:b/>
          <w:sz w:val="22"/>
          <w:szCs w:val="22"/>
          <w:lang w:val="lv-LV"/>
        </w:rPr>
        <w:t>PETRI PLA</w:t>
      </w:r>
      <w:r w:rsidR="008D49E6">
        <w:rPr>
          <w:rFonts w:ascii="Calibri" w:hAnsi="Calibri" w:cs="Calibri"/>
          <w:b/>
          <w:sz w:val="22"/>
          <w:szCs w:val="22"/>
          <w:lang w:val="lv-LV"/>
        </w:rPr>
        <w:t>ŠU</w:t>
      </w:r>
      <w:r w:rsidR="004131F2" w:rsidRPr="00A75EDD">
        <w:rPr>
          <w:rFonts w:ascii="Calibri" w:hAnsi="Calibri" w:cs="Calibri"/>
          <w:b/>
          <w:sz w:val="22"/>
          <w:szCs w:val="22"/>
          <w:lang w:val="lv-LV"/>
        </w:rPr>
        <w:t xml:space="preserve"> IEPAKOŠANAS IEKĀRTA</w:t>
      </w:r>
      <w:r w:rsidR="00A75EDD" w:rsidRPr="00A75EDD">
        <w:rPr>
          <w:rFonts w:ascii="Calibri" w:hAnsi="Calibri" w:cs="Calibri"/>
          <w:b/>
          <w:sz w:val="22"/>
          <w:szCs w:val="22"/>
          <w:lang w:val="lv-LV"/>
        </w:rPr>
        <w:t>”</w:t>
      </w:r>
    </w:p>
    <w:tbl>
      <w:tblPr>
        <w:tblW w:w="511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7"/>
        <w:gridCol w:w="5317"/>
        <w:gridCol w:w="1545"/>
        <w:gridCol w:w="5382"/>
        <w:gridCol w:w="1274"/>
      </w:tblGrid>
      <w:tr w:rsidR="00C55B9D" w:rsidRPr="00F649FE" w14:paraId="56AEBE01" w14:textId="40BB9A10" w:rsidTr="001E1745">
        <w:trPr>
          <w:trHeight w:val="715"/>
          <w:tblHeader/>
        </w:trPr>
        <w:tc>
          <w:tcPr>
            <w:tcW w:w="2245" w:type="pct"/>
            <w:gridSpan w:val="2"/>
            <w:vAlign w:val="center"/>
          </w:tcPr>
          <w:p w14:paraId="2785741F" w14:textId="6855FC61" w:rsidR="00C55B9D" w:rsidRPr="00C55B9D" w:rsidRDefault="00C55B9D" w:rsidP="004131F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bookmarkStart w:id="2" w:name="_Hlk18330433"/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Tehniskā specifikācija</w:t>
            </w:r>
          </w:p>
        </w:tc>
        <w:tc>
          <w:tcPr>
            <w:tcW w:w="519" w:type="pct"/>
            <w:vAlign w:val="center"/>
          </w:tcPr>
          <w:p w14:paraId="45C4A08E" w14:textId="74204BF0" w:rsidR="00C55B9D" w:rsidRPr="00C55B9D" w:rsidRDefault="00C55B9D" w:rsidP="004131F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Daudzums</w:t>
            </w:r>
          </w:p>
        </w:tc>
        <w:tc>
          <w:tcPr>
            <w:tcW w:w="1808" w:type="pct"/>
            <w:vAlign w:val="center"/>
          </w:tcPr>
          <w:p w14:paraId="37442EF0" w14:textId="77777777" w:rsidR="00C55B9D" w:rsidRPr="00C55B9D" w:rsidRDefault="00C55B9D" w:rsidP="004131F2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Tehniskais piedāvājums</w:t>
            </w:r>
          </w:p>
          <w:p w14:paraId="23503284" w14:textId="0D4940DB" w:rsidR="00C55B9D" w:rsidRPr="00F649FE" w:rsidRDefault="00C55B9D" w:rsidP="004131F2">
            <w:pPr>
              <w:jc w:val="center"/>
              <w:rPr>
                <w:rFonts w:ascii="Calibri" w:hAnsi="Calibri" w:cs="Calibri"/>
                <w:b/>
                <w:lang w:val="lv-LV"/>
              </w:rPr>
            </w:pPr>
            <w:r w:rsidRPr="00F649FE">
              <w:rPr>
                <w:rFonts w:ascii="Calibri" w:hAnsi="Calibri" w:cs="Calibri"/>
                <w:bCs/>
                <w:lang w:val="lv-LV"/>
              </w:rPr>
              <w:t>Pretendenta piedāvātās iekārtas apraksts, ražotājs, marka, citi parametri atbilstoši tehniskajai specifikācijai. Atsauce uz iekārtas raksturojošās dokumentācijas lpp. vai linku</w:t>
            </w:r>
            <w:r w:rsidR="00C70D41">
              <w:rPr>
                <w:rFonts w:ascii="Calibri" w:hAnsi="Calibri" w:cs="Calibri"/>
                <w:bCs/>
                <w:lang w:val="lv-LV"/>
              </w:rPr>
              <w:t>/saiti</w:t>
            </w:r>
            <w:r w:rsidRPr="00F649FE">
              <w:rPr>
                <w:rFonts w:ascii="Calibri" w:hAnsi="Calibri" w:cs="Calibri"/>
                <w:bCs/>
                <w:lang w:val="lv-LV"/>
              </w:rPr>
              <w:t xml:space="preserve">, </w:t>
            </w:r>
            <w:r w:rsidRPr="00F649FE">
              <w:rPr>
                <w:rFonts w:ascii="Calibri" w:eastAsiaTheme="minorHAnsi" w:hAnsi="Calibri" w:cs="Calibri"/>
                <w:bCs/>
                <w:lang w:val="lv-LV" w:eastAsia="en-US"/>
              </w:rPr>
              <w:t>kur atrodama informācija par iekārtas atbilstību katrai prasībai.</w:t>
            </w:r>
            <w:r w:rsidR="00C70D41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 xml:space="preserve"> </w:t>
            </w:r>
            <w:r w:rsidR="00C70D41" w:rsidRPr="00930077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Iekārtas elektroenerģijas patēriņš kW stundā</w:t>
            </w:r>
            <w:r w:rsidR="00C70D41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.</w:t>
            </w:r>
          </w:p>
        </w:tc>
        <w:tc>
          <w:tcPr>
            <w:tcW w:w="428" w:type="pct"/>
            <w:vAlign w:val="center"/>
          </w:tcPr>
          <w:p w14:paraId="48BAF8CA" w14:textId="16F7D845" w:rsidR="00C55B9D" w:rsidRPr="00C55B9D" w:rsidRDefault="00C55B9D" w:rsidP="004131F2">
            <w:pPr>
              <w:widowControl/>
              <w:overflowPunct/>
              <w:autoSpaceDE/>
              <w:autoSpaceDN/>
              <w:adjustRightInd/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Cena</w:t>
            </w:r>
            <w:r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*</w:t>
            </w:r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 xml:space="preserve"> EUR </w:t>
            </w:r>
          </w:p>
          <w:p w14:paraId="5128AA9A" w14:textId="0E3B207E" w:rsidR="00C55B9D" w:rsidRPr="00C55B9D" w:rsidRDefault="00C55B9D" w:rsidP="004131F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lv-LV"/>
              </w:rPr>
            </w:pPr>
            <w:r w:rsidRPr="00C55B9D">
              <w:rPr>
                <w:rFonts w:ascii="Calibri" w:hAnsi="Calibri" w:cs="Calibri"/>
                <w:b/>
                <w:sz w:val="22"/>
                <w:szCs w:val="22"/>
                <w:lang w:val="lv-LV"/>
              </w:rPr>
              <w:t>bez PVN</w:t>
            </w:r>
          </w:p>
        </w:tc>
      </w:tr>
      <w:bookmarkEnd w:id="2"/>
      <w:tr w:rsidR="00C70D41" w:rsidRPr="00F649FE" w14:paraId="005BFE62" w14:textId="6C6F4C31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 w:val="restart"/>
          </w:tcPr>
          <w:p w14:paraId="00519D28" w14:textId="77777777" w:rsidR="00C70D41" w:rsidRPr="00F649FE" w:rsidRDefault="00C70D41" w:rsidP="004131F2">
            <w:pPr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Komplektācija un tehniskās prasības</w:t>
            </w:r>
          </w:p>
        </w:tc>
        <w:tc>
          <w:tcPr>
            <w:tcW w:w="1786" w:type="pct"/>
          </w:tcPr>
          <w:p w14:paraId="07D69B4B" w14:textId="77777777" w:rsidR="00C70D41" w:rsidRPr="00F649FE" w:rsidRDefault="00C70D41" w:rsidP="00BE3E95">
            <w:pPr>
              <w:ind w:left="373" w:hanging="284"/>
              <w:jc w:val="both"/>
              <w:rPr>
                <w:rFonts w:ascii="Calibri" w:hAnsi="Calibri" w:cs="Calibri"/>
                <w:color w:val="000000" w:themeColor="text1"/>
                <w:lang w:val="lv-LV"/>
              </w:rPr>
            </w:pPr>
            <w:r w:rsidRPr="00F649FE">
              <w:rPr>
                <w:rFonts w:ascii="Calibri" w:hAnsi="Calibri" w:cs="Calibri"/>
                <w:color w:val="000000" w:themeColor="text1"/>
                <w:lang w:val="lv-LV"/>
              </w:rPr>
              <w:t>Iekārtai:</w:t>
            </w:r>
          </w:p>
          <w:p w14:paraId="4F103096" w14:textId="38CE311C" w:rsidR="00C70D41" w:rsidRPr="007B681F" w:rsidRDefault="00C70D41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B681F">
              <w:rPr>
                <w:rFonts w:ascii="Calibri" w:hAnsi="Calibri" w:cs="Calibri"/>
                <w:sz w:val="20"/>
                <w:szCs w:val="20"/>
              </w:rPr>
              <w:t>Svars 150 ± 10 kg</w:t>
            </w:r>
          </w:p>
          <w:p w14:paraId="3B24C801" w14:textId="27CA3D7C" w:rsidR="00C70D41" w:rsidRPr="007B681F" w:rsidRDefault="006A7F7B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B681F">
              <w:rPr>
                <w:rFonts w:ascii="Calibri" w:hAnsi="Calibri" w:cs="Calibri"/>
                <w:sz w:val="20"/>
                <w:szCs w:val="20"/>
              </w:rPr>
              <w:t>1090 mm (±10 mm) x 2010 mm (±10 mm) x 790 mm (±10</w:t>
            </w:r>
            <w:r w:rsidR="007B681F">
              <w:rPr>
                <w:rFonts w:ascii="Calibri" w:hAnsi="Calibri" w:cs="Calibri"/>
                <w:sz w:val="20"/>
                <w:szCs w:val="20"/>
              </w:rPr>
              <w:t> </w:t>
            </w:r>
            <w:r w:rsidRPr="007B681F">
              <w:rPr>
                <w:rFonts w:ascii="Calibri" w:hAnsi="Calibri" w:cs="Calibri"/>
                <w:sz w:val="20"/>
                <w:szCs w:val="20"/>
              </w:rPr>
              <w:t>mm)  (augstums x platums x dziļums)</w:t>
            </w:r>
          </w:p>
          <w:p w14:paraId="2A8AB942" w14:textId="6EEF05D4" w:rsidR="00C70D41" w:rsidRPr="00434C08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ullis 600 x ø 300 mm</w:t>
            </w:r>
          </w:p>
          <w:p w14:paraId="26F1D333" w14:textId="661BCBC1" w:rsidR="00C70D41" w:rsidRPr="00434C08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lēves (vienkārtīga plastmasas termošuvējama) iesaiņošanai ar biežuma diapazonu 0,015÷0,050 mm</w:t>
            </w:r>
          </w:p>
          <w:p w14:paraId="2640042D" w14:textId="60E2A00C" w:rsidR="00C70D41" w:rsidRPr="00434C08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ar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ības pārtraukuma režīmā ietaupa enerģiju</w:t>
            </w:r>
          </w:p>
          <w:p w14:paraId="00ECF21E" w14:textId="610E622F" w:rsidR="00C70D41" w:rsidRPr="00434C08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arba spriegums 220-240 V, 50 Hz, 16A</w:t>
            </w:r>
          </w:p>
          <w:p w14:paraId="1D110C1E" w14:textId="5A2537CB" w:rsidR="00C70D41" w:rsidRPr="00434C08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ermētiskums 0,0÷2,2</w:t>
            </w:r>
            <w:r w:rsidR="00434C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cm</w:t>
            </w:r>
            <w:r w:rsidR="00C70D41" w:rsidRPr="00434C08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  <w:p w14:paraId="4D5D020B" w14:textId="321FF2D1" w:rsidR="00C70D41" w:rsidRPr="00C70D41" w:rsidRDefault="000D39CD" w:rsidP="00BE3E95">
            <w:pPr>
              <w:pStyle w:val="ListParagraph"/>
              <w:numPr>
                <w:ilvl w:val="0"/>
                <w:numId w:val="19"/>
              </w:numPr>
              <w:tabs>
                <w:tab w:val="left" w:pos="552"/>
              </w:tabs>
              <w:ind w:left="373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C70D41" w:rsidRPr="00434C08">
              <w:rPr>
                <w:rFonts w:ascii="Calibri" w:hAnsi="Calibri" w:cs="Calibri"/>
                <w:sz w:val="20"/>
                <w:szCs w:val="20"/>
              </w:rPr>
              <w:t>araušanās 0,0÷9,9%</w:t>
            </w:r>
          </w:p>
        </w:tc>
        <w:tc>
          <w:tcPr>
            <w:tcW w:w="519" w:type="pct"/>
            <w:vMerge w:val="restart"/>
          </w:tcPr>
          <w:p w14:paraId="1AE2EB9E" w14:textId="77777777" w:rsidR="00C70D41" w:rsidRDefault="00C70D41" w:rsidP="00C55B9D">
            <w:pPr>
              <w:jc w:val="center"/>
              <w:rPr>
                <w:rFonts w:ascii="Calibri" w:hAnsi="Calibri" w:cs="Calibri"/>
                <w:lang w:val="lv-LV"/>
              </w:rPr>
            </w:pPr>
          </w:p>
          <w:p w14:paraId="042436C4" w14:textId="7E8DA43E" w:rsidR="00C70D41" w:rsidRPr="00F649FE" w:rsidRDefault="00C70D41" w:rsidP="00C55B9D">
            <w:pPr>
              <w:jc w:val="center"/>
              <w:rPr>
                <w:rFonts w:ascii="Calibri" w:hAnsi="Calibri" w:cs="Calibri"/>
                <w:lang w:val="lv-LV"/>
              </w:rPr>
            </w:pPr>
            <w:r>
              <w:rPr>
                <w:rFonts w:ascii="Calibri" w:hAnsi="Calibri" w:cs="Calibri"/>
                <w:lang w:val="lv-LV"/>
              </w:rPr>
              <w:t>1</w:t>
            </w:r>
          </w:p>
        </w:tc>
        <w:tc>
          <w:tcPr>
            <w:tcW w:w="1808" w:type="pct"/>
          </w:tcPr>
          <w:p w14:paraId="7C55BDB7" w14:textId="77777777" w:rsidR="00C70D41" w:rsidRPr="00F649FE" w:rsidRDefault="00C70D41" w:rsidP="00693ED7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 w:val="restart"/>
          </w:tcPr>
          <w:p w14:paraId="62DDCC48" w14:textId="77777777" w:rsidR="00C70D41" w:rsidRPr="00F649FE" w:rsidRDefault="00C70D41" w:rsidP="0034014A">
            <w:pPr>
              <w:spacing w:before="120"/>
              <w:jc w:val="center"/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5C7A9DFF" w14:textId="77777777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7D237EAE" w14:textId="77777777" w:rsidR="00C70D41" w:rsidRPr="00F649FE" w:rsidRDefault="00C70D41" w:rsidP="004131F2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55BFCA0D" w14:textId="4C7808C2" w:rsidR="00C70D41" w:rsidRPr="00F649FE" w:rsidRDefault="00C70D41" w:rsidP="00C70D41">
            <w:pPr>
              <w:jc w:val="both"/>
              <w:rPr>
                <w:rFonts w:ascii="Calibri" w:hAnsi="Calibri" w:cs="Calibri"/>
                <w:color w:val="000000" w:themeColor="text1"/>
                <w:lang w:val="lv-LV"/>
              </w:rPr>
            </w:pPr>
            <w:r w:rsidRPr="00930077">
              <w:rPr>
                <w:rFonts w:asciiTheme="minorHAnsi" w:eastAsiaTheme="minorHAnsi" w:hAnsiTheme="minorHAnsi" w:cstheme="minorHAnsi"/>
                <w:bCs/>
                <w:lang w:val="lv-LV" w:eastAsia="en-US"/>
              </w:rPr>
              <w:t>Iekārtas elektroenerģijas patēriņš kW stundā</w:t>
            </w:r>
          </w:p>
        </w:tc>
        <w:tc>
          <w:tcPr>
            <w:tcW w:w="519" w:type="pct"/>
            <w:vMerge/>
            <w:vAlign w:val="center"/>
          </w:tcPr>
          <w:p w14:paraId="39B743D8" w14:textId="77777777" w:rsidR="00C70D41" w:rsidRDefault="00C70D41" w:rsidP="00C55B9D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46B27741" w14:textId="77777777" w:rsidR="00C70D41" w:rsidRPr="00F649FE" w:rsidRDefault="00C70D41" w:rsidP="00693ED7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4795E4E2" w14:textId="77777777" w:rsidR="00C70D41" w:rsidRPr="00F649FE" w:rsidRDefault="00C70D41" w:rsidP="00693ED7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3F0EAF1F" w14:textId="772DF10F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 w:val="restart"/>
          </w:tcPr>
          <w:p w14:paraId="643AB477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Citas prasības</w:t>
            </w:r>
          </w:p>
        </w:tc>
        <w:tc>
          <w:tcPr>
            <w:tcW w:w="1786" w:type="pct"/>
          </w:tcPr>
          <w:p w14:paraId="3B2A2248" w14:textId="33F4CE66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 xml:space="preserve">Iekārta sertificēta atbilstoši ES </w:t>
            </w:r>
            <w:r w:rsidRPr="00F649FE">
              <w:rPr>
                <w:rFonts w:ascii="Calibri" w:hAnsi="Calibri" w:cs="Calibri"/>
                <w:color w:val="000000"/>
                <w:lang w:val="lv-LV"/>
              </w:rPr>
              <w:t>EN 61010/VDE 0411 drošības standartam</w:t>
            </w:r>
          </w:p>
        </w:tc>
        <w:tc>
          <w:tcPr>
            <w:tcW w:w="519" w:type="pct"/>
            <w:vMerge/>
          </w:tcPr>
          <w:p w14:paraId="5A71FF58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625DAEFB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BDE673B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1045DCF1" w14:textId="7D9370A9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31610D3B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73456985" w14:textId="519EE350" w:rsidR="00C70D41" w:rsidRPr="00F649FE" w:rsidRDefault="00C70D41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Iekārtas piegāde klienta norādītajā vietā, pieslēgšana un palaišana, ko nodrošina apmācīts un sertificēts inženieris</w:t>
            </w:r>
          </w:p>
        </w:tc>
        <w:tc>
          <w:tcPr>
            <w:tcW w:w="519" w:type="pct"/>
            <w:vMerge/>
          </w:tcPr>
          <w:p w14:paraId="48EE1265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704488ED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1457C07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04545F36" w14:textId="2809169C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6339D24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3C45E27D" w14:textId="5783601C" w:rsidR="00C70D41" w:rsidRPr="00F649FE" w:rsidRDefault="00C70D41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Lietotāju (līdz 6 cilvēkiem) apmācība darbībai ar iekārtu</w:t>
            </w:r>
          </w:p>
        </w:tc>
        <w:tc>
          <w:tcPr>
            <w:tcW w:w="519" w:type="pct"/>
            <w:vMerge/>
          </w:tcPr>
          <w:p w14:paraId="600E9B51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2B695E53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4928332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24EFA01D" w14:textId="6118A6E1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33D551EA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19B459CC" w14:textId="1DEBA603" w:rsidR="00C70D41" w:rsidRPr="00F649FE" w:rsidRDefault="0019045E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19045E">
              <w:rPr>
                <w:rFonts w:ascii="Calibri" w:hAnsi="Calibri" w:cs="Calibri"/>
                <w:lang w:val="lv-LV"/>
              </w:rPr>
              <w:t>Piegādes termiņš – 1 (viens) mēnesis</w:t>
            </w:r>
          </w:p>
        </w:tc>
        <w:tc>
          <w:tcPr>
            <w:tcW w:w="519" w:type="pct"/>
            <w:vMerge/>
          </w:tcPr>
          <w:p w14:paraId="36E5AE24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24567C69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ACD22F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0D7572A5" w14:textId="306D208E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17DE3574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42B57077" w14:textId="592A3AFF" w:rsidR="00C70D41" w:rsidRPr="00F649FE" w:rsidRDefault="00F376E9" w:rsidP="00F06B26">
            <w:pPr>
              <w:jc w:val="both"/>
              <w:rPr>
                <w:rFonts w:ascii="Calibri" w:hAnsi="Calibri" w:cs="Calibri"/>
                <w:lang w:val="lv-LV"/>
              </w:rPr>
            </w:pPr>
            <w:r>
              <w:rPr>
                <w:rFonts w:ascii="Calibri" w:hAnsi="Calibri" w:cs="Calibri"/>
                <w:lang w:val="lv-LV"/>
              </w:rPr>
              <w:t>G</w:t>
            </w:r>
            <w:r w:rsidR="00C70D41" w:rsidRPr="00F649FE">
              <w:rPr>
                <w:rFonts w:ascii="Calibri" w:hAnsi="Calibri" w:cs="Calibri"/>
                <w:lang w:val="lv-LV"/>
              </w:rPr>
              <w:t xml:space="preserve">arantijas termiņš </w:t>
            </w:r>
            <w:r w:rsidR="00D07D45">
              <w:rPr>
                <w:rFonts w:ascii="Calibri" w:hAnsi="Calibri" w:cs="Calibri"/>
                <w:lang w:val="lv-LV"/>
              </w:rPr>
              <w:t>vismaz</w:t>
            </w:r>
            <w:r w:rsidR="00C70D41" w:rsidRPr="00F649FE">
              <w:rPr>
                <w:rFonts w:ascii="Calibri" w:hAnsi="Calibri" w:cs="Calibri"/>
                <w:lang w:val="lv-LV"/>
              </w:rPr>
              <w:t xml:space="preserve"> 2 (divi) gadi</w:t>
            </w:r>
            <w:r w:rsidR="00FB1677">
              <w:rPr>
                <w:rFonts w:ascii="Calibri" w:hAnsi="Calibri" w:cs="Calibri"/>
                <w:lang w:val="lv-LV"/>
              </w:rPr>
              <w:t xml:space="preserve"> </w:t>
            </w:r>
            <w:r w:rsidR="00FB1677" w:rsidRPr="00564DD1">
              <w:rPr>
                <w:rFonts w:asciiTheme="minorHAnsi" w:hAnsiTheme="minorHAnsi" w:cs="Arial"/>
                <w:i/>
                <w:iCs/>
                <w:lang w:val="lv-LV"/>
              </w:rPr>
              <w:t>(pretendents var norādīt lielāku garantijas termiņu)</w:t>
            </w:r>
          </w:p>
        </w:tc>
        <w:tc>
          <w:tcPr>
            <w:tcW w:w="519" w:type="pct"/>
            <w:vMerge/>
          </w:tcPr>
          <w:p w14:paraId="45A87074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69EEE934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5211F0C6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1FE4500C" w14:textId="7CD14E9D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6DBBD5F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5A0D5800" w14:textId="4B9FC5AD" w:rsidR="00C70D41" w:rsidRPr="00F649FE" w:rsidRDefault="00C70D41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Iekārtas apkope garantijas termiņa laikā jānodrošina bez atsevišķas samaksas</w:t>
            </w:r>
          </w:p>
        </w:tc>
        <w:tc>
          <w:tcPr>
            <w:tcW w:w="519" w:type="pct"/>
            <w:vMerge/>
          </w:tcPr>
          <w:p w14:paraId="4CF5D30A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6591A7E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79498C2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9971EB" w:rsidRPr="00F649FE" w14:paraId="754F273F" w14:textId="77777777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4FB7A447" w14:textId="77777777" w:rsidR="009971EB" w:rsidRPr="00F649FE" w:rsidRDefault="009971EB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532615C1" w14:textId="78A19FD5" w:rsidR="009971EB" w:rsidRPr="00F649FE" w:rsidRDefault="009971EB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BE247F">
              <w:rPr>
                <w:rFonts w:asciiTheme="minorHAnsi" w:hAnsiTheme="minorHAnsi" w:cstheme="minorHAnsi"/>
                <w:lang w:val="lv-LV"/>
              </w:rPr>
              <w:t>Instrukcija latviešu vai angļu valodā</w:t>
            </w:r>
          </w:p>
        </w:tc>
        <w:tc>
          <w:tcPr>
            <w:tcW w:w="519" w:type="pct"/>
            <w:vMerge/>
          </w:tcPr>
          <w:p w14:paraId="771D5E68" w14:textId="77777777" w:rsidR="009971EB" w:rsidRPr="00F649FE" w:rsidRDefault="009971EB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3CBBBF0E" w14:textId="77777777" w:rsidR="009971EB" w:rsidRPr="00F649FE" w:rsidRDefault="009971EB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099D5EEC" w14:textId="77777777" w:rsidR="009971EB" w:rsidRPr="00F649FE" w:rsidRDefault="009971EB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1E1745" w:rsidRPr="00F649FE" w14:paraId="1B015AE2" w14:textId="77777777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77855643" w14:textId="77777777" w:rsidR="001E1745" w:rsidRPr="00F649FE" w:rsidRDefault="001E1745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514B4CAA" w14:textId="480A75EA" w:rsidR="001E1745" w:rsidRPr="00BE247F" w:rsidRDefault="001E1745" w:rsidP="00F06B26">
            <w:pPr>
              <w:jc w:val="both"/>
              <w:rPr>
                <w:rFonts w:asciiTheme="minorHAnsi" w:hAnsiTheme="minorHAnsi" w:cstheme="minorHAnsi"/>
                <w:lang w:val="lv-LV"/>
              </w:rPr>
            </w:pPr>
            <w:r w:rsidRPr="001E1745">
              <w:rPr>
                <w:rFonts w:asciiTheme="minorHAnsi" w:hAnsiTheme="minorHAnsi" w:cstheme="minorHAnsi"/>
                <w:lang w:val="lv-LV"/>
              </w:rPr>
              <w:t>CE marķējums</w:t>
            </w:r>
          </w:p>
        </w:tc>
        <w:tc>
          <w:tcPr>
            <w:tcW w:w="519" w:type="pct"/>
            <w:vMerge/>
          </w:tcPr>
          <w:p w14:paraId="50C8E734" w14:textId="77777777" w:rsidR="001E1745" w:rsidRPr="00F649FE" w:rsidRDefault="001E1745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465AA0BD" w14:textId="77777777" w:rsidR="001E1745" w:rsidRPr="00F649FE" w:rsidRDefault="001E1745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1DD54D40" w14:textId="77777777" w:rsidR="001E1745" w:rsidRPr="00F649FE" w:rsidRDefault="001E1745" w:rsidP="00F06B26">
            <w:pPr>
              <w:rPr>
                <w:rFonts w:ascii="Calibri" w:hAnsi="Calibri" w:cs="Calibri"/>
                <w:lang w:val="lv-LV"/>
              </w:rPr>
            </w:pPr>
          </w:p>
        </w:tc>
      </w:tr>
      <w:tr w:rsidR="00C70D41" w:rsidRPr="00F649FE" w14:paraId="5A2043CA" w14:textId="77777777" w:rsidTr="001E1745">
        <w:tblPrEx>
          <w:tblLook w:val="01E0" w:firstRow="1" w:lastRow="1" w:firstColumn="1" w:lastColumn="1" w:noHBand="0" w:noVBand="0"/>
        </w:tblPrEx>
        <w:tc>
          <w:tcPr>
            <w:tcW w:w="459" w:type="pct"/>
            <w:vMerge/>
          </w:tcPr>
          <w:p w14:paraId="2FF6DF90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786" w:type="pct"/>
          </w:tcPr>
          <w:p w14:paraId="2CEB562E" w14:textId="472093ED" w:rsidR="00C70D41" w:rsidRPr="00F649FE" w:rsidRDefault="00C70D41" w:rsidP="00F06B26">
            <w:pPr>
              <w:jc w:val="both"/>
              <w:rPr>
                <w:rFonts w:ascii="Calibri" w:hAnsi="Calibri" w:cs="Calibri"/>
                <w:lang w:val="lv-LV"/>
              </w:rPr>
            </w:pPr>
            <w:r w:rsidRPr="00F649FE">
              <w:rPr>
                <w:rFonts w:ascii="Calibri" w:hAnsi="Calibri" w:cs="Calibri"/>
                <w:lang w:val="lv-LV"/>
              </w:rPr>
              <w:t>Piegādes adrese: Rīga, Lejupes iela 3</w:t>
            </w:r>
          </w:p>
        </w:tc>
        <w:tc>
          <w:tcPr>
            <w:tcW w:w="519" w:type="pct"/>
            <w:vMerge/>
          </w:tcPr>
          <w:p w14:paraId="5B55E565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08" w:type="pct"/>
          </w:tcPr>
          <w:p w14:paraId="094E46DC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428" w:type="pct"/>
            <w:vMerge/>
          </w:tcPr>
          <w:p w14:paraId="1B01205E" w14:textId="77777777" w:rsidR="00C70D41" w:rsidRPr="00F649FE" w:rsidRDefault="00C70D41" w:rsidP="00F06B26">
            <w:pPr>
              <w:rPr>
                <w:rFonts w:ascii="Calibri" w:hAnsi="Calibri" w:cs="Calibri"/>
                <w:lang w:val="lv-LV"/>
              </w:rPr>
            </w:pPr>
          </w:p>
        </w:tc>
      </w:tr>
    </w:tbl>
    <w:p w14:paraId="3CA113A0" w14:textId="71412493" w:rsidR="00120454" w:rsidRPr="00C55B9D" w:rsidRDefault="00120454" w:rsidP="004131F2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lv-LV"/>
        </w:rPr>
      </w:pPr>
    </w:p>
    <w:p w14:paraId="351C2675" w14:textId="77777777" w:rsidR="00C55B9D" w:rsidRPr="00C55B9D" w:rsidRDefault="00C55B9D" w:rsidP="00C55B9D">
      <w:pPr>
        <w:widowControl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lv-LV"/>
        </w:rPr>
      </w:pPr>
      <w:bookmarkStart w:id="3" w:name="_Hlk75838324"/>
      <w:r w:rsidRPr="00C55B9D">
        <w:rPr>
          <w:rFonts w:ascii="Calibri" w:hAnsi="Calibri" w:cs="Calibri"/>
          <w:sz w:val="22"/>
          <w:szCs w:val="22"/>
          <w:lang w:val="lv-LV"/>
        </w:rPr>
        <w:t>*Norādītā cena ietver visas izmaksas, kas saistītas ar tehniskajai specifikācijai atbilstošas iekārtas piegādi, t.</w:t>
      </w:r>
      <w:r w:rsidRPr="00963B2C">
        <w:rPr>
          <w:rFonts w:ascii="Calibri" w:hAnsi="Calibri" w:cs="Calibri"/>
          <w:sz w:val="22"/>
          <w:szCs w:val="22"/>
          <w:lang w:val="lv-LV"/>
        </w:rPr>
        <w:t>sk. uzstādīšanu, garantijas</w:t>
      </w:r>
      <w:r w:rsidRPr="00C55B9D">
        <w:rPr>
          <w:rFonts w:ascii="Calibri" w:hAnsi="Calibri" w:cs="Calibri"/>
          <w:sz w:val="22"/>
          <w:szCs w:val="22"/>
          <w:lang w:val="lv-LV"/>
        </w:rPr>
        <w:t xml:space="preserve"> servisa nodrošināšanu, nodokļu, nodevu, transportēšanas u.c. izmaksas, kas nepieciešamas pakalpojuma pilnīgai un kvalitatīvai sniegšanai saskaņā ar iepirkuma nolikumu un tā pielikumiem.</w:t>
      </w:r>
      <w:bookmarkEnd w:id="3"/>
    </w:p>
    <w:p w14:paraId="099D9E41" w14:textId="77777777" w:rsidR="00C55B9D" w:rsidRPr="00F649FE" w:rsidRDefault="00C55B9D" w:rsidP="004131F2">
      <w:pPr>
        <w:widowControl/>
        <w:overflowPunct/>
        <w:autoSpaceDE/>
        <w:autoSpaceDN/>
        <w:adjustRightInd/>
        <w:rPr>
          <w:rFonts w:ascii="Calibri" w:hAnsi="Calibri" w:cs="Calibri"/>
          <w:sz w:val="10"/>
          <w:szCs w:val="10"/>
          <w:lang w:val="lv-LV"/>
        </w:rPr>
      </w:pPr>
    </w:p>
    <w:sectPr w:rsidR="00C55B9D" w:rsidRPr="00F649FE" w:rsidSect="004131F2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B53"/>
    <w:multiLevelType w:val="hybridMultilevel"/>
    <w:tmpl w:val="8190EC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0797"/>
    <w:multiLevelType w:val="hybridMultilevel"/>
    <w:tmpl w:val="BCA810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84E"/>
    <w:multiLevelType w:val="hybridMultilevel"/>
    <w:tmpl w:val="1186A2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96446"/>
    <w:multiLevelType w:val="hybridMultilevel"/>
    <w:tmpl w:val="1526C1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120"/>
    <w:multiLevelType w:val="multilevel"/>
    <w:tmpl w:val="B96CDE02"/>
    <w:lvl w:ilvl="0">
      <w:start w:val="4"/>
      <w:numFmt w:val="decimal"/>
      <w:lvlText w:val="%1."/>
      <w:lvlJc w:val="left"/>
      <w:pPr>
        <w:ind w:left="10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abstractNum w:abstractNumId="5" w15:restartNumberingAfterBreak="0">
    <w:nsid w:val="0BAB5CA1"/>
    <w:multiLevelType w:val="hybridMultilevel"/>
    <w:tmpl w:val="909E8600"/>
    <w:lvl w:ilvl="0" w:tplc="58A060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6A1"/>
    <w:multiLevelType w:val="hybridMultilevel"/>
    <w:tmpl w:val="67C210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667"/>
    <w:multiLevelType w:val="hybridMultilevel"/>
    <w:tmpl w:val="2556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7254"/>
    <w:multiLevelType w:val="hybridMultilevel"/>
    <w:tmpl w:val="6388E148"/>
    <w:lvl w:ilvl="0" w:tplc="B2E800C8">
      <w:start w:val="3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EAF1AC5"/>
    <w:multiLevelType w:val="hybridMultilevel"/>
    <w:tmpl w:val="5832CD14"/>
    <w:lvl w:ilvl="0" w:tplc="0426000F">
      <w:start w:val="1"/>
      <w:numFmt w:val="decimal"/>
      <w:lvlText w:val="%1."/>
      <w:lvlJc w:val="lef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4FFA65A5"/>
    <w:multiLevelType w:val="hybridMultilevel"/>
    <w:tmpl w:val="68DA06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920AD"/>
    <w:multiLevelType w:val="hybridMultilevel"/>
    <w:tmpl w:val="AB64BA4A"/>
    <w:lvl w:ilvl="0" w:tplc="4D38AC4A">
      <w:start w:val="1"/>
      <w:numFmt w:val="decimal"/>
      <w:lvlText w:val="%1."/>
      <w:lvlJc w:val="left"/>
      <w:pPr>
        <w:ind w:left="1083" w:hanging="360"/>
      </w:pPr>
      <w:rPr>
        <w:rFonts w:hint="default"/>
        <w:u w:val="none"/>
      </w:rPr>
    </w:lvl>
    <w:lvl w:ilvl="1" w:tplc="04260019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60240162"/>
    <w:multiLevelType w:val="hybridMultilevel"/>
    <w:tmpl w:val="82F2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E61"/>
    <w:multiLevelType w:val="hybridMultilevel"/>
    <w:tmpl w:val="56427B5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173FDC"/>
    <w:multiLevelType w:val="hybridMultilevel"/>
    <w:tmpl w:val="4906DD9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C50B5"/>
    <w:multiLevelType w:val="hybridMultilevel"/>
    <w:tmpl w:val="2D1836E0"/>
    <w:lvl w:ilvl="0" w:tplc="EAE4ACDE">
      <w:start w:val="4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6" w15:restartNumberingAfterBreak="0">
    <w:nsid w:val="7A4E550C"/>
    <w:multiLevelType w:val="hybridMultilevel"/>
    <w:tmpl w:val="82707D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C8C6264"/>
    <w:multiLevelType w:val="multilevel"/>
    <w:tmpl w:val="B96CDE02"/>
    <w:lvl w:ilvl="0">
      <w:start w:val="4"/>
      <w:numFmt w:val="decimal"/>
      <w:lvlText w:val="%1."/>
      <w:lvlJc w:val="left"/>
      <w:pPr>
        <w:ind w:left="10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3" w:hanging="1800"/>
      </w:pPr>
      <w:rPr>
        <w:rFonts w:hint="default"/>
      </w:rPr>
    </w:lvl>
  </w:abstractNum>
  <w:abstractNum w:abstractNumId="18" w15:restartNumberingAfterBreak="0">
    <w:nsid w:val="7E4145A0"/>
    <w:multiLevelType w:val="hybridMultilevel"/>
    <w:tmpl w:val="A7C265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76489">
    <w:abstractNumId w:val="5"/>
  </w:num>
  <w:num w:numId="2" w16cid:durableId="1656909152">
    <w:abstractNumId w:val="12"/>
  </w:num>
  <w:num w:numId="3" w16cid:durableId="2107537479">
    <w:abstractNumId w:val="13"/>
  </w:num>
  <w:num w:numId="4" w16cid:durableId="557321635">
    <w:abstractNumId w:val="14"/>
  </w:num>
  <w:num w:numId="5" w16cid:durableId="589046770">
    <w:abstractNumId w:val="3"/>
  </w:num>
  <w:num w:numId="6" w16cid:durableId="1203592179">
    <w:abstractNumId w:val="2"/>
  </w:num>
  <w:num w:numId="7" w16cid:durableId="1412047813">
    <w:abstractNumId w:val="1"/>
  </w:num>
  <w:num w:numId="8" w16cid:durableId="1342661387">
    <w:abstractNumId w:val="10"/>
  </w:num>
  <w:num w:numId="9" w16cid:durableId="1823503545">
    <w:abstractNumId w:val="18"/>
  </w:num>
  <w:num w:numId="10" w16cid:durableId="1232230461">
    <w:abstractNumId w:val="6"/>
  </w:num>
  <w:num w:numId="11" w16cid:durableId="1089816192">
    <w:abstractNumId w:val="9"/>
  </w:num>
  <w:num w:numId="12" w16cid:durableId="248272085">
    <w:abstractNumId w:val="8"/>
  </w:num>
  <w:num w:numId="13" w16cid:durableId="734201407">
    <w:abstractNumId w:val="17"/>
  </w:num>
  <w:num w:numId="14" w16cid:durableId="1150711544">
    <w:abstractNumId w:val="4"/>
  </w:num>
  <w:num w:numId="15" w16cid:durableId="2120028885">
    <w:abstractNumId w:val="11"/>
  </w:num>
  <w:num w:numId="16" w16cid:durableId="1430201586">
    <w:abstractNumId w:val="15"/>
  </w:num>
  <w:num w:numId="17" w16cid:durableId="1356887280">
    <w:abstractNumId w:val="16"/>
  </w:num>
  <w:num w:numId="18" w16cid:durableId="79717843">
    <w:abstractNumId w:val="7"/>
  </w:num>
  <w:num w:numId="19" w16cid:durableId="4533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43"/>
    <w:rsid w:val="000058AA"/>
    <w:rsid w:val="000210ED"/>
    <w:rsid w:val="00062AF5"/>
    <w:rsid w:val="00064323"/>
    <w:rsid w:val="00091159"/>
    <w:rsid w:val="000C381D"/>
    <w:rsid w:val="000D39CD"/>
    <w:rsid w:val="000E72E2"/>
    <w:rsid w:val="000F2230"/>
    <w:rsid w:val="00103343"/>
    <w:rsid w:val="00112E0A"/>
    <w:rsid w:val="00120454"/>
    <w:rsid w:val="00124427"/>
    <w:rsid w:val="00124804"/>
    <w:rsid w:val="00137734"/>
    <w:rsid w:val="00140FEB"/>
    <w:rsid w:val="00142A09"/>
    <w:rsid w:val="00174769"/>
    <w:rsid w:val="0019045E"/>
    <w:rsid w:val="00193D39"/>
    <w:rsid w:val="001C3C43"/>
    <w:rsid w:val="001D2829"/>
    <w:rsid w:val="001E1745"/>
    <w:rsid w:val="00231D9B"/>
    <w:rsid w:val="00232C71"/>
    <w:rsid w:val="002607DD"/>
    <w:rsid w:val="00263249"/>
    <w:rsid w:val="00263AAF"/>
    <w:rsid w:val="002729B1"/>
    <w:rsid w:val="002B5C06"/>
    <w:rsid w:val="002C11CD"/>
    <w:rsid w:val="002D1885"/>
    <w:rsid w:val="002E08B7"/>
    <w:rsid w:val="002E650B"/>
    <w:rsid w:val="002E72C5"/>
    <w:rsid w:val="002F2243"/>
    <w:rsid w:val="0034014A"/>
    <w:rsid w:val="00347176"/>
    <w:rsid w:val="003633A8"/>
    <w:rsid w:val="00396399"/>
    <w:rsid w:val="003A62AD"/>
    <w:rsid w:val="003C3A08"/>
    <w:rsid w:val="003E2549"/>
    <w:rsid w:val="003F16C3"/>
    <w:rsid w:val="00401BE7"/>
    <w:rsid w:val="004131F2"/>
    <w:rsid w:val="00413BDE"/>
    <w:rsid w:val="00434C08"/>
    <w:rsid w:val="00441C3A"/>
    <w:rsid w:val="00453F36"/>
    <w:rsid w:val="0047298B"/>
    <w:rsid w:val="00473C56"/>
    <w:rsid w:val="0047408B"/>
    <w:rsid w:val="0047640B"/>
    <w:rsid w:val="004947CB"/>
    <w:rsid w:val="00497962"/>
    <w:rsid w:val="004C489A"/>
    <w:rsid w:val="00522264"/>
    <w:rsid w:val="00522A73"/>
    <w:rsid w:val="00523E7A"/>
    <w:rsid w:val="005360F4"/>
    <w:rsid w:val="00537F98"/>
    <w:rsid w:val="00540EE1"/>
    <w:rsid w:val="0056070A"/>
    <w:rsid w:val="00572513"/>
    <w:rsid w:val="00581DF2"/>
    <w:rsid w:val="005C27F0"/>
    <w:rsid w:val="005C2938"/>
    <w:rsid w:val="005C79D1"/>
    <w:rsid w:val="005D0992"/>
    <w:rsid w:val="005D4AC5"/>
    <w:rsid w:val="005E7386"/>
    <w:rsid w:val="0061153C"/>
    <w:rsid w:val="0062429E"/>
    <w:rsid w:val="0063688B"/>
    <w:rsid w:val="00640000"/>
    <w:rsid w:val="0064244A"/>
    <w:rsid w:val="00653342"/>
    <w:rsid w:val="0066265C"/>
    <w:rsid w:val="00663AA5"/>
    <w:rsid w:val="0066531B"/>
    <w:rsid w:val="006725C5"/>
    <w:rsid w:val="00675B6C"/>
    <w:rsid w:val="00676B88"/>
    <w:rsid w:val="006A2AF2"/>
    <w:rsid w:val="006A7F7B"/>
    <w:rsid w:val="006C0268"/>
    <w:rsid w:val="006F7197"/>
    <w:rsid w:val="0070077B"/>
    <w:rsid w:val="00702E75"/>
    <w:rsid w:val="00713965"/>
    <w:rsid w:val="00731376"/>
    <w:rsid w:val="00732A53"/>
    <w:rsid w:val="00744288"/>
    <w:rsid w:val="00762073"/>
    <w:rsid w:val="00770F1B"/>
    <w:rsid w:val="007A715C"/>
    <w:rsid w:val="007B681F"/>
    <w:rsid w:val="007C1BFA"/>
    <w:rsid w:val="007C36AE"/>
    <w:rsid w:val="007C5ADA"/>
    <w:rsid w:val="007D6102"/>
    <w:rsid w:val="00814843"/>
    <w:rsid w:val="008208A6"/>
    <w:rsid w:val="00821F2E"/>
    <w:rsid w:val="00824A28"/>
    <w:rsid w:val="00827DCD"/>
    <w:rsid w:val="00841035"/>
    <w:rsid w:val="0084306D"/>
    <w:rsid w:val="00865B4A"/>
    <w:rsid w:val="008A22E8"/>
    <w:rsid w:val="008B3E5A"/>
    <w:rsid w:val="008B73A5"/>
    <w:rsid w:val="008C4DF7"/>
    <w:rsid w:val="008D49E6"/>
    <w:rsid w:val="008E70CE"/>
    <w:rsid w:val="0090079C"/>
    <w:rsid w:val="00900B39"/>
    <w:rsid w:val="00901EDB"/>
    <w:rsid w:val="00940B03"/>
    <w:rsid w:val="0094480D"/>
    <w:rsid w:val="00952127"/>
    <w:rsid w:val="00956070"/>
    <w:rsid w:val="009560F3"/>
    <w:rsid w:val="00963B2C"/>
    <w:rsid w:val="00964580"/>
    <w:rsid w:val="0098309D"/>
    <w:rsid w:val="009971EB"/>
    <w:rsid w:val="009B37FC"/>
    <w:rsid w:val="009B6E80"/>
    <w:rsid w:val="009E1EA4"/>
    <w:rsid w:val="009E4627"/>
    <w:rsid w:val="009F3A9C"/>
    <w:rsid w:val="00A05013"/>
    <w:rsid w:val="00A13151"/>
    <w:rsid w:val="00A309E2"/>
    <w:rsid w:val="00A50B3E"/>
    <w:rsid w:val="00A60BF6"/>
    <w:rsid w:val="00A7487A"/>
    <w:rsid w:val="00A75EDD"/>
    <w:rsid w:val="00AB762D"/>
    <w:rsid w:val="00AC0B4D"/>
    <w:rsid w:val="00AC2C30"/>
    <w:rsid w:val="00AD6D25"/>
    <w:rsid w:val="00AE3D42"/>
    <w:rsid w:val="00AF3804"/>
    <w:rsid w:val="00B53DAF"/>
    <w:rsid w:val="00B77891"/>
    <w:rsid w:val="00B77B1E"/>
    <w:rsid w:val="00B92227"/>
    <w:rsid w:val="00B97E81"/>
    <w:rsid w:val="00BA0F97"/>
    <w:rsid w:val="00BC11F2"/>
    <w:rsid w:val="00BE3E95"/>
    <w:rsid w:val="00BF1285"/>
    <w:rsid w:val="00BF2594"/>
    <w:rsid w:val="00BF6EC8"/>
    <w:rsid w:val="00C0183A"/>
    <w:rsid w:val="00C13E94"/>
    <w:rsid w:val="00C25456"/>
    <w:rsid w:val="00C53569"/>
    <w:rsid w:val="00C54BFF"/>
    <w:rsid w:val="00C55B9D"/>
    <w:rsid w:val="00C70D41"/>
    <w:rsid w:val="00C80576"/>
    <w:rsid w:val="00C86AE0"/>
    <w:rsid w:val="00CC534E"/>
    <w:rsid w:val="00CD3E1D"/>
    <w:rsid w:val="00CF2833"/>
    <w:rsid w:val="00CF4211"/>
    <w:rsid w:val="00D07D45"/>
    <w:rsid w:val="00D224A3"/>
    <w:rsid w:val="00D34638"/>
    <w:rsid w:val="00D474CF"/>
    <w:rsid w:val="00D72075"/>
    <w:rsid w:val="00D92556"/>
    <w:rsid w:val="00DB110B"/>
    <w:rsid w:val="00DC3D26"/>
    <w:rsid w:val="00DD52F6"/>
    <w:rsid w:val="00DE456B"/>
    <w:rsid w:val="00DF3A33"/>
    <w:rsid w:val="00DF70BD"/>
    <w:rsid w:val="00E50C2C"/>
    <w:rsid w:val="00E547EF"/>
    <w:rsid w:val="00E65147"/>
    <w:rsid w:val="00E93132"/>
    <w:rsid w:val="00E945E3"/>
    <w:rsid w:val="00EC707C"/>
    <w:rsid w:val="00EE45BA"/>
    <w:rsid w:val="00EF73E7"/>
    <w:rsid w:val="00F04097"/>
    <w:rsid w:val="00F06B26"/>
    <w:rsid w:val="00F169E0"/>
    <w:rsid w:val="00F376E9"/>
    <w:rsid w:val="00F51779"/>
    <w:rsid w:val="00F52C5A"/>
    <w:rsid w:val="00F649FE"/>
    <w:rsid w:val="00F74D98"/>
    <w:rsid w:val="00F86E15"/>
    <w:rsid w:val="00F902CF"/>
    <w:rsid w:val="00FB1677"/>
    <w:rsid w:val="00FB3D0E"/>
    <w:rsid w:val="00FB6439"/>
    <w:rsid w:val="00FB65A4"/>
    <w:rsid w:val="00FC057C"/>
    <w:rsid w:val="00FC438D"/>
    <w:rsid w:val="00FD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F676"/>
  <w15:docId w15:val="{CECDAB77-E1EE-423B-9382-C34268D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AF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1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84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843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43"/>
    <w:rPr>
      <w:rFonts w:ascii="Times New Roman" w:eastAsia="Times New Roman" w:hAnsi="Times New Roman" w:cs="Times New Roman"/>
      <w:kern w:val="28"/>
      <w:sz w:val="18"/>
      <w:szCs w:val="18"/>
      <w:lang w:eastAsia="lv-LV"/>
    </w:rPr>
  </w:style>
  <w:style w:type="paragraph" w:styleId="ListParagraph">
    <w:name w:val="List Paragraph"/>
    <w:aliases w:val="Saistīto dokumentu saraksts,Strip,H&amp;P List Paragraph,Normal bullet 2,Bullet list,Colorful List - Accent 12,Syle 1,2,Saraksta rindkopa,Numurets,Colorful List - Accent 11,PPS_Bullet,Virsraksti,Table of contents numbered,Citation List,Dot pt"/>
    <w:basedOn w:val="Normal"/>
    <w:link w:val="ListParagraphChar"/>
    <w:uiPriority w:val="34"/>
    <w:qFormat/>
    <w:rsid w:val="00E547EF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A"/>
    <w:rPr>
      <w:rFonts w:ascii="Times New Roman" w:eastAsia="Times New Roman" w:hAnsi="Times New Roman" w:cs="Times New Roman"/>
      <w:b/>
      <w:bCs/>
      <w:kern w:val="28"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BF6EC8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customStyle="1" w:styleId="rynqvb">
    <w:name w:val="rynqvb"/>
    <w:basedOn w:val="DefaultParagraphFont"/>
    <w:rsid w:val="0064244A"/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Saraksta rindkopa Char,Numurets Char,Colorful List - Accent 11 Char"/>
    <w:link w:val="ListParagraph"/>
    <w:uiPriority w:val="34"/>
    <w:qFormat/>
    <w:locked/>
    <w:rsid w:val="00B53DAF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62F1-A54B-4C15-A126-22C1E7BA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Grantiņa-Ieviņa</dc:creator>
  <cp:keywords/>
  <dc:description/>
  <cp:lastModifiedBy>Kristīne Rūmniece-Pakule</cp:lastModifiedBy>
  <cp:revision>31</cp:revision>
  <cp:lastPrinted>2025-11-13T11:39:00Z</cp:lastPrinted>
  <dcterms:created xsi:type="dcterms:W3CDTF">2025-07-01T09:30:00Z</dcterms:created>
  <dcterms:modified xsi:type="dcterms:W3CDTF">2025-11-19T10:47:00Z</dcterms:modified>
</cp:coreProperties>
</file>