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81EE7" w:rsidP="002853E5" w14:paraId="1B2C4334" w14:textId="77777777">
      <w:pPr>
        <w:jc w:val="center"/>
        <w:rPr>
          <w:rFonts w:ascii="Times New Roman" w:hAnsi="Times New Roman" w:cs="Times New Roman"/>
          <w:sz w:val="24"/>
          <w:szCs w:val="24"/>
        </w:rPr>
      </w:pPr>
    </w:p>
    <w:p w:rsidR="004B5FB9" w:rsidP="002853E5" w14:paraId="1B2C4335" w14:textId="77777777">
      <w:pPr>
        <w:jc w:val="center"/>
        <w:rPr>
          <w:rFonts w:ascii="Times New Roman" w:hAnsi="Times New Roman" w:cs="Times New Roman"/>
          <w:sz w:val="24"/>
          <w:szCs w:val="24"/>
        </w:rPr>
      </w:pPr>
    </w:p>
    <w:p w:rsidR="00122FA1" w:rsidRPr="00F30C1C" w:rsidP="002853E5" w14:paraId="1B2C4336" w14:textId="77777777">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3402"/>
      </w:tblGrid>
      <w:tr w14:paraId="1B2C4339" w14:textId="77777777" w:rsidTr="004567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35" w:type="dxa"/>
          </w:tcPr>
          <w:p w:rsidR="00B12680" w:rsidRPr="00CD00D9" w:rsidP="00D413BB" w14:paraId="1B2C4337" w14:textId="7E14FAB3">
            <w:pPr>
              <w:rPr>
                <w:rFonts w:ascii="Times New Roman" w:hAnsi="Times New Roman" w:cs="Times New Roman"/>
                <w:sz w:val="24"/>
                <w:szCs w:val="24"/>
              </w:rPr>
            </w:pPr>
            <w:r>
              <w:rPr>
                <w:rFonts w:ascii="Times New Roman" w:hAnsi="Times New Roman" w:cs="Times New Roman"/>
                <w:sz w:val="24"/>
                <w:szCs w:val="24"/>
              </w:rPr>
              <w:t>22.05.2026.</w:t>
            </w:r>
          </w:p>
        </w:tc>
        <w:tc>
          <w:tcPr>
            <w:tcW w:w="3402" w:type="dxa"/>
          </w:tcPr>
          <w:p w:rsidR="00B12680" w:rsidRPr="00CD00D9" w:rsidP="0071701B" w14:paraId="1B2C4338" w14:textId="2F83576A">
            <w:pPr>
              <w:rPr>
                <w:rFonts w:ascii="Times New Roman" w:hAnsi="Times New Roman" w:cs="Times New Roman"/>
                <w:sz w:val="24"/>
                <w:szCs w:val="24"/>
              </w:rPr>
            </w:pPr>
            <w:r w:rsidRPr="00CD00D9">
              <w:rPr>
                <w:rFonts w:ascii="Times New Roman" w:hAnsi="Times New Roman" w:cs="Times New Roman"/>
                <w:sz w:val="24"/>
                <w:szCs w:val="24"/>
              </w:rPr>
              <w:t xml:space="preserve">Nr. </w:t>
            </w:r>
            <w:r w:rsidRPr="003F1098" w:rsidR="0071701B">
              <w:rPr>
                <w:rFonts w:ascii="Times New Roman" w:hAnsi="Times New Roman" w:cs="Times New Roman"/>
                <w:sz w:val="24"/>
                <w:szCs w:val="24"/>
              </w:rPr>
              <w:t>2.5/2026/2157</w:t>
            </w:r>
          </w:p>
        </w:tc>
      </w:tr>
      <w:tr w14:paraId="1B2C433C" w14:textId="77777777" w:rsidTr="00456702">
        <w:tblPrEx>
          <w:tblW w:w="0" w:type="auto"/>
          <w:tblLayout w:type="fixed"/>
          <w:tblLook w:val="04A0"/>
        </w:tblPrEx>
        <w:tc>
          <w:tcPr>
            <w:tcW w:w="2235" w:type="dxa"/>
          </w:tcPr>
          <w:p w:rsidR="00B12680" w:rsidRPr="00CD00D9" w:rsidP="00D413BB" w14:paraId="1B2C433A" w14:textId="77777777">
            <w:pPr>
              <w:rPr>
                <w:rFonts w:ascii="Times New Roman" w:hAnsi="Times New Roman" w:cs="Times New Roman"/>
                <w:sz w:val="24"/>
                <w:szCs w:val="24"/>
              </w:rPr>
            </w:pPr>
            <w:r w:rsidRPr="00CD00D9">
              <w:rPr>
                <w:rFonts w:ascii="Times New Roman" w:hAnsi="Times New Roman" w:cs="Times New Roman"/>
                <w:sz w:val="24"/>
                <w:szCs w:val="24"/>
              </w:rPr>
              <w:t>Uz 21.05.2026</w:t>
            </w:r>
          </w:p>
        </w:tc>
        <w:tc>
          <w:tcPr>
            <w:tcW w:w="3402" w:type="dxa"/>
          </w:tcPr>
          <w:p w:rsidR="00B12680" w:rsidRPr="00CD00D9" w:rsidP="00B12680" w14:paraId="1B2C433B" w14:textId="34B4637C">
            <w:pPr>
              <w:rPr>
                <w:rFonts w:ascii="Times New Roman" w:hAnsi="Times New Roman" w:cs="Times New Roman"/>
                <w:sz w:val="24"/>
                <w:szCs w:val="24"/>
              </w:rPr>
            </w:pPr>
            <w:r w:rsidRPr="00CD00D9">
              <w:rPr>
                <w:rFonts w:ascii="Times New Roman" w:hAnsi="Times New Roman" w:cs="Times New Roman"/>
                <w:sz w:val="24"/>
                <w:szCs w:val="24"/>
              </w:rPr>
              <w:t>Nr.</w:t>
            </w:r>
          </w:p>
        </w:tc>
      </w:tr>
    </w:tbl>
    <w:p w:rsidR="001419F0" w:rsidRPr="00661266" w:rsidP="001419F0" w14:paraId="1B2C433D" w14:textId="77777777">
      <w:pPr>
        <w:rPr>
          <w:rFonts w:ascii="Times New Roman" w:hAnsi="Times New Roman" w:cs="Times New Roman"/>
          <w:sz w:val="24"/>
          <w:szCs w:val="24"/>
        </w:rPr>
      </w:pPr>
      <w:r w:rsidRPr="00661266">
        <w:rPr>
          <w:rFonts w:ascii="Times New Roman" w:hAnsi="Times New Roman" w:cs="Times New Roman"/>
          <w:sz w:val="24"/>
          <w:szCs w:val="24"/>
        </w:rPr>
        <w:t xml:space="preserve"> </w:t>
      </w:r>
    </w:p>
    <w:tbl>
      <w:tblPr>
        <w:tblStyle w:val="TableGrid"/>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tblGrid>
      <w:tr w14:paraId="1B2C433F" w14:textId="77777777" w:rsidTr="000F7C06">
        <w:tblPrEx>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8" w:type="dxa"/>
          </w:tcPr>
          <w:p w:rsidR="00F56B80" w:rsidRPr="003B183A" w:rsidP="00F56B80" w14:paraId="08302DA1" w14:textId="77777777">
            <w:pPr>
              <w:jc w:val="right"/>
              <w:rPr>
                <w:rFonts w:ascii="Times New Roman" w:hAnsi="Times New Roman" w:cs="Times New Roman"/>
                <w:sz w:val="24"/>
                <w:szCs w:val="24"/>
              </w:rPr>
            </w:pPr>
            <w:r w:rsidRPr="003B183A">
              <w:rPr>
                <w:rFonts w:ascii="Times New Roman" w:hAnsi="Times New Roman" w:cs="Times New Roman"/>
                <w:sz w:val="24"/>
                <w:szCs w:val="24"/>
              </w:rPr>
              <w:t>Sarunu procedūras ID Nr. AST2025/93-ES kandidātiem/</w:t>
            </w:r>
          </w:p>
          <w:p w:rsidR="00F56B80" w:rsidRPr="003B183A" w:rsidP="00F56B80" w14:paraId="3B533F79" w14:textId="77777777">
            <w:pPr>
              <w:jc w:val="right"/>
              <w:rPr>
                <w:rFonts w:ascii="Times New Roman" w:hAnsi="Times New Roman" w:cs="Times New Roman"/>
                <w:sz w:val="24"/>
                <w:szCs w:val="24"/>
              </w:rPr>
            </w:pPr>
            <w:r w:rsidRPr="00257686">
              <w:rPr>
                <w:rFonts w:ascii="Times New Roman" w:hAnsi="Times New Roman" w:cs="Times New Roman"/>
                <w:sz w:val="24"/>
                <w:szCs w:val="24"/>
                <w:lang w:val="en-GB"/>
              </w:rPr>
              <w:t>To candidates of negotiated procedure ID No. AST2025/93-ES</w:t>
            </w:r>
            <w:r w:rsidRPr="003B183A">
              <w:rPr>
                <w:rFonts w:ascii="Times New Roman" w:hAnsi="Times New Roman" w:cs="Times New Roman"/>
                <w:sz w:val="24"/>
                <w:szCs w:val="24"/>
              </w:rPr>
              <w:t>:</w:t>
            </w:r>
          </w:p>
          <w:p w:rsidR="00F56B80" w:rsidRPr="003B183A" w:rsidP="00F56B80" w14:paraId="03B6D176" w14:textId="77777777">
            <w:pPr>
              <w:pStyle w:val="ListParagraph"/>
              <w:tabs>
                <w:tab w:val="left" w:pos="993"/>
              </w:tabs>
              <w:ind w:left="0"/>
              <w:contextualSpacing w:val="0"/>
              <w:jc w:val="right"/>
              <w:rPr>
                <w:rFonts w:ascii="Times New Roman" w:hAnsi="Times New Roman" w:cs="Times New Roman"/>
                <w:sz w:val="24"/>
                <w:szCs w:val="24"/>
              </w:rPr>
            </w:pPr>
            <w:r w:rsidRPr="003B183A">
              <w:rPr>
                <w:rFonts w:ascii="Times New Roman" w:hAnsi="Times New Roman" w:cs="Times New Roman"/>
                <w:sz w:val="24"/>
                <w:szCs w:val="24"/>
              </w:rPr>
              <w:t>SIA "Energokomplekss"</w:t>
            </w:r>
          </w:p>
          <w:p w:rsidR="00F56B80" w:rsidRPr="003B183A" w:rsidP="00F56B80" w14:paraId="178E60CE" w14:textId="77777777">
            <w:pPr>
              <w:tabs>
                <w:tab w:val="left" w:pos="993"/>
              </w:tabs>
              <w:jc w:val="right"/>
              <w:rPr>
                <w:rFonts w:ascii="Times New Roman" w:hAnsi="Times New Roman" w:cs="Times New Roman"/>
                <w:sz w:val="24"/>
                <w:szCs w:val="24"/>
              </w:rPr>
            </w:pPr>
            <w:r w:rsidRPr="003B183A">
              <w:rPr>
                <w:rFonts w:ascii="Times New Roman" w:hAnsi="Times New Roman" w:cs="Times New Roman"/>
                <w:sz w:val="24"/>
                <w:szCs w:val="24"/>
              </w:rPr>
              <w:t xml:space="preserve">Hitachi </w:t>
            </w:r>
            <w:r w:rsidRPr="003B183A">
              <w:rPr>
                <w:rFonts w:ascii="Times New Roman" w:hAnsi="Times New Roman" w:cs="Times New Roman"/>
                <w:sz w:val="24"/>
                <w:szCs w:val="24"/>
              </w:rPr>
              <w:t>Energy</w:t>
            </w:r>
            <w:r w:rsidRPr="003B183A">
              <w:rPr>
                <w:rFonts w:ascii="Times New Roman" w:hAnsi="Times New Roman" w:cs="Times New Roman"/>
                <w:sz w:val="24"/>
                <w:szCs w:val="24"/>
              </w:rPr>
              <w:t xml:space="preserve"> </w:t>
            </w:r>
            <w:r w:rsidRPr="003B183A">
              <w:rPr>
                <w:rFonts w:ascii="Times New Roman" w:hAnsi="Times New Roman" w:cs="Times New Roman"/>
                <w:sz w:val="24"/>
                <w:szCs w:val="24"/>
              </w:rPr>
              <w:t>Estonia</w:t>
            </w:r>
            <w:r w:rsidRPr="003B183A">
              <w:rPr>
                <w:rFonts w:ascii="Times New Roman" w:hAnsi="Times New Roman" w:cs="Times New Roman"/>
                <w:sz w:val="24"/>
                <w:szCs w:val="24"/>
              </w:rPr>
              <w:t xml:space="preserve"> AS</w:t>
            </w:r>
          </w:p>
          <w:p w:rsidR="001419F0" w:rsidRPr="00661266" w:rsidP="00F56B80" w14:paraId="1B2C433E" w14:textId="4C247682">
            <w:pPr>
              <w:jc w:val="right"/>
              <w:rPr>
                <w:rFonts w:ascii="Times New Roman" w:hAnsi="Times New Roman" w:cs="Times New Roman"/>
                <w:sz w:val="24"/>
                <w:szCs w:val="24"/>
              </w:rPr>
            </w:pPr>
            <w:r w:rsidRPr="003B183A">
              <w:rPr>
                <w:rFonts w:ascii="Times New Roman" w:hAnsi="Times New Roman" w:cs="Times New Roman"/>
                <w:sz w:val="24"/>
                <w:szCs w:val="24"/>
              </w:rPr>
              <w:t>SIA "</w:t>
            </w:r>
            <w:r w:rsidRPr="003B183A">
              <w:rPr>
                <w:rFonts w:ascii="Times New Roman" w:hAnsi="Times New Roman" w:cs="Times New Roman"/>
                <w:sz w:val="24"/>
                <w:szCs w:val="24"/>
              </w:rPr>
              <w:t>Lucidus</w:t>
            </w:r>
            <w:r w:rsidRPr="003B183A">
              <w:rPr>
                <w:rFonts w:ascii="Times New Roman" w:hAnsi="Times New Roman" w:cs="Times New Roman"/>
                <w:sz w:val="24"/>
                <w:szCs w:val="24"/>
              </w:rPr>
              <w:t>"</w:t>
            </w:r>
          </w:p>
        </w:tc>
      </w:tr>
    </w:tbl>
    <w:p w:rsidR="001419F0" w:rsidRPr="00661266" w:rsidP="00D413BB" w14:paraId="1B2C4340" w14:textId="77777777">
      <w:pPr>
        <w:rPr>
          <w:rFonts w:ascii="Times New Roman" w:hAnsi="Times New Roman" w:cs="Times New Roman"/>
          <w:sz w:val="24"/>
          <w:szCs w:val="24"/>
        </w:rPr>
      </w:pPr>
    </w:p>
    <w:p w:rsidR="00F56B80" w:rsidRPr="003B183A" w:rsidP="00F56B80" w14:paraId="77CB2BE6" w14:textId="77777777">
      <w:pPr>
        <w:spacing w:before="120" w:after="0" w:line="240" w:lineRule="auto"/>
        <w:jc w:val="both"/>
        <w:rPr>
          <w:rFonts w:ascii="Times New Roman" w:hAnsi="Times New Roman" w:cs="Times New Roman"/>
          <w:sz w:val="24"/>
          <w:szCs w:val="24"/>
        </w:rPr>
      </w:pPr>
      <w:r w:rsidRPr="003B183A">
        <w:rPr>
          <w:rFonts w:ascii="Times New Roman" w:hAnsi="Times New Roman" w:cs="Times New Roman"/>
          <w:sz w:val="24"/>
          <w:szCs w:val="24"/>
        </w:rPr>
        <w:t>Par informācijas sniegšanu sarunu procedūrā, publicējot dalības uzaicinājumu "Mobilo apakšstaciju piegāde" (ID Nr. AST2025/93-ES)</w:t>
      </w:r>
    </w:p>
    <w:p w:rsidR="00F56B80" w:rsidRPr="00257686" w:rsidP="00F56B80" w14:paraId="48601A94" w14:textId="77777777">
      <w:pPr>
        <w:spacing w:before="120" w:after="0" w:line="240" w:lineRule="auto"/>
        <w:jc w:val="both"/>
        <w:rPr>
          <w:rFonts w:ascii="Times New Roman" w:hAnsi="Times New Roman" w:cs="Times New Roman"/>
          <w:sz w:val="24"/>
          <w:szCs w:val="24"/>
          <w:lang w:val="en-GB"/>
        </w:rPr>
      </w:pPr>
      <w:r w:rsidRPr="003B183A">
        <w:rPr>
          <w:rFonts w:ascii="Times New Roman" w:hAnsi="Times New Roman" w:cs="Times New Roman"/>
          <w:sz w:val="24"/>
          <w:szCs w:val="24"/>
          <w:lang w:val="en-GB"/>
        </w:rPr>
        <w:t xml:space="preserve">On the provision of information in the </w:t>
      </w:r>
      <w:r w:rsidRPr="003B183A">
        <w:rPr>
          <w:rFonts w:ascii="Times New Roman" w:hAnsi="Times New Roman" w:cs="Times New Roman"/>
          <w:color w:val="000000"/>
          <w:sz w:val="24"/>
          <w:szCs w:val="24"/>
          <w:lang w:val="en-GB"/>
        </w:rPr>
        <w:t>negotiated procedure by publishing an invitation to participate</w:t>
      </w:r>
      <w:r w:rsidRPr="003B183A">
        <w:rPr>
          <w:rFonts w:ascii="Times New Roman" w:hAnsi="Times New Roman" w:cs="Times New Roman"/>
          <w:sz w:val="24"/>
          <w:szCs w:val="24"/>
          <w:lang w:val="en-GB"/>
        </w:rPr>
        <w:t xml:space="preserve"> "Supply of Mobile Substations" (ID No. AST2025/93-ES)</w:t>
      </w:r>
    </w:p>
    <w:p w:rsidR="00A61F84" w:rsidP="00A61F84" w14:paraId="49E7E095" w14:textId="77777777">
      <w:pPr>
        <w:autoSpaceDE w:val="0"/>
        <w:autoSpaceDN w:val="0"/>
        <w:adjustRightInd w:val="0"/>
        <w:spacing w:after="120" w:line="240" w:lineRule="auto"/>
        <w:jc w:val="both"/>
        <w:rPr>
          <w:rFonts w:ascii="Times New Roman" w:hAnsi="Times New Roman" w:cs="Times New Roman"/>
          <w:sz w:val="24"/>
          <w:szCs w:val="24"/>
        </w:rPr>
      </w:pPr>
    </w:p>
    <w:p w:rsidR="00F56B80" w:rsidRPr="003B183A" w:rsidP="00A61F84" w14:paraId="29E87BB4" w14:textId="1C3D5471">
      <w:pPr>
        <w:autoSpaceDE w:val="0"/>
        <w:autoSpaceDN w:val="0"/>
        <w:adjustRightInd w:val="0"/>
        <w:spacing w:after="120" w:line="240" w:lineRule="auto"/>
        <w:jc w:val="both"/>
        <w:rPr>
          <w:rFonts w:ascii="Times New Roman" w:hAnsi="Times New Roman" w:cs="Times New Roman"/>
          <w:color w:val="000000" w:themeColor="text1"/>
          <w:sz w:val="24"/>
          <w:szCs w:val="24"/>
        </w:rPr>
      </w:pPr>
      <w:r w:rsidRPr="003B183A">
        <w:rPr>
          <w:rFonts w:ascii="Times New Roman" w:hAnsi="Times New Roman" w:cs="Times New Roman"/>
          <w:sz w:val="24"/>
          <w:szCs w:val="24"/>
        </w:rPr>
        <w:t>Akciju sabiedrība "Augstsprieguma tīkls" (turpmāk – AST vai Pasūtītājs) organizē sarunu procedūru, publicējot dalības uzaicinājumu "</w:t>
      </w:r>
      <w:r w:rsidRPr="003B183A">
        <w:rPr>
          <w:rFonts w:ascii="Times New Roman" w:eastAsia="Times New Roman" w:hAnsi="Times New Roman" w:cs="Times New Roman"/>
          <w:color w:val="000000"/>
          <w:sz w:val="24"/>
          <w:szCs w:val="24"/>
          <w:lang w:eastAsia="lv-LV"/>
        </w:rPr>
        <w:t>Mobilo apakšstaciju piegāde</w:t>
      </w:r>
      <w:r w:rsidRPr="003B183A">
        <w:rPr>
          <w:rFonts w:ascii="Times New Roman" w:hAnsi="Times New Roman" w:cs="Times New Roman"/>
          <w:sz w:val="24"/>
          <w:szCs w:val="24"/>
        </w:rPr>
        <w:t xml:space="preserve">" (ID Nr. AST2025/93-ES) </w:t>
      </w:r>
      <w:r w:rsidRPr="003B183A">
        <w:rPr>
          <w:rFonts w:ascii="Times New Roman" w:hAnsi="Times New Roman" w:cs="Times New Roman"/>
          <w:color w:val="000000" w:themeColor="text1"/>
          <w:sz w:val="24"/>
          <w:szCs w:val="24"/>
        </w:rPr>
        <w:t>saskaņā ar Sabiedrisko pakalpojumu sniedzēju iepirkumu likuma</w:t>
      </w:r>
      <w:r w:rsidRPr="003B183A">
        <w:rPr>
          <w:rFonts w:ascii="Times New Roman" w:hAnsi="Times New Roman" w:cs="Times New Roman"/>
          <w:sz w:val="24"/>
          <w:szCs w:val="24"/>
        </w:rPr>
        <w:t xml:space="preserve"> 13. panta pirmās daļas 3</w:t>
      </w:r>
      <w:r w:rsidRPr="003B183A">
        <w:rPr>
          <w:rFonts w:ascii="Times New Roman" w:hAnsi="Times New Roman" w:cs="Times New Roman"/>
          <w:color w:val="000000" w:themeColor="text1"/>
          <w:sz w:val="24"/>
          <w:szCs w:val="24"/>
        </w:rPr>
        <w:t>. punktu, Ministru kabineta 28.03.2017. noteikumiem Nr. 187 "</w:t>
      </w:r>
      <w:r w:rsidRPr="003B183A">
        <w:rPr>
          <w:rFonts w:ascii="Times New Roman" w:hAnsi="Times New Roman" w:cs="Times New Roman"/>
          <w:sz w:val="24"/>
          <w:szCs w:val="24"/>
        </w:rPr>
        <w:t>Sabiedrisko pakalpojumu sniedzēju iepirkuma procedūru un metu konkursu norises kārtība</w:t>
      </w:r>
      <w:r w:rsidRPr="003B183A">
        <w:rPr>
          <w:rFonts w:ascii="Times New Roman" w:hAnsi="Times New Roman" w:cs="Times New Roman"/>
          <w:color w:val="000000" w:themeColor="text1"/>
          <w:sz w:val="24"/>
          <w:szCs w:val="24"/>
        </w:rPr>
        <w:t xml:space="preserve">" 2.3. apakšnodaļu un iepirkuma noteikumiem (turpmāk – </w:t>
      </w:r>
      <w:r w:rsidRPr="003B183A">
        <w:rPr>
          <w:rFonts w:ascii="Times New Roman" w:hAnsi="Times New Roman" w:cs="Times New Roman"/>
          <w:sz w:val="24"/>
          <w:szCs w:val="24"/>
        </w:rPr>
        <w:t>Nolikums</w:t>
      </w:r>
      <w:r w:rsidRPr="003B183A">
        <w:rPr>
          <w:rFonts w:ascii="Times New Roman" w:hAnsi="Times New Roman" w:cs="Times New Roman"/>
          <w:color w:val="000000" w:themeColor="text1"/>
          <w:sz w:val="24"/>
          <w:szCs w:val="24"/>
        </w:rPr>
        <w:t>).</w:t>
      </w:r>
    </w:p>
    <w:p w:rsidR="00A61F84" w:rsidP="00A61F84" w14:paraId="59B343CB" w14:textId="20D1D35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FD132D">
        <w:rPr>
          <w:rFonts w:ascii="Times New Roman" w:hAnsi="Times New Roman" w:cs="Times New Roman"/>
          <w:b/>
          <w:bCs/>
          <w:color w:val="000000" w:themeColor="text1"/>
          <w:sz w:val="24"/>
          <w:szCs w:val="24"/>
        </w:rPr>
        <w:t>Kandidāta jautājum</w:t>
      </w:r>
      <w:r w:rsidR="00FD132D">
        <w:rPr>
          <w:rFonts w:ascii="Times New Roman" w:hAnsi="Times New Roman" w:cs="Times New Roman"/>
          <w:b/>
          <w:bCs/>
          <w:color w:val="000000" w:themeColor="text1"/>
          <w:sz w:val="24"/>
          <w:szCs w:val="24"/>
        </w:rPr>
        <w:t>s</w:t>
      </w:r>
      <w:r w:rsidRPr="00FD132D">
        <w:rPr>
          <w:rFonts w:ascii="Times New Roman" w:hAnsi="Times New Roman" w:cs="Times New Roman"/>
          <w:b/>
          <w:bCs/>
          <w:color w:val="000000" w:themeColor="text1"/>
          <w:sz w:val="24"/>
          <w:szCs w:val="24"/>
        </w:rPr>
        <w:t xml:space="preserve"> 21.05.2026.:</w:t>
      </w:r>
    </w:p>
    <w:p w:rsidR="000F1EB2" w:rsidRPr="00FD132D" w:rsidP="00A61F84" w14:paraId="1B5CBC79"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Iepazīstoties </w:t>
      </w:r>
      <w:r w:rsidRPr="00FD132D">
        <w:rPr>
          <w:rFonts w:ascii="Times New Roman" w:eastAsia="Times New Roman" w:hAnsi="Times New Roman" w:cs="Times New Roman"/>
          <w:i/>
          <w:iCs/>
          <w:color w:val="000000"/>
          <w:sz w:val="24"/>
          <w:szCs w:val="24"/>
          <w:lang w:bidi="en-US"/>
        </w:rPr>
        <w:t xml:space="preserve">ar Sarunu </w:t>
      </w:r>
      <w:r w:rsidRPr="00FD132D">
        <w:rPr>
          <w:rFonts w:ascii="Times New Roman" w:eastAsia="Times New Roman" w:hAnsi="Times New Roman" w:cs="Times New Roman"/>
          <w:i/>
          <w:iCs/>
          <w:color w:val="000000"/>
          <w:sz w:val="24"/>
          <w:szCs w:val="24"/>
          <w:lang w:eastAsia="lv-LV" w:bidi="lv-LV"/>
        </w:rPr>
        <w:t xml:space="preserve">procedūras otrās kārtas </w:t>
      </w:r>
      <w:r w:rsidRPr="00FD132D">
        <w:rPr>
          <w:rFonts w:ascii="Times New Roman" w:eastAsia="Times New Roman" w:hAnsi="Times New Roman" w:cs="Times New Roman"/>
          <w:i/>
          <w:iCs/>
          <w:color w:val="000000"/>
          <w:sz w:val="24"/>
          <w:szCs w:val="24"/>
          <w:lang w:bidi="en-US"/>
        </w:rPr>
        <w:t xml:space="preserve">iepirkuma </w:t>
      </w:r>
      <w:r w:rsidRPr="00FD132D">
        <w:rPr>
          <w:rFonts w:ascii="Times New Roman" w:eastAsia="Times New Roman" w:hAnsi="Times New Roman" w:cs="Times New Roman"/>
          <w:i/>
          <w:iCs/>
          <w:color w:val="000000"/>
          <w:sz w:val="24"/>
          <w:szCs w:val="24"/>
          <w:lang w:eastAsia="lv-LV" w:bidi="lv-LV"/>
        </w:rPr>
        <w:t xml:space="preserve">dokumentāciju, pilnībā </w:t>
      </w:r>
      <w:r w:rsidRPr="00FD132D">
        <w:rPr>
          <w:rFonts w:ascii="Times New Roman" w:eastAsia="Times New Roman" w:hAnsi="Times New Roman" w:cs="Times New Roman"/>
          <w:i/>
          <w:iCs/>
          <w:color w:val="000000"/>
          <w:sz w:val="24"/>
          <w:szCs w:val="24"/>
          <w:lang w:bidi="en-US"/>
        </w:rPr>
        <w:t xml:space="preserve">izprotam </w:t>
      </w:r>
      <w:r w:rsidRPr="00FD132D">
        <w:rPr>
          <w:rFonts w:ascii="Times New Roman" w:eastAsia="Times New Roman" w:hAnsi="Times New Roman" w:cs="Times New Roman"/>
          <w:i/>
          <w:iCs/>
          <w:color w:val="000000"/>
          <w:sz w:val="24"/>
          <w:szCs w:val="24"/>
          <w:lang w:eastAsia="lv-LV" w:bidi="lv-LV"/>
        </w:rPr>
        <w:t xml:space="preserve">pasūtītāja vēlmi optimizēt loģistikas </w:t>
      </w:r>
      <w:r w:rsidRPr="00FD132D">
        <w:rPr>
          <w:rFonts w:ascii="Times New Roman" w:eastAsia="Times New Roman" w:hAnsi="Times New Roman" w:cs="Times New Roman"/>
          <w:i/>
          <w:iCs/>
          <w:color w:val="000000"/>
          <w:sz w:val="24"/>
          <w:szCs w:val="24"/>
          <w:lang w:bidi="en-US"/>
        </w:rPr>
        <w:t xml:space="preserve">procesus, </w:t>
      </w:r>
      <w:r w:rsidRPr="00FD132D">
        <w:rPr>
          <w:rFonts w:ascii="Times New Roman" w:eastAsia="Times New Roman" w:hAnsi="Times New Roman" w:cs="Times New Roman"/>
          <w:i/>
          <w:iCs/>
          <w:color w:val="000000"/>
          <w:sz w:val="24"/>
          <w:szCs w:val="24"/>
          <w:lang w:eastAsia="lv-LV" w:bidi="lv-LV"/>
        </w:rPr>
        <w:t xml:space="preserve">samazināt administratīvo </w:t>
      </w:r>
      <w:r w:rsidRPr="00FD132D">
        <w:rPr>
          <w:rFonts w:ascii="Times New Roman" w:eastAsia="Times New Roman" w:hAnsi="Times New Roman" w:cs="Times New Roman"/>
          <w:i/>
          <w:iCs/>
          <w:color w:val="000000"/>
          <w:sz w:val="24"/>
          <w:szCs w:val="24"/>
          <w:lang w:bidi="en-US"/>
        </w:rPr>
        <w:t xml:space="preserve">slogu un </w:t>
      </w:r>
      <w:r w:rsidRPr="00FD132D">
        <w:rPr>
          <w:rFonts w:ascii="Times New Roman" w:eastAsia="Times New Roman" w:hAnsi="Times New Roman" w:cs="Times New Roman"/>
          <w:i/>
          <w:iCs/>
          <w:color w:val="000000"/>
          <w:sz w:val="24"/>
          <w:szCs w:val="24"/>
          <w:lang w:eastAsia="lv-LV" w:bidi="lv-LV"/>
        </w:rPr>
        <w:t xml:space="preserve">nodrošināt </w:t>
      </w:r>
      <w:r w:rsidRPr="00FD132D">
        <w:rPr>
          <w:rFonts w:ascii="Times New Roman" w:eastAsia="Times New Roman" w:hAnsi="Times New Roman" w:cs="Times New Roman"/>
          <w:i/>
          <w:iCs/>
          <w:color w:val="000000"/>
          <w:sz w:val="24"/>
          <w:szCs w:val="24"/>
          <w:lang w:bidi="en-US"/>
        </w:rPr>
        <w:t xml:space="preserve">mobilo </w:t>
      </w:r>
      <w:r w:rsidRPr="00FD132D">
        <w:rPr>
          <w:rFonts w:ascii="Times New Roman" w:eastAsia="Times New Roman" w:hAnsi="Times New Roman" w:cs="Times New Roman"/>
          <w:i/>
          <w:iCs/>
          <w:color w:val="000000"/>
          <w:sz w:val="24"/>
          <w:szCs w:val="24"/>
          <w:lang w:eastAsia="lv-LV" w:bidi="lv-LV"/>
        </w:rPr>
        <w:t xml:space="preserve">apakšstaciju pārvietošanu </w:t>
      </w:r>
      <w:r w:rsidRPr="00FD132D">
        <w:rPr>
          <w:rFonts w:ascii="Times New Roman" w:eastAsia="Times New Roman" w:hAnsi="Times New Roman" w:cs="Times New Roman"/>
          <w:i/>
          <w:iCs/>
          <w:color w:val="000000"/>
          <w:sz w:val="24"/>
          <w:szCs w:val="24"/>
          <w:lang w:bidi="en-US"/>
        </w:rPr>
        <w:t xml:space="preserve">standarta darba </w:t>
      </w:r>
      <w:r w:rsidRPr="00FD132D">
        <w:rPr>
          <w:rFonts w:ascii="Times New Roman" w:eastAsia="Times New Roman" w:hAnsi="Times New Roman" w:cs="Times New Roman"/>
          <w:i/>
          <w:iCs/>
          <w:color w:val="000000"/>
          <w:sz w:val="24"/>
          <w:szCs w:val="24"/>
          <w:lang w:eastAsia="lv-LV" w:bidi="lv-LV"/>
        </w:rPr>
        <w:t xml:space="preserve">režīmā, pēc iespējas </w:t>
      </w:r>
      <w:r w:rsidRPr="00FD132D">
        <w:rPr>
          <w:rFonts w:ascii="Times New Roman" w:eastAsia="Times New Roman" w:hAnsi="Times New Roman" w:cs="Times New Roman"/>
          <w:i/>
          <w:iCs/>
          <w:color w:val="000000"/>
          <w:sz w:val="24"/>
          <w:szCs w:val="24"/>
          <w:lang w:bidi="en-US"/>
        </w:rPr>
        <w:t xml:space="preserve">izvairoties no </w:t>
      </w:r>
      <w:r w:rsidRPr="00FD132D">
        <w:rPr>
          <w:rFonts w:ascii="Times New Roman" w:eastAsia="Times New Roman" w:hAnsi="Times New Roman" w:cs="Times New Roman"/>
          <w:i/>
          <w:iCs/>
          <w:color w:val="000000"/>
          <w:sz w:val="24"/>
          <w:szCs w:val="24"/>
          <w:lang w:bidi="en-US"/>
        </w:rPr>
        <w:t>smagkravu</w:t>
      </w:r>
      <w:r w:rsidRPr="00FD132D">
        <w:rPr>
          <w:rFonts w:ascii="Times New Roman" w:eastAsia="Times New Roman" w:hAnsi="Times New Roman" w:cs="Times New Roman"/>
          <w:i/>
          <w:iCs/>
          <w:color w:val="000000"/>
          <w:sz w:val="24"/>
          <w:szCs w:val="24"/>
          <w:lang w:bidi="en-US"/>
        </w:rPr>
        <w:t xml:space="preserve"> </w:t>
      </w:r>
      <w:r w:rsidRPr="00FD132D">
        <w:rPr>
          <w:rFonts w:ascii="Times New Roman" w:eastAsia="Times New Roman" w:hAnsi="Times New Roman" w:cs="Times New Roman"/>
          <w:i/>
          <w:iCs/>
          <w:color w:val="000000"/>
          <w:sz w:val="24"/>
          <w:szCs w:val="24"/>
          <w:lang w:eastAsia="lv-LV" w:bidi="lv-LV"/>
        </w:rPr>
        <w:t xml:space="preserve">transportēšanas administratīvajiem </w:t>
      </w:r>
      <w:r w:rsidRPr="00FD132D">
        <w:rPr>
          <w:rFonts w:ascii="Times New Roman" w:eastAsia="Times New Roman" w:hAnsi="Times New Roman" w:cs="Times New Roman"/>
          <w:i/>
          <w:iCs/>
          <w:color w:val="000000"/>
          <w:sz w:val="24"/>
          <w:szCs w:val="24"/>
          <w:lang w:bidi="en-US"/>
        </w:rPr>
        <w:t xml:space="preserve">riskiem un </w:t>
      </w:r>
      <w:r w:rsidRPr="00FD132D">
        <w:rPr>
          <w:rFonts w:ascii="Times New Roman" w:eastAsia="Times New Roman" w:hAnsi="Times New Roman" w:cs="Times New Roman"/>
          <w:i/>
          <w:iCs/>
          <w:color w:val="000000"/>
          <w:sz w:val="24"/>
          <w:szCs w:val="24"/>
          <w:lang w:eastAsia="lv-LV" w:bidi="lv-LV"/>
        </w:rPr>
        <w:t xml:space="preserve">šo ņemot vērā </w:t>
      </w:r>
      <w:r w:rsidRPr="00FD132D">
        <w:rPr>
          <w:rFonts w:ascii="Times New Roman" w:eastAsia="Times New Roman" w:hAnsi="Times New Roman" w:cs="Times New Roman"/>
          <w:i/>
          <w:iCs/>
          <w:color w:val="000000"/>
          <w:sz w:val="24"/>
          <w:szCs w:val="24"/>
          <w:lang w:bidi="en-US"/>
        </w:rPr>
        <w:t xml:space="preserve">gatavojam </w:t>
      </w:r>
      <w:r w:rsidRPr="00FD132D">
        <w:rPr>
          <w:rFonts w:ascii="Times New Roman" w:eastAsia="Times New Roman" w:hAnsi="Times New Roman" w:cs="Times New Roman"/>
          <w:i/>
          <w:iCs/>
          <w:color w:val="000000"/>
          <w:sz w:val="24"/>
          <w:szCs w:val="24"/>
          <w:lang w:eastAsia="lv-LV" w:bidi="lv-LV"/>
        </w:rPr>
        <w:t xml:space="preserve">piedāvājumu jūsu izvirzītajām prasībām. </w:t>
      </w:r>
      <w:r w:rsidRPr="00FD132D">
        <w:rPr>
          <w:rFonts w:ascii="Times New Roman" w:eastAsia="Times New Roman" w:hAnsi="Times New Roman" w:cs="Times New Roman"/>
          <w:i/>
          <w:iCs/>
          <w:color w:val="000000"/>
          <w:sz w:val="24"/>
          <w:szCs w:val="24"/>
          <w:lang w:bidi="en-US"/>
        </w:rPr>
        <w:t xml:space="preserve">Vienlaikus, veicot </w:t>
      </w:r>
      <w:r w:rsidRPr="00FD132D">
        <w:rPr>
          <w:rFonts w:ascii="Times New Roman" w:eastAsia="Times New Roman" w:hAnsi="Times New Roman" w:cs="Times New Roman"/>
          <w:i/>
          <w:iCs/>
          <w:color w:val="000000"/>
          <w:sz w:val="24"/>
          <w:szCs w:val="24"/>
          <w:lang w:eastAsia="lv-LV" w:bidi="lv-LV"/>
        </w:rPr>
        <w:t xml:space="preserve">precīzus inženiertehniskos aprēķinus kopā </w:t>
      </w:r>
      <w:r w:rsidRPr="00FD132D">
        <w:rPr>
          <w:rFonts w:ascii="Times New Roman" w:eastAsia="Times New Roman" w:hAnsi="Times New Roman" w:cs="Times New Roman"/>
          <w:i/>
          <w:iCs/>
          <w:color w:val="000000"/>
          <w:sz w:val="24"/>
          <w:szCs w:val="24"/>
          <w:lang w:bidi="en-US"/>
        </w:rPr>
        <w:t xml:space="preserve">ar </w:t>
      </w:r>
      <w:r w:rsidRPr="00FD132D">
        <w:rPr>
          <w:rFonts w:ascii="Times New Roman" w:eastAsia="Times New Roman" w:hAnsi="Times New Roman" w:cs="Times New Roman"/>
          <w:i/>
          <w:iCs/>
          <w:color w:val="000000"/>
          <w:sz w:val="24"/>
          <w:szCs w:val="24"/>
          <w:lang w:eastAsia="lv-LV" w:bidi="lv-LV"/>
        </w:rPr>
        <w:t xml:space="preserve">apakšstaciju iekārtu ražotāju, </w:t>
      </w:r>
      <w:r w:rsidRPr="00FD132D">
        <w:rPr>
          <w:rFonts w:ascii="Times New Roman" w:eastAsia="Times New Roman" w:hAnsi="Times New Roman" w:cs="Times New Roman"/>
          <w:i/>
          <w:iCs/>
          <w:color w:val="000000"/>
          <w:sz w:val="24"/>
          <w:szCs w:val="24"/>
          <w:lang w:bidi="en-US"/>
        </w:rPr>
        <w:t xml:space="preserve">esam spiesti </w:t>
      </w:r>
      <w:r w:rsidRPr="00FD132D">
        <w:rPr>
          <w:rFonts w:ascii="Times New Roman" w:eastAsia="Times New Roman" w:hAnsi="Times New Roman" w:cs="Times New Roman"/>
          <w:i/>
          <w:iCs/>
          <w:color w:val="000000"/>
          <w:sz w:val="24"/>
          <w:szCs w:val="24"/>
          <w:lang w:eastAsia="lv-LV" w:bidi="lv-LV"/>
        </w:rPr>
        <w:t xml:space="preserve">vērst </w:t>
      </w:r>
      <w:r w:rsidRPr="00FD132D">
        <w:rPr>
          <w:rFonts w:ascii="Times New Roman" w:eastAsia="Times New Roman" w:hAnsi="Times New Roman" w:cs="Times New Roman"/>
          <w:i/>
          <w:iCs/>
          <w:color w:val="000000"/>
          <w:sz w:val="24"/>
          <w:szCs w:val="24"/>
          <w:lang w:bidi="en-US"/>
        </w:rPr>
        <w:t xml:space="preserve">iepirkuma komisijas </w:t>
      </w:r>
      <w:r w:rsidRPr="00FD132D">
        <w:rPr>
          <w:rFonts w:ascii="Times New Roman" w:eastAsia="Times New Roman" w:hAnsi="Times New Roman" w:cs="Times New Roman"/>
          <w:i/>
          <w:iCs/>
          <w:color w:val="000000"/>
          <w:sz w:val="24"/>
          <w:szCs w:val="24"/>
          <w:lang w:eastAsia="lv-LV" w:bidi="lv-LV"/>
        </w:rPr>
        <w:t xml:space="preserve">uzmanību </w:t>
      </w:r>
      <w:r w:rsidRPr="00FD132D">
        <w:rPr>
          <w:rFonts w:ascii="Times New Roman" w:eastAsia="Times New Roman" w:hAnsi="Times New Roman" w:cs="Times New Roman"/>
          <w:i/>
          <w:iCs/>
          <w:color w:val="000000"/>
          <w:sz w:val="24"/>
          <w:szCs w:val="24"/>
          <w:lang w:bidi="en-US"/>
        </w:rPr>
        <w:t xml:space="preserve">uz </w:t>
      </w:r>
      <w:r w:rsidRPr="00FD132D">
        <w:rPr>
          <w:rFonts w:ascii="Times New Roman" w:eastAsia="Times New Roman" w:hAnsi="Times New Roman" w:cs="Times New Roman"/>
          <w:i/>
          <w:iCs/>
          <w:color w:val="000000"/>
          <w:sz w:val="24"/>
          <w:szCs w:val="24"/>
          <w:lang w:eastAsia="lv-LV" w:bidi="lv-LV"/>
        </w:rPr>
        <w:t xml:space="preserve">objektīvu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nepārvaramu fizikālu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matemātisku </w:t>
      </w:r>
      <w:r w:rsidRPr="00FD132D">
        <w:rPr>
          <w:rFonts w:ascii="Times New Roman" w:eastAsia="Times New Roman" w:hAnsi="Times New Roman" w:cs="Times New Roman"/>
          <w:i/>
          <w:iCs/>
          <w:color w:val="000000"/>
          <w:sz w:val="24"/>
          <w:szCs w:val="24"/>
          <w:lang w:bidi="en-US"/>
        </w:rPr>
        <w:t xml:space="preserve">pretrunu, kas </w:t>
      </w:r>
      <w:r w:rsidRPr="00FD132D">
        <w:rPr>
          <w:rFonts w:ascii="Times New Roman" w:eastAsia="Times New Roman" w:hAnsi="Times New Roman" w:cs="Times New Roman"/>
          <w:i/>
          <w:iCs/>
          <w:color w:val="000000"/>
          <w:sz w:val="24"/>
          <w:szCs w:val="24"/>
          <w:lang w:eastAsia="lv-LV" w:bidi="lv-LV"/>
        </w:rPr>
        <w:t xml:space="preserve">iestrādāta tehniskajā specifikācijā </w:t>
      </w:r>
      <w:r w:rsidRPr="00FD132D">
        <w:rPr>
          <w:rFonts w:ascii="Times New Roman" w:eastAsia="Times New Roman" w:hAnsi="Times New Roman" w:cs="Times New Roman"/>
          <w:i/>
          <w:iCs/>
          <w:color w:val="000000"/>
          <w:sz w:val="24"/>
          <w:szCs w:val="24"/>
          <w:lang w:bidi="en-US"/>
        </w:rPr>
        <w:t>7.11.TS_Trailer_ENG (</w:t>
      </w:r>
      <w:r w:rsidRPr="00FD132D">
        <w:rPr>
          <w:rFonts w:ascii="Times New Roman" w:eastAsia="Times New Roman" w:hAnsi="Times New Roman" w:cs="Times New Roman"/>
          <w:i/>
          <w:iCs/>
          <w:color w:val="000000"/>
          <w:sz w:val="24"/>
          <w:szCs w:val="24"/>
          <w:lang w:bidi="en-US"/>
        </w:rPr>
        <w:t>Annex</w:t>
      </w:r>
      <w:r w:rsidRPr="00FD132D">
        <w:rPr>
          <w:rFonts w:ascii="Times New Roman" w:eastAsia="Times New Roman" w:hAnsi="Times New Roman" w:cs="Times New Roman"/>
          <w:i/>
          <w:iCs/>
          <w:color w:val="000000"/>
          <w:sz w:val="24"/>
          <w:szCs w:val="24"/>
          <w:lang w:bidi="en-US"/>
        </w:rPr>
        <w:t xml:space="preserve"> 7.11) </w:t>
      </w:r>
      <w:r w:rsidRPr="00FD132D">
        <w:rPr>
          <w:rFonts w:ascii="Times New Roman" w:eastAsia="Times New Roman" w:hAnsi="Times New Roman" w:cs="Times New Roman"/>
          <w:i/>
          <w:iCs/>
          <w:color w:val="000000"/>
          <w:sz w:val="24"/>
          <w:szCs w:val="24"/>
          <w:lang w:eastAsia="lv-LV" w:bidi="lv-LV"/>
        </w:rPr>
        <w:t xml:space="preserve">attiecībā </w:t>
      </w:r>
      <w:r w:rsidRPr="00FD132D">
        <w:rPr>
          <w:rFonts w:ascii="Times New Roman" w:eastAsia="Times New Roman" w:hAnsi="Times New Roman" w:cs="Times New Roman"/>
          <w:i/>
          <w:iCs/>
          <w:color w:val="000000"/>
          <w:sz w:val="24"/>
          <w:szCs w:val="24"/>
          <w:lang w:bidi="en-US"/>
        </w:rPr>
        <w:t xml:space="preserve">uz </w:t>
      </w:r>
      <w:r w:rsidRPr="00FD132D">
        <w:rPr>
          <w:rFonts w:ascii="Times New Roman" w:eastAsia="Times New Roman" w:hAnsi="Times New Roman" w:cs="Times New Roman"/>
          <w:i/>
          <w:iCs/>
          <w:color w:val="000000"/>
          <w:sz w:val="24"/>
          <w:szCs w:val="24"/>
          <w:lang w:eastAsia="lv-LV" w:bidi="lv-LV"/>
        </w:rPr>
        <w:t xml:space="preserve">prasību nodrošināt </w:t>
      </w:r>
      <w:r w:rsidRPr="00FD132D">
        <w:rPr>
          <w:rFonts w:ascii="Times New Roman" w:eastAsia="Times New Roman" w:hAnsi="Times New Roman" w:cs="Times New Roman"/>
          <w:i/>
          <w:iCs/>
          <w:color w:val="000000"/>
          <w:sz w:val="24"/>
          <w:szCs w:val="24"/>
          <w:lang w:bidi="en-US"/>
        </w:rPr>
        <w:t xml:space="preserve">25 MVA jaudas mobilo </w:t>
      </w:r>
      <w:r w:rsidRPr="00FD132D">
        <w:rPr>
          <w:rFonts w:ascii="Times New Roman" w:eastAsia="Times New Roman" w:hAnsi="Times New Roman" w:cs="Times New Roman"/>
          <w:i/>
          <w:iCs/>
          <w:color w:val="000000"/>
          <w:sz w:val="24"/>
          <w:szCs w:val="24"/>
          <w:lang w:eastAsia="lv-LV" w:bidi="lv-LV"/>
        </w:rPr>
        <w:t xml:space="preserve">apakšstaciju, </w:t>
      </w:r>
      <w:r w:rsidRPr="00FD132D">
        <w:rPr>
          <w:rFonts w:ascii="Times New Roman" w:eastAsia="Times New Roman" w:hAnsi="Times New Roman" w:cs="Times New Roman"/>
          <w:i/>
          <w:iCs/>
          <w:color w:val="000000"/>
          <w:sz w:val="24"/>
          <w:szCs w:val="24"/>
          <w:lang w:bidi="en-US"/>
        </w:rPr>
        <w:t xml:space="preserve">vienlaikus nosakot, ka </w:t>
      </w:r>
      <w:r w:rsidRPr="00FD132D">
        <w:rPr>
          <w:rFonts w:ascii="Times New Roman" w:eastAsia="Times New Roman" w:hAnsi="Times New Roman" w:cs="Times New Roman"/>
          <w:i/>
          <w:iCs/>
          <w:color w:val="000000"/>
          <w:sz w:val="24"/>
          <w:szCs w:val="24"/>
          <w:lang w:eastAsia="lv-LV" w:bidi="lv-LV"/>
        </w:rPr>
        <w:t xml:space="preserve">transportlīdzekļa sastāva kopējā pilnā </w:t>
      </w:r>
      <w:r w:rsidRPr="00FD132D">
        <w:rPr>
          <w:rFonts w:ascii="Times New Roman" w:eastAsia="Times New Roman" w:hAnsi="Times New Roman" w:cs="Times New Roman"/>
          <w:i/>
          <w:iCs/>
          <w:color w:val="000000"/>
          <w:sz w:val="24"/>
          <w:szCs w:val="24"/>
          <w:lang w:bidi="en-US"/>
        </w:rPr>
        <w:t xml:space="preserve">masa ar </w:t>
      </w:r>
      <w:r w:rsidRPr="00FD132D">
        <w:rPr>
          <w:rFonts w:ascii="Times New Roman" w:eastAsia="Times New Roman" w:hAnsi="Times New Roman" w:cs="Times New Roman"/>
          <w:i/>
          <w:iCs/>
          <w:color w:val="000000"/>
          <w:sz w:val="24"/>
          <w:szCs w:val="24"/>
          <w:lang w:eastAsia="lv-LV" w:bidi="lv-LV"/>
        </w:rPr>
        <w:t xml:space="preserve">vilcēju nedrīkst pārsniegt </w:t>
      </w:r>
      <w:r w:rsidRPr="00FD132D">
        <w:rPr>
          <w:rFonts w:ascii="Times New Roman" w:eastAsia="Times New Roman" w:hAnsi="Times New Roman" w:cs="Times New Roman"/>
          <w:i/>
          <w:iCs/>
          <w:color w:val="000000"/>
          <w:sz w:val="24"/>
          <w:szCs w:val="24"/>
          <w:lang w:bidi="en-US"/>
        </w:rPr>
        <w:t>100 000 kg.</w:t>
      </w:r>
    </w:p>
    <w:p w:rsidR="000F1EB2" w:rsidRPr="00FD132D" w:rsidP="00A61F84" w14:paraId="4FB72E52"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Vēlamies </w:t>
      </w:r>
      <w:r w:rsidRPr="00FD132D">
        <w:rPr>
          <w:rFonts w:ascii="Times New Roman" w:eastAsia="Times New Roman" w:hAnsi="Times New Roman" w:cs="Times New Roman"/>
          <w:i/>
          <w:iCs/>
          <w:color w:val="000000"/>
          <w:sz w:val="24"/>
          <w:szCs w:val="24"/>
          <w:lang w:bidi="en-US"/>
        </w:rPr>
        <w:t xml:space="preserve">sniegt </w:t>
      </w:r>
      <w:r w:rsidRPr="00FD132D">
        <w:rPr>
          <w:rFonts w:ascii="Times New Roman" w:eastAsia="Times New Roman" w:hAnsi="Times New Roman" w:cs="Times New Roman"/>
          <w:i/>
          <w:iCs/>
          <w:color w:val="000000"/>
          <w:sz w:val="24"/>
          <w:szCs w:val="24"/>
          <w:lang w:eastAsia="lv-LV" w:bidi="lv-LV"/>
        </w:rPr>
        <w:t xml:space="preserve">argumentētu </w:t>
      </w:r>
      <w:r w:rsidRPr="00FD132D">
        <w:rPr>
          <w:rFonts w:ascii="Times New Roman" w:eastAsia="Times New Roman" w:hAnsi="Times New Roman" w:cs="Times New Roman"/>
          <w:i/>
          <w:iCs/>
          <w:color w:val="000000"/>
          <w:sz w:val="24"/>
          <w:szCs w:val="24"/>
          <w:lang w:bidi="en-US"/>
        </w:rPr>
        <w:t xml:space="preserve">un uz </w:t>
      </w:r>
      <w:r w:rsidRPr="00FD132D">
        <w:rPr>
          <w:rFonts w:ascii="Times New Roman" w:eastAsia="Times New Roman" w:hAnsi="Times New Roman" w:cs="Times New Roman"/>
          <w:i/>
          <w:iCs/>
          <w:color w:val="000000"/>
          <w:sz w:val="24"/>
          <w:szCs w:val="24"/>
          <w:lang w:eastAsia="lv-LV" w:bidi="lv-LV"/>
        </w:rPr>
        <w:t xml:space="preserve">ražotāja </w:t>
      </w:r>
      <w:r w:rsidRPr="00FD132D">
        <w:rPr>
          <w:rFonts w:ascii="Times New Roman" w:eastAsia="Times New Roman" w:hAnsi="Times New Roman" w:cs="Times New Roman"/>
          <w:i/>
          <w:iCs/>
          <w:color w:val="000000"/>
          <w:sz w:val="24"/>
          <w:szCs w:val="24"/>
          <w:lang w:bidi="en-US"/>
        </w:rPr>
        <w:t xml:space="preserve">datiem </w:t>
      </w:r>
      <w:r w:rsidRPr="00FD132D">
        <w:rPr>
          <w:rFonts w:ascii="Times New Roman" w:eastAsia="Times New Roman" w:hAnsi="Times New Roman" w:cs="Times New Roman"/>
          <w:i/>
          <w:iCs/>
          <w:color w:val="000000"/>
          <w:sz w:val="24"/>
          <w:szCs w:val="24"/>
          <w:lang w:eastAsia="lv-LV" w:bidi="lv-LV"/>
        </w:rPr>
        <w:t xml:space="preserve">balstītu </w:t>
      </w:r>
      <w:r w:rsidRPr="00FD132D">
        <w:rPr>
          <w:rFonts w:ascii="Times New Roman" w:eastAsia="Times New Roman" w:hAnsi="Times New Roman" w:cs="Times New Roman"/>
          <w:i/>
          <w:iCs/>
          <w:color w:val="000000"/>
          <w:sz w:val="24"/>
          <w:szCs w:val="24"/>
          <w:lang w:bidi="en-US"/>
        </w:rPr>
        <w:t xml:space="preserve">tehnisko pamatojumu, </w:t>
      </w:r>
      <w:r w:rsidRPr="00FD132D">
        <w:rPr>
          <w:rFonts w:ascii="Times New Roman" w:eastAsia="Times New Roman" w:hAnsi="Times New Roman" w:cs="Times New Roman"/>
          <w:i/>
          <w:iCs/>
          <w:color w:val="000000"/>
          <w:sz w:val="24"/>
          <w:szCs w:val="24"/>
          <w:lang w:eastAsia="lv-LV" w:bidi="lv-LV"/>
        </w:rPr>
        <w:t xml:space="preserve">kāpēc šādu kombināciju </w:t>
      </w:r>
      <w:r w:rsidRPr="00FD132D">
        <w:rPr>
          <w:rFonts w:ascii="Times New Roman" w:eastAsia="Times New Roman" w:hAnsi="Times New Roman" w:cs="Times New Roman"/>
          <w:i/>
          <w:iCs/>
          <w:color w:val="000000"/>
          <w:sz w:val="24"/>
          <w:szCs w:val="24"/>
          <w:lang w:bidi="en-US"/>
        </w:rPr>
        <w:t xml:space="preserve">nav </w:t>
      </w:r>
      <w:r w:rsidRPr="00FD132D">
        <w:rPr>
          <w:rFonts w:ascii="Times New Roman" w:eastAsia="Times New Roman" w:hAnsi="Times New Roman" w:cs="Times New Roman"/>
          <w:i/>
          <w:iCs/>
          <w:color w:val="000000"/>
          <w:sz w:val="24"/>
          <w:szCs w:val="24"/>
          <w:lang w:eastAsia="lv-LV" w:bidi="lv-LV"/>
        </w:rPr>
        <w:t xml:space="preserve">iespējams </w:t>
      </w:r>
      <w:r w:rsidRPr="00FD132D">
        <w:rPr>
          <w:rFonts w:ascii="Times New Roman" w:eastAsia="Times New Roman" w:hAnsi="Times New Roman" w:cs="Times New Roman"/>
          <w:i/>
          <w:iCs/>
          <w:color w:val="000000"/>
          <w:sz w:val="24"/>
          <w:szCs w:val="24"/>
          <w:lang w:bidi="en-US"/>
        </w:rPr>
        <w:t xml:space="preserve">fiziski </w:t>
      </w:r>
      <w:r w:rsidRPr="00FD132D">
        <w:rPr>
          <w:rFonts w:ascii="Times New Roman" w:eastAsia="Times New Roman" w:hAnsi="Times New Roman" w:cs="Times New Roman"/>
          <w:i/>
          <w:iCs/>
          <w:color w:val="000000"/>
          <w:sz w:val="24"/>
          <w:szCs w:val="24"/>
          <w:lang w:eastAsia="lv-LV" w:bidi="lv-LV"/>
        </w:rPr>
        <w:t>izpildīt:</w:t>
      </w:r>
    </w:p>
    <w:p w:rsidR="000F1EB2" w:rsidRPr="00FD132D" w:rsidP="00A61F84" w14:paraId="4178DAC1" w14:textId="77777777">
      <w:pPr>
        <w:widowControl w:val="0"/>
        <w:numPr>
          <w:ilvl w:val="0"/>
          <w:numId w:val="1"/>
        </w:numPr>
        <w:tabs>
          <w:tab w:val="left" w:pos="375"/>
        </w:tabs>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Tehniskajā specifikācijā pieprasītā elektriskā </w:t>
      </w:r>
      <w:r w:rsidRPr="00FD132D">
        <w:rPr>
          <w:rFonts w:ascii="Times New Roman" w:eastAsia="Times New Roman" w:hAnsi="Times New Roman" w:cs="Times New Roman"/>
          <w:i/>
          <w:iCs/>
          <w:color w:val="000000"/>
          <w:sz w:val="24"/>
          <w:szCs w:val="24"/>
          <w:lang w:bidi="en-US"/>
        </w:rPr>
        <w:t xml:space="preserve">jauda 25 MVA jaudas transformators </w:t>
      </w:r>
      <w:r w:rsidRPr="00FD132D">
        <w:rPr>
          <w:rFonts w:ascii="Times New Roman" w:eastAsia="Times New Roman" w:hAnsi="Times New Roman" w:cs="Times New Roman"/>
          <w:i/>
          <w:iCs/>
          <w:color w:val="000000"/>
          <w:sz w:val="24"/>
          <w:szCs w:val="24"/>
          <w:lang w:eastAsia="lv-LV" w:bidi="lv-LV"/>
        </w:rPr>
        <w:t xml:space="preserve">komplektā </w:t>
      </w:r>
      <w:r w:rsidRPr="00FD132D">
        <w:rPr>
          <w:rFonts w:ascii="Times New Roman" w:eastAsia="Times New Roman" w:hAnsi="Times New Roman" w:cs="Times New Roman"/>
          <w:i/>
          <w:iCs/>
          <w:color w:val="000000"/>
          <w:sz w:val="24"/>
          <w:szCs w:val="24"/>
          <w:lang w:bidi="en-US"/>
        </w:rPr>
        <w:t xml:space="preserve">ar </w:t>
      </w:r>
      <w:r w:rsidRPr="00FD132D">
        <w:rPr>
          <w:rFonts w:ascii="Times New Roman" w:eastAsia="Times New Roman" w:hAnsi="Times New Roman" w:cs="Times New Roman"/>
          <w:i/>
          <w:iCs/>
          <w:color w:val="000000"/>
          <w:sz w:val="24"/>
          <w:szCs w:val="24"/>
          <w:lang w:eastAsia="lv-LV" w:bidi="lv-LV"/>
        </w:rPr>
        <w:t xml:space="preserve">vadības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komutācijas </w:t>
      </w:r>
      <w:r w:rsidRPr="00FD132D">
        <w:rPr>
          <w:rFonts w:ascii="Times New Roman" w:eastAsia="Times New Roman" w:hAnsi="Times New Roman" w:cs="Times New Roman"/>
          <w:i/>
          <w:iCs/>
          <w:color w:val="000000"/>
          <w:sz w:val="24"/>
          <w:szCs w:val="24"/>
          <w:lang w:bidi="en-US"/>
        </w:rPr>
        <w:t xml:space="preserve">moduli nosaka </w:t>
      </w:r>
      <w:r w:rsidRPr="00FD132D">
        <w:rPr>
          <w:rFonts w:ascii="Times New Roman" w:eastAsia="Times New Roman" w:hAnsi="Times New Roman" w:cs="Times New Roman"/>
          <w:i/>
          <w:iCs/>
          <w:color w:val="000000"/>
          <w:sz w:val="24"/>
          <w:szCs w:val="24"/>
          <w:lang w:eastAsia="lv-LV" w:bidi="lv-LV"/>
        </w:rPr>
        <w:t xml:space="preserve">minimālo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nesamazināmo </w:t>
      </w:r>
      <w:r w:rsidRPr="00FD132D">
        <w:rPr>
          <w:rFonts w:ascii="Times New Roman" w:eastAsia="Times New Roman" w:hAnsi="Times New Roman" w:cs="Times New Roman"/>
          <w:i/>
          <w:iCs/>
          <w:color w:val="000000"/>
          <w:sz w:val="24"/>
          <w:szCs w:val="24"/>
          <w:lang w:bidi="en-US"/>
        </w:rPr>
        <w:t xml:space="preserve">komponentu masu. </w:t>
      </w:r>
      <w:r w:rsidRPr="00FD132D">
        <w:rPr>
          <w:rFonts w:ascii="Times New Roman" w:eastAsia="Times New Roman" w:hAnsi="Times New Roman" w:cs="Times New Roman"/>
          <w:i/>
          <w:iCs/>
          <w:color w:val="000000"/>
          <w:sz w:val="24"/>
          <w:szCs w:val="24"/>
          <w:lang w:eastAsia="lv-LV" w:bidi="lv-LV"/>
        </w:rPr>
        <w:t xml:space="preserve">Šādas </w:t>
      </w:r>
      <w:r w:rsidRPr="00FD132D">
        <w:rPr>
          <w:rFonts w:ascii="Times New Roman" w:eastAsia="Times New Roman" w:hAnsi="Times New Roman" w:cs="Times New Roman"/>
          <w:i/>
          <w:iCs/>
          <w:color w:val="000000"/>
          <w:sz w:val="24"/>
          <w:szCs w:val="24"/>
          <w:lang w:bidi="en-US"/>
        </w:rPr>
        <w:t xml:space="preserve">jaudas transformatora </w:t>
      </w:r>
      <w:r w:rsidRPr="00FD132D">
        <w:rPr>
          <w:rFonts w:ascii="Times New Roman" w:eastAsia="Times New Roman" w:hAnsi="Times New Roman" w:cs="Times New Roman"/>
          <w:i/>
          <w:iCs/>
          <w:color w:val="000000"/>
          <w:sz w:val="24"/>
          <w:szCs w:val="24"/>
          <w:lang w:eastAsia="lv-LV" w:bidi="lv-LV"/>
        </w:rPr>
        <w:t xml:space="preserve">aktīvā magnētiskā </w:t>
      </w:r>
      <w:r w:rsidRPr="00FD132D">
        <w:rPr>
          <w:rFonts w:ascii="Times New Roman" w:eastAsia="Times New Roman" w:hAnsi="Times New Roman" w:cs="Times New Roman"/>
          <w:i/>
          <w:iCs/>
          <w:color w:val="000000"/>
          <w:sz w:val="24"/>
          <w:szCs w:val="24"/>
          <w:lang w:bidi="en-US"/>
        </w:rPr>
        <w:t xml:space="preserve">serde, tinumi, tvertne un </w:t>
      </w:r>
      <w:r w:rsidRPr="00FD132D">
        <w:rPr>
          <w:rFonts w:ascii="Times New Roman" w:eastAsia="Times New Roman" w:hAnsi="Times New Roman" w:cs="Times New Roman"/>
          <w:i/>
          <w:iCs/>
          <w:color w:val="000000"/>
          <w:sz w:val="24"/>
          <w:szCs w:val="24"/>
          <w:lang w:eastAsia="lv-LV" w:bidi="lv-LV"/>
        </w:rPr>
        <w:t>palīgsistēmas</w:t>
      </w:r>
      <w:r w:rsidRPr="00FD132D">
        <w:rPr>
          <w:rFonts w:ascii="Times New Roman" w:eastAsia="Times New Roman" w:hAnsi="Times New Roman" w:cs="Times New Roman"/>
          <w:i/>
          <w:iCs/>
          <w:color w:val="000000"/>
          <w:sz w:val="24"/>
          <w:szCs w:val="24"/>
          <w:lang w:eastAsia="lv-LV" w:bidi="lv-LV"/>
        </w:rPr>
        <w:t xml:space="preserve"> </w:t>
      </w:r>
      <w:r w:rsidRPr="00FD132D">
        <w:rPr>
          <w:rFonts w:ascii="Times New Roman" w:eastAsia="Times New Roman" w:hAnsi="Times New Roman" w:cs="Times New Roman"/>
          <w:i/>
          <w:iCs/>
          <w:color w:val="000000"/>
          <w:sz w:val="24"/>
          <w:szCs w:val="24"/>
          <w:lang w:bidi="en-US"/>
        </w:rPr>
        <w:t xml:space="preserve">veido </w:t>
      </w:r>
      <w:r w:rsidRPr="00FD132D">
        <w:rPr>
          <w:rFonts w:ascii="Times New Roman" w:eastAsia="Times New Roman" w:hAnsi="Times New Roman" w:cs="Times New Roman"/>
          <w:i/>
          <w:iCs/>
          <w:color w:val="000000"/>
          <w:sz w:val="24"/>
          <w:szCs w:val="24"/>
          <w:lang w:eastAsia="lv-LV" w:bidi="lv-LV"/>
        </w:rPr>
        <w:t xml:space="preserve">apjomīgu </w:t>
      </w:r>
      <w:r w:rsidRPr="00FD132D">
        <w:rPr>
          <w:rFonts w:ascii="Times New Roman" w:eastAsia="Times New Roman" w:hAnsi="Times New Roman" w:cs="Times New Roman"/>
          <w:i/>
          <w:iCs/>
          <w:color w:val="000000"/>
          <w:sz w:val="24"/>
          <w:szCs w:val="24"/>
          <w:lang w:bidi="en-US"/>
        </w:rPr>
        <w:t xml:space="preserve">fizisku konstrukciju. Pat </w:t>
      </w:r>
      <w:r w:rsidRPr="00FD132D">
        <w:rPr>
          <w:rFonts w:ascii="Times New Roman" w:eastAsia="Times New Roman" w:hAnsi="Times New Roman" w:cs="Times New Roman"/>
          <w:i/>
          <w:iCs/>
          <w:color w:val="000000"/>
          <w:sz w:val="24"/>
          <w:szCs w:val="24"/>
          <w:lang w:eastAsia="lv-LV" w:bidi="lv-LV"/>
        </w:rPr>
        <w:t xml:space="preserve">pilnībā </w:t>
      </w:r>
      <w:r w:rsidRPr="00FD132D">
        <w:rPr>
          <w:rFonts w:ascii="Times New Roman" w:eastAsia="Times New Roman" w:hAnsi="Times New Roman" w:cs="Times New Roman"/>
          <w:i/>
          <w:iCs/>
          <w:color w:val="000000"/>
          <w:sz w:val="24"/>
          <w:szCs w:val="24"/>
          <w:lang w:bidi="en-US"/>
        </w:rPr>
        <w:t xml:space="preserve">izlejot </w:t>
      </w:r>
      <w:r w:rsidRPr="00FD132D">
        <w:rPr>
          <w:rFonts w:ascii="Times New Roman" w:eastAsia="Times New Roman" w:hAnsi="Times New Roman" w:cs="Times New Roman"/>
          <w:i/>
          <w:iCs/>
          <w:color w:val="000000"/>
          <w:sz w:val="24"/>
          <w:szCs w:val="24"/>
          <w:lang w:eastAsia="lv-LV" w:bidi="lv-LV"/>
        </w:rPr>
        <w:t xml:space="preserve">izolācijas eļļu transportēšanas laikā </w:t>
      </w:r>
      <w:r w:rsidRPr="00FD132D">
        <w:rPr>
          <w:rFonts w:ascii="Times New Roman" w:eastAsia="Times New Roman" w:hAnsi="Times New Roman" w:cs="Times New Roman"/>
          <w:i/>
          <w:iCs/>
          <w:color w:val="000000"/>
          <w:sz w:val="24"/>
          <w:szCs w:val="24"/>
          <w:lang w:bidi="en-US"/>
        </w:rPr>
        <w:t xml:space="preserve">lai </w:t>
      </w:r>
      <w:r w:rsidRPr="00FD132D">
        <w:rPr>
          <w:rFonts w:ascii="Times New Roman" w:eastAsia="Times New Roman" w:hAnsi="Times New Roman" w:cs="Times New Roman"/>
          <w:i/>
          <w:iCs/>
          <w:color w:val="000000"/>
          <w:sz w:val="24"/>
          <w:szCs w:val="24"/>
          <w:lang w:eastAsia="lv-LV" w:bidi="lv-LV"/>
        </w:rPr>
        <w:t xml:space="preserve">nodrošinātu maksimālu drošību </w:t>
      </w:r>
      <w:r w:rsidRPr="00FD132D">
        <w:rPr>
          <w:rFonts w:ascii="Times New Roman" w:eastAsia="Times New Roman" w:hAnsi="Times New Roman" w:cs="Times New Roman"/>
          <w:i/>
          <w:iCs/>
          <w:color w:val="000000"/>
          <w:sz w:val="24"/>
          <w:szCs w:val="24"/>
          <w:lang w:bidi="en-US"/>
        </w:rPr>
        <w:t xml:space="preserve">un svara </w:t>
      </w:r>
      <w:r w:rsidRPr="00FD132D">
        <w:rPr>
          <w:rFonts w:ascii="Times New Roman" w:eastAsia="Times New Roman" w:hAnsi="Times New Roman" w:cs="Times New Roman"/>
          <w:i/>
          <w:iCs/>
          <w:color w:val="000000"/>
          <w:sz w:val="24"/>
          <w:szCs w:val="24"/>
          <w:lang w:eastAsia="lv-LV" w:bidi="lv-LV"/>
        </w:rPr>
        <w:t xml:space="preserve">samazināšanu, šī moduļa kopējais </w:t>
      </w:r>
      <w:r w:rsidRPr="00FD132D">
        <w:rPr>
          <w:rFonts w:ascii="Times New Roman" w:eastAsia="Times New Roman" w:hAnsi="Times New Roman" w:cs="Times New Roman"/>
          <w:i/>
          <w:iCs/>
          <w:color w:val="000000"/>
          <w:sz w:val="24"/>
          <w:szCs w:val="24"/>
          <w:lang w:bidi="en-US"/>
        </w:rPr>
        <w:t xml:space="preserve">svars sasniedz 78,5 </w:t>
      </w:r>
      <w:r w:rsidRPr="00FD132D">
        <w:rPr>
          <w:rFonts w:ascii="Times New Roman" w:eastAsia="Times New Roman" w:hAnsi="Times New Roman" w:cs="Times New Roman"/>
          <w:i/>
          <w:iCs/>
          <w:color w:val="000000"/>
          <w:sz w:val="24"/>
          <w:szCs w:val="24"/>
          <w:lang w:bidi="en-US"/>
        </w:rPr>
        <w:t xml:space="preserve">tonnas. </w:t>
      </w:r>
      <w:r w:rsidRPr="00FD132D">
        <w:rPr>
          <w:rFonts w:ascii="Times New Roman" w:eastAsia="Times New Roman" w:hAnsi="Times New Roman" w:cs="Times New Roman"/>
          <w:i/>
          <w:iCs/>
          <w:color w:val="000000"/>
          <w:sz w:val="24"/>
          <w:szCs w:val="24"/>
          <w:lang w:eastAsia="lv-LV" w:bidi="lv-LV"/>
        </w:rPr>
        <w:t xml:space="preserve">Šo </w:t>
      </w:r>
      <w:r w:rsidRPr="00FD132D">
        <w:rPr>
          <w:rFonts w:ascii="Times New Roman" w:eastAsia="Times New Roman" w:hAnsi="Times New Roman" w:cs="Times New Roman"/>
          <w:i/>
          <w:iCs/>
          <w:color w:val="000000"/>
          <w:sz w:val="24"/>
          <w:szCs w:val="24"/>
          <w:lang w:bidi="en-US"/>
        </w:rPr>
        <w:t xml:space="preserve">svaru nav </w:t>
      </w:r>
      <w:r w:rsidRPr="00FD132D">
        <w:rPr>
          <w:rFonts w:ascii="Times New Roman" w:eastAsia="Times New Roman" w:hAnsi="Times New Roman" w:cs="Times New Roman"/>
          <w:i/>
          <w:iCs/>
          <w:color w:val="000000"/>
          <w:sz w:val="24"/>
          <w:szCs w:val="24"/>
          <w:lang w:eastAsia="lv-LV" w:bidi="lv-LV"/>
        </w:rPr>
        <w:t xml:space="preserve">iespējams </w:t>
      </w:r>
      <w:r w:rsidRPr="00FD132D">
        <w:rPr>
          <w:rFonts w:ascii="Times New Roman" w:eastAsia="Times New Roman" w:hAnsi="Times New Roman" w:cs="Times New Roman"/>
          <w:i/>
          <w:iCs/>
          <w:color w:val="000000"/>
          <w:sz w:val="24"/>
          <w:szCs w:val="24"/>
          <w:lang w:bidi="en-US"/>
        </w:rPr>
        <w:t xml:space="preserve">tehniski </w:t>
      </w:r>
      <w:r w:rsidRPr="00FD132D">
        <w:rPr>
          <w:rFonts w:ascii="Times New Roman" w:eastAsia="Times New Roman" w:hAnsi="Times New Roman" w:cs="Times New Roman"/>
          <w:i/>
          <w:iCs/>
          <w:color w:val="000000"/>
          <w:sz w:val="24"/>
          <w:szCs w:val="24"/>
          <w:lang w:eastAsia="lv-LV" w:bidi="lv-LV"/>
        </w:rPr>
        <w:t xml:space="preserve">samazināt, </w:t>
      </w:r>
      <w:r w:rsidRPr="00FD132D">
        <w:rPr>
          <w:rFonts w:ascii="Times New Roman" w:eastAsia="Times New Roman" w:hAnsi="Times New Roman" w:cs="Times New Roman"/>
          <w:i/>
          <w:iCs/>
          <w:color w:val="000000"/>
          <w:sz w:val="24"/>
          <w:szCs w:val="24"/>
          <w:lang w:bidi="en-US"/>
        </w:rPr>
        <w:t xml:space="preserve">nesamazinot </w:t>
      </w:r>
      <w:r w:rsidRPr="00FD132D">
        <w:rPr>
          <w:rFonts w:ascii="Times New Roman" w:eastAsia="Times New Roman" w:hAnsi="Times New Roman" w:cs="Times New Roman"/>
          <w:i/>
          <w:iCs/>
          <w:color w:val="000000"/>
          <w:sz w:val="24"/>
          <w:szCs w:val="24"/>
          <w:lang w:eastAsia="lv-LV" w:bidi="lv-LV"/>
        </w:rPr>
        <w:t xml:space="preserve">pašu </w:t>
      </w:r>
      <w:r w:rsidRPr="00FD132D">
        <w:rPr>
          <w:rFonts w:ascii="Times New Roman" w:eastAsia="Times New Roman" w:hAnsi="Times New Roman" w:cs="Times New Roman"/>
          <w:i/>
          <w:iCs/>
          <w:color w:val="000000"/>
          <w:sz w:val="24"/>
          <w:szCs w:val="24"/>
          <w:lang w:bidi="en-US"/>
        </w:rPr>
        <w:t xml:space="preserve">transformatora jaudu un </w:t>
      </w:r>
      <w:r w:rsidRPr="00FD132D">
        <w:rPr>
          <w:rFonts w:ascii="Times New Roman" w:eastAsia="Times New Roman" w:hAnsi="Times New Roman" w:cs="Times New Roman"/>
          <w:i/>
          <w:iCs/>
          <w:color w:val="000000"/>
          <w:sz w:val="24"/>
          <w:szCs w:val="24"/>
          <w:lang w:eastAsia="lv-LV" w:bidi="lv-LV"/>
        </w:rPr>
        <w:t xml:space="preserve">Pasūtītāja pieprasītos </w:t>
      </w:r>
      <w:r w:rsidRPr="00FD132D">
        <w:rPr>
          <w:rFonts w:ascii="Times New Roman" w:eastAsia="Times New Roman" w:hAnsi="Times New Roman" w:cs="Times New Roman"/>
          <w:i/>
          <w:iCs/>
          <w:color w:val="000000"/>
          <w:sz w:val="24"/>
          <w:szCs w:val="24"/>
          <w:lang w:bidi="en-US"/>
        </w:rPr>
        <w:t>parametrus.</w:t>
      </w:r>
    </w:p>
    <w:p w:rsidR="000F1EB2" w:rsidRPr="00FD132D" w:rsidP="00A61F84" w14:paraId="546CE538" w14:textId="77777777">
      <w:pPr>
        <w:widowControl w:val="0"/>
        <w:numPr>
          <w:ilvl w:val="0"/>
          <w:numId w:val="1"/>
        </w:numPr>
        <w:tabs>
          <w:tab w:val="left" w:pos="370"/>
        </w:tabs>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bidi="en-US"/>
        </w:rPr>
        <w:t xml:space="preserve">Lai pa Latvijas </w:t>
      </w:r>
      <w:r w:rsidRPr="00FD132D">
        <w:rPr>
          <w:rFonts w:ascii="Times New Roman" w:eastAsia="Times New Roman" w:hAnsi="Times New Roman" w:cs="Times New Roman"/>
          <w:i/>
          <w:iCs/>
          <w:color w:val="000000"/>
          <w:sz w:val="24"/>
          <w:szCs w:val="24"/>
          <w:lang w:eastAsia="lv-LV" w:bidi="lv-LV"/>
        </w:rPr>
        <w:t xml:space="preserve">autoceļiem droši </w:t>
      </w:r>
      <w:r w:rsidRPr="00FD132D">
        <w:rPr>
          <w:rFonts w:ascii="Times New Roman" w:eastAsia="Times New Roman" w:hAnsi="Times New Roman" w:cs="Times New Roman"/>
          <w:i/>
          <w:iCs/>
          <w:color w:val="000000"/>
          <w:sz w:val="24"/>
          <w:szCs w:val="24"/>
          <w:lang w:bidi="en-US"/>
        </w:rPr>
        <w:t xml:space="preserve">un stabili </w:t>
      </w:r>
      <w:r w:rsidRPr="00FD132D">
        <w:rPr>
          <w:rFonts w:ascii="Times New Roman" w:eastAsia="Times New Roman" w:hAnsi="Times New Roman" w:cs="Times New Roman"/>
          <w:i/>
          <w:iCs/>
          <w:color w:val="000000"/>
          <w:sz w:val="24"/>
          <w:szCs w:val="24"/>
          <w:lang w:eastAsia="lv-LV" w:bidi="lv-LV"/>
        </w:rPr>
        <w:t xml:space="preserve">pārvietotu koncentrētu </w:t>
      </w:r>
      <w:r w:rsidRPr="00FD132D">
        <w:rPr>
          <w:rFonts w:ascii="Times New Roman" w:eastAsia="Times New Roman" w:hAnsi="Times New Roman" w:cs="Times New Roman"/>
          <w:i/>
          <w:iCs/>
          <w:color w:val="000000"/>
          <w:sz w:val="24"/>
          <w:szCs w:val="24"/>
          <w:lang w:bidi="en-US"/>
        </w:rPr>
        <w:t xml:space="preserve">78,5 tonnu smagu kravu, ir </w:t>
      </w:r>
      <w:r w:rsidRPr="00FD132D">
        <w:rPr>
          <w:rFonts w:ascii="Times New Roman" w:eastAsia="Times New Roman" w:hAnsi="Times New Roman" w:cs="Times New Roman"/>
          <w:i/>
          <w:iCs/>
          <w:color w:val="000000"/>
          <w:sz w:val="24"/>
          <w:szCs w:val="24"/>
          <w:lang w:eastAsia="lv-LV" w:bidi="lv-LV"/>
        </w:rPr>
        <w:t xml:space="preserve">nepieciešama speciāli projektēta, </w:t>
      </w:r>
      <w:r w:rsidRPr="00FD132D">
        <w:rPr>
          <w:rFonts w:ascii="Times New Roman" w:eastAsia="Times New Roman" w:hAnsi="Times New Roman" w:cs="Times New Roman"/>
          <w:i/>
          <w:iCs/>
          <w:color w:val="000000"/>
          <w:sz w:val="24"/>
          <w:szCs w:val="24"/>
          <w:lang w:bidi="en-US"/>
        </w:rPr>
        <w:t xml:space="preserve">hidrauliska </w:t>
      </w:r>
      <w:r w:rsidRPr="00FD132D">
        <w:rPr>
          <w:rFonts w:ascii="Times New Roman" w:eastAsia="Times New Roman" w:hAnsi="Times New Roman" w:cs="Times New Roman"/>
          <w:i/>
          <w:iCs/>
          <w:color w:val="000000"/>
          <w:sz w:val="24"/>
          <w:szCs w:val="24"/>
          <w:lang w:bidi="en-US"/>
        </w:rPr>
        <w:t>daudzasu</w:t>
      </w:r>
      <w:r w:rsidRPr="00FD132D">
        <w:rPr>
          <w:rFonts w:ascii="Times New Roman" w:eastAsia="Times New Roman" w:hAnsi="Times New Roman" w:cs="Times New Roman"/>
          <w:i/>
          <w:iCs/>
          <w:color w:val="000000"/>
          <w:sz w:val="24"/>
          <w:szCs w:val="24"/>
          <w:lang w:bidi="en-US"/>
        </w:rPr>
        <w:t xml:space="preserve"> puspiekabe. Lai </w:t>
      </w:r>
      <w:r w:rsidRPr="00FD132D">
        <w:rPr>
          <w:rFonts w:ascii="Times New Roman" w:eastAsia="Times New Roman" w:hAnsi="Times New Roman" w:cs="Times New Roman"/>
          <w:i/>
          <w:iCs/>
          <w:color w:val="000000"/>
          <w:sz w:val="24"/>
          <w:szCs w:val="24"/>
          <w:lang w:eastAsia="lv-LV" w:bidi="lv-LV"/>
        </w:rPr>
        <w:t xml:space="preserve">nodrošinātu pilnīgu atbilstību ceļu </w:t>
      </w:r>
      <w:r w:rsidRPr="00FD132D">
        <w:rPr>
          <w:rFonts w:ascii="Times New Roman" w:eastAsia="Times New Roman" w:hAnsi="Times New Roman" w:cs="Times New Roman"/>
          <w:i/>
          <w:iCs/>
          <w:color w:val="000000"/>
          <w:sz w:val="24"/>
          <w:szCs w:val="24"/>
          <w:lang w:bidi="en-US"/>
        </w:rPr>
        <w:t xml:space="preserve">satiksmes noteikumiem un </w:t>
      </w:r>
      <w:r w:rsidRPr="00FD132D">
        <w:rPr>
          <w:rFonts w:ascii="Times New Roman" w:eastAsia="Times New Roman" w:hAnsi="Times New Roman" w:cs="Times New Roman"/>
          <w:i/>
          <w:iCs/>
          <w:color w:val="000000"/>
          <w:sz w:val="24"/>
          <w:szCs w:val="24"/>
          <w:lang w:eastAsia="lv-LV" w:bidi="lv-LV"/>
        </w:rPr>
        <w:t xml:space="preserve">garantētu, </w:t>
      </w:r>
      <w:r w:rsidRPr="00FD132D">
        <w:rPr>
          <w:rFonts w:ascii="Times New Roman" w:eastAsia="Times New Roman" w:hAnsi="Times New Roman" w:cs="Times New Roman"/>
          <w:i/>
          <w:iCs/>
          <w:color w:val="000000"/>
          <w:sz w:val="24"/>
          <w:szCs w:val="24"/>
          <w:lang w:bidi="en-US"/>
        </w:rPr>
        <w:t xml:space="preserve">ka slodze uz vienu asi </w:t>
      </w:r>
      <w:r w:rsidRPr="00FD132D">
        <w:rPr>
          <w:rFonts w:ascii="Times New Roman" w:eastAsia="Times New Roman" w:hAnsi="Times New Roman" w:cs="Times New Roman"/>
          <w:i/>
          <w:iCs/>
          <w:color w:val="000000"/>
          <w:sz w:val="24"/>
          <w:szCs w:val="24"/>
          <w:lang w:eastAsia="lv-LV" w:bidi="lv-LV"/>
        </w:rPr>
        <w:t xml:space="preserve">nepārsniedz </w:t>
      </w:r>
      <w:r w:rsidRPr="00FD132D">
        <w:rPr>
          <w:rFonts w:ascii="Times New Roman" w:eastAsia="Times New Roman" w:hAnsi="Times New Roman" w:cs="Times New Roman"/>
          <w:i/>
          <w:iCs/>
          <w:color w:val="000000"/>
          <w:sz w:val="24"/>
          <w:szCs w:val="24"/>
          <w:lang w:bidi="en-US"/>
        </w:rPr>
        <w:t xml:space="preserve">13 tonnas, asu izvietojums un </w:t>
      </w:r>
      <w:r w:rsidRPr="00FD132D">
        <w:rPr>
          <w:rFonts w:ascii="Times New Roman" w:eastAsia="Times New Roman" w:hAnsi="Times New Roman" w:cs="Times New Roman"/>
          <w:i/>
          <w:iCs/>
          <w:color w:val="000000"/>
          <w:sz w:val="24"/>
          <w:szCs w:val="24"/>
          <w:lang w:eastAsia="lv-LV" w:bidi="lv-LV"/>
        </w:rPr>
        <w:t xml:space="preserve">rāmja </w:t>
      </w:r>
      <w:r w:rsidRPr="00FD132D">
        <w:rPr>
          <w:rFonts w:ascii="Times New Roman" w:eastAsia="Times New Roman" w:hAnsi="Times New Roman" w:cs="Times New Roman"/>
          <w:i/>
          <w:iCs/>
          <w:color w:val="000000"/>
          <w:sz w:val="24"/>
          <w:szCs w:val="24"/>
          <w:lang w:bidi="en-US"/>
        </w:rPr>
        <w:t xml:space="preserve">konstrukcija ir </w:t>
      </w:r>
      <w:r w:rsidRPr="00FD132D">
        <w:rPr>
          <w:rFonts w:ascii="Times New Roman" w:eastAsia="Times New Roman" w:hAnsi="Times New Roman" w:cs="Times New Roman"/>
          <w:i/>
          <w:iCs/>
          <w:color w:val="000000"/>
          <w:sz w:val="24"/>
          <w:szCs w:val="24"/>
          <w:lang w:eastAsia="lv-LV" w:bidi="lv-LV"/>
        </w:rPr>
        <w:t xml:space="preserve">maksimāli optimizēta. Šāda specializētā </w:t>
      </w:r>
      <w:r w:rsidRPr="00FD132D">
        <w:rPr>
          <w:rFonts w:ascii="Times New Roman" w:eastAsia="Times New Roman" w:hAnsi="Times New Roman" w:cs="Times New Roman"/>
          <w:i/>
          <w:iCs/>
          <w:color w:val="000000"/>
          <w:sz w:val="24"/>
          <w:szCs w:val="24"/>
          <w:lang w:bidi="en-US"/>
        </w:rPr>
        <w:t xml:space="preserve">treilera </w:t>
      </w:r>
      <w:r w:rsidRPr="00FD132D">
        <w:rPr>
          <w:rFonts w:ascii="Times New Roman" w:eastAsia="Times New Roman" w:hAnsi="Times New Roman" w:cs="Times New Roman"/>
          <w:i/>
          <w:iCs/>
          <w:color w:val="000000"/>
          <w:sz w:val="24"/>
          <w:szCs w:val="24"/>
          <w:lang w:eastAsia="lv-LV" w:bidi="lv-LV"/>
        </w:rPr>
        <w:t xml:space="preserve">pašmasa pēc provizoriskā </w:t>
      </w:r>
      <w:r w:rsidRPr="00FD132D">
        <w:rPr>
          <w:rFonts w:ascii="Times New Roman" w:eastAsia="Times New Roman" w:hAnsi="Times New Roman" w:cs="Times New Roman"/>
          <w:i/>
          <w:iCs/>
          <w:color w:val="000000"/>
          <w:sz w:val="24"/>
          <w:szCs w:val="24"/>
          <w:lang w:bidi="en-US"/>
        </w:rPr>
        <w:t xml:space="preserve">dizaina </w:t>
      </w:r>
      <w:r w:rsidRPr="00FD132D">
        <w:rPr>
          <w:rFonts w:ascii="Times New Roman" w:eastAsia="Times New Roman" w:hAnsi="Times New Roman" w:cs="Times New Roman"/>
          <w:i/>
          <w:iCs/>
          <w:color w:val="000000"/>
          <w:sz w:val="24"/>
          <w:szCs w:val="24"/>
          <w:lang w:eastAsia="lv-LV" w:bidi="lv-LV"/>
        </w:rPr>
        <w:t xml:space="preserve">sastāda </w:t>
      </w:r>
      <w:r w:rsidRPr="00FD132D">
        <w:rPr>
          <w:rFonts w:ascii="Times New Roman" w:eastAsia="Times New Roman" w:hAnsi="Times New Roman" w:cs="Times New Roman"/>
          <w:i/>
          <w:iCs/>
          <w:color w:val="000000"/>
          <w:sz w:val="24"/>
          <w:szCs w:val="24"/>
          <w:lang w:bidi="en-US"/>
        </w:rPr>
        <w:t xml:space="preserve">25 tonnas. </w:t>
      </w:r>
      <w:r w:rsidRPr="00FD132D">
        <w:rPr>
          <w:rFonts w:ascii="Times New Roman" w:eastAsia="Times New Roman" w:hAnsi="Times New Roman" w:cs="Times New Roman"/>
          <w:i/>
          <w:iCs/>
          <w:color w:val="000000"/>
          <w:sz w:val="24"/>
          <w:szCs w:val="24"/>
          <w:lang w:eastAsia="lv-LV" w:bidi="lv-LV"/>
        </w:rPr>
        <w:t xml:space="preserve">Jebkāds </w:t>
      </w:r>
      <w:r w:rsidRPr="00FD132D">
        <w:rPr>
          <w:rFonts w:ascii="Times New Roman" w:eastAsia="Times New Roman" w:hAnsi="Times New Roman" w:cs="Times New Roman"/>
          <w:i/>
          <w:iCs/>
          <w:color w:val="000000"/>
          <w:sz w:val="24"/>
          <w:szCs w:val="24"/>
          <w:lang w:bidi="en-US"/>
        </w:rPr>
        <w:t xml:space="preserve">treilera </w:t>
      </w:r>
      <w:r w:rsidRPr="00FD132D">
        <w:rPr>
          <w:rFonts w:ascii="Times New Roman" w:eastAsia="Times New Roman" w:hAnsi="Times New Roman" w:cs="Times New Roman"/>
          <w:i/>
          <w:iCs/>
          <w:color w:val="000000"/>
          <w:sz w:val="24"/>
          <w:szCs w:val="24"/>
          <w:lang w:eastAsia="lv-LV" w:bidi="lv-LV"/>
        </w:rPr>
        <w:t xml:space="preserve">rāmja </w:t>
      </w:r>
      <w:r w:rsidRPr="00FD132D">
        <w:rPr>
          <w:rFonts w:ascii="Times New Roman" w:eastAsia="Times New Roman" w:hAnsi="Times New Roman" w:cs="Times New Roman"/>
          <w:i/>
          <w:iCs/>
          <w:color w:val="000000"/>
          <w:sz w:val="24"/>
          <w:szCs w:val="24"/>
          <w:lang w:bidi="en-US"/>
        </w:rPr>
        <w:t xml:space="preserve">svara </w:t>
      </w:r>
      <w:r w:rsidRPr="00FD132D">
        <w:rPr>
          <w:rFonts w:ascii="Times New Roman" w:eastAsia="Times New Roman" w:hAnsi="Times New Roman" w:cs="Times New Roman"/>
          <w:i/>
          <w:iCs/>
          <w:color w:val="000000"/>
          <w:sz w:val="24"/>
          <w:szCs w:val="24"/>
          <w:lang w:eastAsia="lv-LV" w:bidi="lv-LV"/>
        </w:rPr>
        <w:t xml:space="preserve">samazinājums tieši apdraudētu </w:t>
      </w:r>
      <w:r w:rsidRPr="00FD132D">
        <w:rPr>
          <w:rFonts w:ascii="Times New Roman" w:eastAsia="Times New Roman" w:hAnsi="Times New Roman" w:cs="Times New Roman"/>
          <w:i/>
          <w:iCs/>
          <w:color w:val="000000"/>
          <w:sz w:val="24"/>
          <w:szCs w:val="24"/>
          <w:lang w:bidi="en-US"/>
        </w:rPr>
        <w:t xml:space="preserve">konstrukcijas </w:t>
      </w:r>
      <w:r w:rsidRPr="00FD132D">
        <w:rPr>
          <w:rFonts w:ascii="Times New Roman" w:eastAsia="Times New Roman" w:hAnsi="Times New Roman" w:cs="Times New Roman"/>
          <w:i/>
          <w:iCs/>
          <w:color w:val="000000"/>
          <w:sz w:val="24"/>
          <w:szCs w:val="24"/>
          <w:lang w:eastAsia="lv-LV" w:bidi="lv-LV"/>
        </w:rPr>
        <w:t xml:space="preserve">strukturālo integritāti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drošību transportēšanas laikā.</w:t>
      </w:r>
    </w:p>
    <w:p w:rsidR="000F1EB2" w:rsidRPr="00FD132D" w:rsidP="00A61F84" w14:paraId="70A27DA4" w14:textId="77777777">
      <w:pPr>
        <w:widowControl w:val="0"/>
        <w:numPr>
          <w:ilvl w:val="0"/>
          <w:numId w:val="1"/>
        </w:numPr>
        <w:tabs>
          <w:tab w:val="left" w:pos="361"/>
        </w:tabs>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bidi="en-US"/>
        </w:rPr>
        <w:t xml:space="preserve">Saskaitot </w:t>
      </w:r>
      <w:r w:rsidRPr="00FD132D">
        <w:rPr>
          <w:rFonts w:ascii="Times New Roman" w:eastAsia="Times New Roman" w:hAnsi="Times New Roman" w:cs="Times New Roman"/>
          <w:i/>
          <w:iCs/>
          <w:color w:val="000000"/>
          <w:sz w:val="24"/>
          <w:szCs w:val="24"/>
          <w:lang w:eastAsia="lv-LV" w:bidi="lv-LV"/>
        </w:rPr>
        <w:t xml:space="preserve">kopā </w:t>
      </w:r>
      <w:r w:rsidRPr="00FD132D">
        <w:rPr>
          <w:rFonts w:ascii="Times New Roman" w:eastAsia="Times New Roman" w:hAnsi="Times New Roman" w:cs="Times New Roman"/>
          <w:i/>
          <w:iCs/>
          <w:color w:val="000000"/>
          <w:sz w:val="24"/>
          <w:szCs w:val="24"/>
          <w:lang w:bidi="en-US"/>
        </w:rPr>
        <w:t xml:space="preserve">visas </w:t>
      </w:r>
      <w:r w:rsidRPr="00FD132D">
        <w:rPr>
          <w:rFonts w:ascii="Times New Roman" w:eastAsia="Times New Roman" w:hAnsi="Times New Roman" w:cs="Times New Roman"/>
          <w:i/>
          <w:iCs/>
          <w:color w:val="000000"/>
          <w:sz w:val="24"/>
          <w:szCs w:val="24"/>
          <w:lang w:eastAsia="lv-LV" w:bidi="lv-LV"/>
        </w:rPr>
        <w:t xml:space="preserve">neatņemamās sastāva </w:t>
      </w:r>
      <w:r w:rsidRPr="00FD132D">
        <w:rPr>
          <w:rFonts w:ascii="Times New Roman" w:eastAsia="Times New Roman" w:hAnsi="Times New Roman" w:cs="Times New Roman"/>
          <w:i/>
          <w:iCs/>
          <w:color w:val="000000"/>
          <w:sz w:val="24"/>
          <w:szCs w:val="24"/>
          <w:lang w:bidi="en-US"/>
        </w:rPr>
        <w:t xml:space="preserve">komponentes, </w:t>
      </w:r>
      <w:r w:rsidRPr="00FD132D">
        <w:rPr>
          <w:rFonts w:ascii="Times New Roman" w:eastAsia="Times New Roman" w:hAnsi="Times New Roman" w:cs="Times New Roman"/>
          <w:i/>
          <w:iCs/>
          <w:color w:val="000000"/>
          <w:sz w:val="24"/>
          <w:szCs w:val="24"/>
          <w:lang w:eastAsia="lv-LV" w:bidi="lv-LV"/>
        </w:rPr>
        <w:t xml:space="preserve">iegūstam šādu matemātisko </w:t>
      </w:r>
      <w:r w:rsidRPr="00FD132D">
        <w:rPr>
          <w:rFonts w:ascii="Times New Roman" w:eastAsia="Times New Roman" w:hAnsi="Times New Roman" w:cs="Times New Roman"/>
          <w:i/>
          <w:iCs/>
          <w:color w:val="000000"/>
          <w:sz w:val="24"/>
          <w:szCs w:val="24"/>
          <w:lang w:bidi="en-US"/>
        </w:rPr>
        <w:t>formulu:</w:t>
      </w:r>
    </w:p>
    <w:p w:rsidR="000F1EB2" w:rsidRPr="00FD132D" w:rsidP="00A61F84" w14:paraId="24BAF6CA" w14:textId="77777777">
      <w:pPr>
        <w:widowControl w:val="0"/>
        <w:numPr>
          <w:ilvl w:val="0"/>
          <w:numId w:val="2"/>
        </w:numPr>
        <w:tabs>
          <w:tab w:val="left" w:pos="750"/>
        </w:tabs>
        <w:spacing w:after="120" w:line="240" w:lineRule="auto"/>
        <w:ind w:firstLine="38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Iekārtu </w:t>
      </w:r>
      <w:r w:rsidRPr="00FD132D">
        <w:rPr>
          <w:rFonts w:ascii="Times New Roman" w:eastAsia="Times New Roman" w:hAnsi="Times New Roman" w:cs="Times New Roman"/>
          <w:i/>
          <w:iCs/>
          <w:color w:val="000000"/>
          <w:sz w:val="24"/>
          <w:szCs w:val="24"/>
          <w:lang w:bidi="en-US"/>
        </w:rPr>
        <w:t>svars (25 MVA TR + E-</w:t>
      </w:r>
      <w:r w:rsidRPr="00FD132D">
        <w:rPr>
          <w:rFonts w:ascii="Times New Roman" w:eastAsia="Times New Roman" w:hAnsi="Times New Roman" w:cs="Times New Roman"/>
          <w:i/>
          <w:iCs/>
          <w:color w:val="000000"/>
          <w:sz w:val="24"/>
          <w:szCs w:val="24"/>
          <w:lang w:bidi="en-US"/>
        </w:rPr>
        <w:t>House</w:t>
      </w:r>
      <w:r w:rsidRPr="00FD132D">
        <w:rPr>
          <w:rFonts w:ascii="Times New Roman" w:eastAsia="Times New Roman" w:hAnsi="Times New Roman" w:cs="Times New Roman"/>
          <w:i/>
          <w:iCs/>
          <w:color w:val="000000"/>
          <w:sz w:val="24"/>
          <w:szCs w:val="24"/>
          <w:lang w:bidi="en-US"/>
        </w:rPr>
        <w:t xml:space="preserve"> bez </w:t>
      </w:r>
      <w:r w:rsidRPr="00FD132D">
        <w:rPr>
          <w:rFonts w:ascii="Times New Roman" w:eastAsia="Times New Roman" w:hAnsi="Times New Roman" w:cs="Times New Roman"/>
          <w:i/>
          <w:iCs/>
          <w:color w:val="000000"/>
          <w:sz w:val="24"/>
          <w:szCs w:val="24"/>
          <w:lang w:eastAsia="lv-LV" w:bidi="lv-LV"/>
        </w:rPr>
        <w:t xml:space="preserve">eļļas): </w:t>
      </w:r>
      <w:r w:rsidRPr="00FD132D">
        <w:rPr>
          <w:rFonts w:ascii="Times New Roman" w:eastAsia="Times New Roman" w:hAnsi="Times New Roman" w:cs="Times New Roman"/>
          <w:i/>
          <w:iCs/>
          <w:color w:val="000000"/>
          <w:sz w:val="24"/>
          <w:szCs w:val="24"/>
          <w:lang w:bidi="en-US"/>
        </w:rPr>
        <w:t>78,5 tonnas,</w:t>
      </w:r>
    </w:p>
    <w:p w:rsidR="000F1EB2" w:rsidRPr="00FD132D" w:rsidP="00A61F84" w14:paraId="339A60C0" w14:textId="77777777">
      <w:pPr>
        <w:widowControl w:val="0"/>
        <w:numPr>
          <w:ilvl w:val="0"/>
          <w:numId w:val="2"/>
        </w:numPr>
        <w:tabs>
          <w:tab w:val="left" w:pos="750"/>
        </w:tabs>
        <w:spacing w:after="120" w:line="240" w:lineRule="auto"/>
        <w:ind w:firstLine="38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Specializētā hidrauliskā </w:t>
      </w:r>
      <w:r w:rsidRPr="00FD132D">
        <w:rPr>
          <w:rFonts w:ascii="Times New Roman" w:eastAsia="Times New Roman" w:hAnsi="Times New Roman" w:cs="Times New Roman"/>
          <w:i/>
          <w:iCs/>
          <w:color w:val="000000"/>
          <w:sz w:val="24"/>
          <w:szCs w:val="24"/>
          <w:lang w:val="en-US" w:bidi="en-US"/>
        </w:rPr>
        <w:t>puspiekabe</w:t>
      </w:r>
      <w:r w:rsidRPr="00FD132D">
        <w:rPr>
          <w:rFonts w:ascii="Times New Roman" w:eastAsia="Times New Roman" w:hAnsi="Times New Roman" w:cs="Times New Roman"/>
          <w:i/>
          <w:iCs/>
          <w:color w:val="000000"/>
          <w:sz w:val="24"/>
          <w:szCs w:val="24"/>
          <w:lang w:val="en-US" w:bidi="en-US"/>
        </w:rPr>
        <w:t xml:space="preserve"> (Semi-Trailer): 25,0 </w:t>
      </w:r>
      <w:r w:rsidRPr="00FD132D">
        <w:rPr>
          <w:rFonts w:ascii="Times New Roman" w:eastAsia="Times New Roman" w:hAnsi="Times New Roman" w:cs="Times New Roman"/>
          <w:i/>
          <w:iCs/>
          <w:color w:val="000000"/>
          <w:sz w:val="24"/>
          <w:szCs w:val="24"/>
          <w:lang w:val="en-US" w:bidi="en-US"/>
        </w:rPr>
        <w:t>tonnas</w:t>
      </w:r>
    </w:p>
    <w:p w:rsidR="000F1EB2" w:rsidRPr="00FD132D" w:rsidP="00A61F84" w14:paraId="447E7686" w14:textId="77777777">
      <w:pPr>
        <w:widowControl w:val="0"/>
        <w:numPr>
          <w:ilvl w:val="0"/>
          <w:numId w:val="2"/>
        </w:numPr>
        <w:tabs>
          <w:tab w:val="left" w:pos="750"/>
        </w:tabs>
        <w:spacing w:after="120" w:line="240" w:lineRule="auto"/>
        <w:ind w:firstLine="38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Autovilcējs: </w:t>
      </w:r>
      <w:r w:rsidRPr="00FD132D">
        <w:rPr>
          <w:rFonts w:ascii="Times New Roman" w:eastAsia="Times New Roman" w:hAnsi="Times New Roman" w:cs="Times New Roman"/>
          <w:i/>
          <w:iCs/>
          <w:color w:val="000000"/>
          <w:sz w:val="24"/>
          <w:szCs w:val="24"/>
          <w:lang w:val="en-US" w:bidi="en-US"/>
        </w:rPr>
        <w:t>aptuveni</w:t>
      </w:r>
      <w:r w:rsidRPr="00FD132D">
        <w:rPr>
          <w:rFonts w:ascii="Times New Roman" w:eastAsia="Times New Roman" w:hAnsi="Times New Roman" w:cs="Times New Roman"/>
          <w:i/>
          <w:iCs/>
          <w:color w:val="000000"/>
          <w:sz w:val="24"/>
          <w:szCs w:val="24"/>
          <w:lang w:val="en-US" w:bidi="en-US"/>
        </w:rPr>
        <w:t xml:space="preserve"> 11,5 </w:t>
      </w:r>
      <w:r w:rsidRPr="00FD132D">
        <w:rPr>
          <w:rFonts w:ascii="Times New Roman" w:eastAsia="Times New Roman" w:hAnsi="Times New Roman" w:cs="Times New Roman"/>
          <w:i/>
          <w:iCs/>
          <w:color w:val="000000"/>
          <w:sz w:val="24"/>
          <w:szCs w:val="24"/>
          <w:lang w:val="en-US" w:bidi="en-US"/>
        </w:rPr>
        <w:t>tonnas</w:t>
      </w:r>
    </w:p>
    <w:p w:rsidR="000F1EB2" w:rsidRPr="00FD132D" w:rsidP="00A61F84" w14:paraId="4295C52D" w14:textId="77777777">
      <w:pPr>
        <w:widowControl w:val="0"/>
        <w:numPr>
          <w:ilvl w:val="0"/>
          <w:numId w:val="2"/>
        </w:numPr>
        <w:tabs>
          <w:tab w:val="left" w:pos="750"/>
        </w:tabs>
        <w:spacing w:after="120" w:line="240" w:lineRule="auto"/>
        <w:ind w:firstLine="38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Kopējā sastāva </w:t>
      </w:r>
      <w:r w:rsidRPr="00FD132D">
        <w:rPr>
          <w:rFonts w:ascii="Times New Roman" w:eastAsia="Times New Roman" w:hAnsi="Times New Roman" w:cs="Times New Roman"/>
          <w:i/>
          <w:iCs/>
          <w:color w:val="000000"/>
          <w:sz w:val="24"/>
          <w:szCs w:val="24"/>
          <w:lang w:val="en-US" w:bidi="en-US"/>
        </w:rPr>
        <w:t xml:space="preserve">masa: </w:t>
      </w:r>
      <w:r w:rsidRPr="00FD132D">
        <w:rPr>
          <w:rFonts w:ascii="Times New Roman" w:eastAsia="Times New Roman" w:hAnsi="Times New Roman" w:cs="Times New Roman"/>
          <w:i/>
          <w:iCs/>
          <w:color w:val="000000"/>
          <w:sz w:val="24"/>
          <w:szCs w:val="24"/>
          <w:lang w:val="en-US" w:bidi="en-US"/>
        </w:rPr>
        <w:t>aptuveni</w:t>
      </w:r>
      <w:r w:rsidRPr="00FD132D">
        <w:rPr>
          <w:rFonts w:ascii="Times New Roman" w:eastAsia="Times New Roman" w:hAnsi="Times New Roman" w:cs="Times New Roman"/>
          <w:i/>
          <w:iCs/>
          <w:color w:val="000000"/>
          <w:sz w:val="24"/>
          <w:szCs w:val="24"/>
          <w:lang w:val="en-US" w:bidi="en-US"/>
        </w:rPr>
        <w:t xml:space="preserve"> 115,0 </w:t>
      </w:r>
      <w:r w:rsidRPr="00FD132D">
        <w:rPr>
          <w:rFonts w:ascii="Times New Roman" w:eastAsia="Times New Roman" w:hAnsi="Times New Roman" w:cs="Times New Roman"/>
          <w:i/>
          <w:iCs/>
          <w:color w:val="000000"/>
          <w:sz w:val="24"/>
          <w:szCs w:val="24"/>
          <w:lang w:val="en-US" w:bidi="en-US"/>
        </w:rPr>
        <w:t>tonnas</w:t>
      </w:r>
    </w:p>
    <w:p w:rsidR="000F1EB2" w:rsidRPr="00FD132D" w:rsidP="00A61F84" w14:paraId="06BA28AA"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val="en-US" w:bidi="en-US"/>
        </w:rPr>
        <w:t>Papildus</w:t>
      </w:r>
      <w:r w:rsidRPr="00FD132D">
        <w:rPr>
          <w:rFonts w:ascii="Times New Roman" w:eastAsia="Times New Roman" w:hAnsi="Times New Roman" w:cs="Times New Roman"/>
          <w:i/>
          <w:iCs/>
          <w:color w:val="000000"/>
          <w:sz w:val="24"/>
          <w:szCs w:val="24"/>
          <w:lang w:val="en-US" w:bidi="en-US"/>
        </w:rPr>
        <w:t xml:space="preserve"> par </w:t>
      </w:r>
      <w:r w:rsidRPr="00FD132D">
        <w:rPr>
          <w:rFonts w:ascii="Times New Roman" w:eastAsia="Times New Roman" w:hAnsi="Times New Roman" w:cs="Times New Roman"/>
          <w:i/>
          <w:iCs/>
          <w:color w:val="000000"/>
          <w:sz w:val="24"/>
          <w:szCs w:val="24"/>
          <w:lang w:val="en-US" w:bidi="en-US"/>
        </w:rPr>
        <w:t>puspiekabi</w:t>
      </w:r>
      <w:r w:rsidRPr="00FD132D">
        <w:rPr>
          <w:rFonts w:ascii="Times New Roman" w:eastAsia="Times New Roman" w:hAnsi="Times New Roman" w:cs="Times New Roman"/>
          <w:i/>
          <w:iCs/>
          <w:color w:val="000000"/>
          <w:sz w:val="24"/>
          <w:szCs w:val="24"/>
          <w:lang w:val="en-US" w:bidi="en-US"/>
        </w:rPr>
        <w:t>:</w:t>
      </w:r>
    </w:p>
    <w:p w:rsidR="000F1EB2" w:rsidRPr="00FD132D" w:rsidP="00A61F84" w14:paraId="2EB6C904"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Pasūtītāja tehniskajā specifikācijā pieprasītais iekārtu izkārtojums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konfigurācija </w:t>
      </w:r>
      <w:r w:rsidRPr="00FD132D">
        <w:rPr>
          <w:rFonts w:ascii="Times New Roman" w:eastAsia="Times New Roman" w:hAnsi="Times New Roman" w:cs="Times New Roman"/>
          <w:i/>
          <w:iCs/>
          <w:color w:val="000000"/>
          <w:sz w:val="24"/>
          <w:szCs w:val="24"/>
          <w:lang w:bidi="en-US"/>
        </w:rPr>
        <w:t xml:space="preserve">(25 MVA jaudas transformators, kas novietots uz viena </w:t>
      </w:r>
      <w:r w:rsidRPr="00FD132D">
        <w:rPr>
          <w:rFonts w:ascii="Times New Roman" w:eastAsia="Times New Roman" w:hAnsi="Times New Roman" w:cs="Times New Roman"/>
          <w:i/>
          <w:iCs/>
          <w:color w:val="000000"/>
          <w:sz w:val="24"/>
          <w:szCs w:val="24"/>
          <w:lang w:eastAsia="lv-LV" w:bidi="lv-LV"/>
        </w:rPr>
        <w:t>treilera moduļa kopā ar vadības un komutācijas ēku/konteineru - E-</w:t>
      </w:r>
      <w:r w:rsidRPr="00FD132D">
        <w:rPr>
          <w:rFonts w:ascii="Times New Roman" w:eastAsia="Times New Roman" w:hAnsi="Times New Roman" w:cs="Times New Roman"/>
          <w:i/>
          <w:iCs/>
          <w:color w:val="000000"/>
          <w:sz w:val="24"/>
          <w:szCs w:val="24"/>
          <w:lang w:eastAsia="lv-LV" w:bidi="lv-LV"/>
        </w:rPr>
        <w:t>House</w:t>
      </w:r>
      <w:r w:rsidRPr="00FD132D">
        <w:rPr>
          <w:rFonts w:ascii="Times New Roman" w:eastAsia="Times New Roman" w:hAnsi="Times New Roman" w:cs="Times New Roman"/>
          <w:i/>
          <w:iCs/>
          <w:color w:val="000000"/>
          <w:sz w:val="24"/>
          <w:szCs w:val="24"/>
          <w:lang w:eastAsia="lv-LV" w:bidi="lv-LV"/>
        </w:rPr>
        <w:t>) strukturāli diktē neizbēgamu puspiekabes pašmasas palielināšanos šādu iemeslu dēļ:</w:t>
      </w:r>
    </w:p>
    <w:p w:rsidR="000F1EB2" w:rsidRPr="00FD132D" w:rsidP="00A61F84" w14:paraId="354A6E54"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Lai uz vienas platformas droši izvietotu augstsprieguma </w:t>
      </w:r>
      <w:r w:rsidRPr="00FD132D">
        <w:rPr>
          <w:rFonts w:ascii="Times New Roman" w:eastAsia="Times New Roman" w:hAnsi="Times New Roman" w:cs="Times New Roman"/>
          <w:i/>
          <w:iCs/>
          <w:color w:val="000000"/>
          <w:sz w:val="24"/>
          <w:szCs w:val="24"/>
          <w:lang w:eastAsia="lv-LV" w:bidi="lv-LV"/>
        </w:rPr>
        <w:t>izvadus</w:t>
      </w:r>
      <w:r w:rsidRPr="00FD132D">
        <w:rPr>
          <w:rFonts w:ascii="Times New Roman" w:eastAsia="Times New Roman" w:hAnsi="Times New Roman" w:cs="Times New Roman"/>
          <w:i/>
          <w:iCs/>
          <w:color w:val="000000"/>
          <w:sz w:val="24"/>
          <w:szCs w:val="24"/>
          <w:lang w:eastAsia="lv-LV" w:bidi="lv-LV"/>
        </w:rPr>
        <w:t xml:space="preserve">, pašu jaudas transformatoru un vidējā sprieguma </w:t>
      </w:r>
      <w:r w:rsidRPr="00FD132D">
        <w:rPr>
          <w:rFonts w:ascii="Times New Roman" w:eastAsia="Times New Roman" w:hAnsi="Times New Roman" w:cs="Times New Roman"/>
          <w:i/>
          <w:iCs/>
          <w:color w:val="000000"/>
          <w:sz w:val="24"/>
          <w:szCs w:val="24"/>
          <w:lang w:eastAsia="lv-LV" w:bidi="lv-LV"/>
        </w:rPr>
        <w:t>slēgiekārtu</w:t>
      </w:r>
      <w:r w:rsidRPr="00FD132D">
        <w:rPr>
          <w:rFonts w:ascii="Times New Roman" w:eastAsia="Times New Roman" w:hAnsi="Times New Roman" w:cs="Times New Roman"/>
          <w:i/>
          <w:iCs/>
          <w:color w:val="000000"/>
          <w:sz w:val="24"/>
          <w:szCs w:val="24"/>
          <w:lang w:eastAsia="lv-LV" w:bidi="lv-LV"/>
        </w:rPr>
        <w:t xml:space="preserve"> konteineru, ir stingri jāievēro normatīvie gaisa izolācijas attālumi un jānodrošina elektromagnētiskā savietojamība. Tas nosaka minimālo platformas lietderīgo garumu un platumu, ko nav iespējams fiziski samazināt, neapdraudot ekspluatācijas drošību un personālu.</w:t>
      </w:r>
    </w:p>
    <w:p w:rsidR="000F1EB2" w:rsidRPr="00FD132D" w:rsidP="00A61F84" w14:paraId="0377581F"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Tā kā transformators un E-</w:t>
      </w:r>
      <w:r w:rsidRPr="00FD132D">
        <w:rPr>
          <w:rFonts w:ascii="Times New Roman" w:eastAsia="Times New Roman" w:hAnsi="Times New Roman" w:cs="Times New Roman"/>
          <w:i/>
          <w:iCs/>
          <w:color w:val="000000"/>
          <w:sz w:val="24"/>
          <w:szCs w:val="24"/>
          <w:lang w:eastAsia="lv-LV" w:bidi="lv-LV"/>
        </w:rPr>
        <w:t>House</w:t>
      </w:r>
      <w:r w:rsidRPr="00FD132D">
        <w:rPr>
          <w:rFonts w:ascii="Times New Roman" w:eastAsia="Times New Roman" w:hAnsi="Times New Roman" w:cs="Times New Roman"/>
          <w:i/>
          <w:iCs/>
          <w:color w:val="000000"/>
          <w:sz w:val="24"/>
          <w:szCs w:val="24"/>
          <w:lang w:eastAsia="lv-LV" w:bidi="lv-LV"/>
        </w:rPr>
        <w:t xml:space="preserve"> konteiners ir ar krasi atšķirīgu svara sadalījumu, to izvietojums uz treilera ir precīzi jābalansē. Transformators ir jākoncentrē tieši virs hidraulisko asu bloka, kamēr E-</w:t>
      </w:r>
      <w:r w:rsidRPr="00FD132D">
        <w:rPr>
          <w:rFonts w:ascii="Times New Roman" w:eastAsia="Times New Roman" w:hAnsi="Times New Roman" w:cs="Times New Roman"/>
          <w:i/>
          <w:iCs/>
          <w:color w:val="000000"/>
          <w:sz w:val="24"/>
          <w:szCs w:val="24"/>
          <w:lang w:eastAsia="lv-LV" w:bidi="lv-LV"/>
        </w:rPr>
        <w:t>House</w:t>
      </w:r>
      <w:r w:rsidRPr="00FD132D">
        <w:rPr>
          <w:rFonts w:ascii="Times New Roman" w:eastAsia="Times New Roman" w:hAnsi="Times New Roman" w:cs="Times New Roman"/>
          <w:i/>
          <w:iCs/>
          <w:color w:val="000000"/>
          <w:sz w:val="24"/>
          <w:szCs w:val="24"/>
          <w:lang w:eastAsia="lv-LV" w:bidi="lv-LV"/>
        </w:rPr>
        <w:t xml:space="preserve"> balansē slodzi uz sedlu vilcēja tapu. Šāds </w:t>
      </w:r>
      <w:r w:rsidRPr="00FD132D">
        <w:rPr>
          <w:rFonts w:ascii="Times New Roman" w:eastAsia="Times New Roman" w:hAnsi="Times New Roman" w:cs="Times New Roman"/>
          <w:i/>
          <w:iCs/>
          <w:color w:val="000000"/>
          <w:sz w:val="24"/>
          <w:szCs w:val="24"/>
          <w:lang w:eastAsia="lv-LV" w:bidi="lv-LV"/>
        </w:rPr>
        <w:t>garenbāzes</w:t>
      </w:r>
      <w:r w:rsidRPr="00FD132D">
        <w:rPr>
          <w:rFonts w:ascii="Times New Roman" w:eastAsia="Times New Roman" w:hAnsi="Times New Roman" w:cs="Times New Roman"/>
          <w:i/>
          <w:iCs/>
          <w:color w:val="000000"/>
          <w:sz w:val="24"/>
          <w:szCs w:val="24"/>
          <w:lang w:eastAsia="lv-LV" w:bidi="lv-LV"/>
        </w:rPr>
        <w:t xml:space="preserve"> izkārtojums pieprasa īpaši izturīgu, pastiprinātu tērauda nesošo rāmi, kas spēj izturēt milzīgu lieces momentu. Šādas pastiprinātas puspiekabes pašmasa sasniedz 25 tonnas.</w:t>
      </w:r>
    </w:p>
    <w:p w:rsidR="000F1EB2" w:rsidRPr="00FD132D" w:rsidP="00A61F84" w14:paraId="147C5B4E"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Ja ražotājs mēģinātu saīsināt treilera izkārtojumu vai samazināt asu skaitu, lai iekļautos Pasūtītāja prasītajā 100 tonnu limitā, 78,5 tonnas smagā derīgā krava tiktu sakoncentrēta mazākā platībā. Rezultātā slodze uz vienu transportlīdzekļa asi pārsniegtu Latvijas Republikas tiesību aktos noteikto maksimālo robežu (virs 13 tonnām uz asi), padarot šāda transportlīdzekļa pārvietošanu pa Latvijas ceļiem juridiski un fiziski neiespējamu.</w:t>
      </w:r>
    </w:p>
    <w:p w:rsidR="000F1EB2" w:rsidRPr="00FD132D" w:rsidP="00A61F84" w14:paraId="01C7821A"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Tehniskajā specifikācijā pieprasītais iekārtu izkārtojums un drošības standarti nosaka treilera fiziskos izmērus. Lai šādu izkārtojumu pārvietotu, nepārkāpjot 13 tonnu asu slodzes limitu, ir nepieciešama tieši tāda asu konfigurācija un treilera pašmasa (25 t), kas kopā ar vilcēju un iekārtām veido ~115 tonnu kopējo masu. 100 tonnu limits nav izpildāms, nemainot vai nu izkārtojumu (kas nav iespējams drošības dēļ), vai nesamazinot jaudu.</w:t>
      </w:r>
    </w:p>
    <w:p w:rsidR="000F1EB2" w:rsidRPr="00FD132D" w:rsidP="00A61F84" w14:paraId="5DD6CCDA"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Papildus tīri mehāniskajiem un izkārtojuma parametriem, 25 MVA transformatora fizisko svaru tieši, neizbēgami un juridiski ietekmē Eiropas Savienībā spēkā esošais tiesiskais regulējums, Eiropas Komisijas Regula (ES) Nr. 548/2014 un tās grozījumi (ES) 2019/1783 attiecībā uz </w:t>
      </w:r>
      <w:r w:rsidRPr="00FD132D">
        <w:rPr>
          <w:rFonts w:ascii="Times New Roman" w:eastAsia="Times New Roman" w:hAnsi="Times New Roman" w:cs="Times New Roman"/>
          <w:i/>
          <w:iCs/>
          <w:color w:val="000000"/>
          <w:sz w:val="24"/>
          <w:szCs w:val="24"/>
          <w:lang w:eastAsia="lv-LV" w:bidi="lv-LV"/>
        </w:rPr>
        <w:t>ekodizaina</w:t>
      </w:r>
      <w:r w:rsidRPr="00FD132D">
        <w:rPr>
          <w:rFonts w:ascii="Times New Roman" w:eastAsia="Times New Roman" w:hAnsi="Times New Roman" w:cs="Times New Roman"/>
          <w:i/>
          <w:iCs/>
          <w:color w:val="000000"/>
          <w:sz w:val="24"/>
          <w:szCs w:val="24"/>
          <w:lang w:eastAsia="lv-LV" w:bidi="lv-LV"/>
        </w:rPr>
        <w:t xml:space="preserve"> prasībām jaudas transformatoriem.</w:t>
      </w:r>
    </w:p>
    <w:p w:rsidR="000F1EB2" w:rsidRPr="00FD132D" w:rsidP="00A61F84" w14:paraId="147DA3E3"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Lai transformatoru būtu atļauts laist ES un Latvijas tirgū, tam ir jānodrošina īpaši zemi tukšgaitas un slodzes zudumi. Lai sasniegtu šos stingros energoefektivitātes rādītājus, ražotājs ir spiests izmantot ievērojami lielāku daudzumu augstākās kvalitātes </w:t>
      </w:r>
      <w:r w:rsidRPr="00FD132D">
        <w:rPr>
          <w:rFonts w:ascii="Times New Roman" w:eastAsia="Times New Roman" w:hAnsi="Times New Roman" w:cs="Times New Roman"/>
          <w:i/>
          <w:iCs/>
          <w:color w:val="000000"/>
          <w:sz w:val="24"/>
          <w:szCs w:val="24"/>
          <w:lang w:eastAsia="lv-LV" w:bidi="lv-LV"/>
        </w:rPr>
        <w:t>elektrotehniskā tērauda magnētiskajā serdē un būtiski palielināt tinumu šķērsgriezumu.</w:t>
      </w:r>
    </w:p>
    <w:p w:rsidR="000F1EB2" w:rsidRPr="00FD132D" w:rsidP="00A61F84" w14:paraId="3304FA08"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Inženiertehniskā prakse rāda, ka pāreja uz obligātajām </w:t>
      </w:r>
      <w:r w:rsidRPr="00FD132D">
        <w:rPr>
          <w:rFonts w:ascii="Times New Roman" w:eastAsia="Times New Roman" w:hAnsi="Times New Roman" w:cs="Times New Roman"/>
          <w:i/>
          <w:iCs/>
          <w:color w:val="000000"/>
          <w:sz w:val="24"/>
          <w:szCs w:val="24"/>
          <w:lang w:eastAsia="lv-LV" w:bidi="lv-LV"/>
        </w:rPr>
        <w:t>Ekodizaina</w:t>
      </w:r>
      <w:r w:rsidRPr="00FD132D">
        <w:rPr>
          <w:rFonts w:ascii="Times New Roman" w:eastAsia="Times New Roman" w:hAnsi="Times New Roman" w:cs="Times New Roman"/>
          <w:i/>
          <w:iCs/>
          <w:color w:val="000000"/>
          <w:sz w:val="24"/>
          <w:szCs w:val="24"/>
          <w:lang w:eastAsia="lv-LV" w:bidi="lv-LV"/>
        </w:rPr>
        <w:t xml:space="preserve"> prasībām palielina transformatora aktīvās daļas svaru par aptuveni 15% līdz 20%, salīdzinot ar vecākas paaudzes transformatoriem vai iekārtām, kas ražotas reģioniem ārpus ES, kur šādi zaudējumu ierobežojumi nepastāv.</w:t>
      </w:r>
    </w:p>
    <w:p w:rsidR="000F1EB2" w:rsidRPr="00FD132D" w:rsidP="00A61F84" w14:paraId="60F8D215"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Ražotājam </w:t>
      </w:r>
      <w:r w:rsidRPr="00FD132D">
        <w:rPr>
          <w:rFonts w:ascii="Times New Roman" w:eastAsia="Times New Roman" w:hAnsi="Times New Roman" w:cs="Times New Roman"/>
          <w:i/>
          <w:iCs/>
          <w:color w:val="000000"/>
          <w:sz w:val="24"/>
          <w:szCs w:val="24"/>
          <w:lang w:bidi="en-US"/>
        </w:rPr>
        <w:t xml:space="preserve">ir tiesiski aizliegts </w:t>
      </w:r>
      <w:r w:rsidRPr="00FD132D">
        <w:rPr>
          <w:rFonts w:ascii="Times New Roman" w:eastAsia="Times New Roman" w:hAnsi="Times New Roman" w:cs="Times New Roman"/>
          <w:i/>
          <w:iCs/>
          <w:color w:val="000000"/>
          <w:sz w:val="24"/>
          <w:szCs w:val="24"/>
          <w:lang w:eastAsia="lv-LV" w:bidi="lv-LV"/>
        </w:rPr>
        <w:t xml:space="preserve">samazināt </w:t>
      </w:r>
      <w:r w:rsidRPr="00FD132D">
        <w:rPr>
          <w:rFonts w:ascii="Times New Roman" w:eastAsia="Times New Roman" w:hAnsi="Times New Roman" w:cs="Times New Roman"/>
          <w:i/>
          <w:iCs/>
          <w:color w:val="000000"/>
          <w:sz w:val="24"/>
          <w:szCs w:val="24"/>
          <w:lang w:bidi="en-US"/>
        </w:rPr>
        <w:t xml:space="preserve">transformatora svaru uz </w:t>
      </w:r>
      <w:r w:rsidRPr="00FD132D">
        <w:rPr>
          <w:rFonts w:ascii="Times New Roman" w:eastAsia="Times New Roman" w:hAnsi="Times New Roman" w:cs="Times New Roman"/>
          <w:i/>
          <w:iCs/>
          <w:color w:val="000000"/>
          <w:sz w:val="24"/>
          <w:szCs w:val="24"/>
          <w:lang w:eastAsia="lv-LV" w:bidi="lv-LV"/>
        </w:rPr>
        <w:t xml:space="preserve">tērauda </w:t>
      </w:r>
      <w:r w:rsidRPr="00FD132D">
        <w:rPr>
          <w:rFonts w:ascii="Times New Roman" w:eastAsia="Times New Roman" w:hAnsi="Times New Roman" w:cs="Times New Roman"/>
          <w:i/>
          <w:iCs/>
          <w:color w:val="000000"/>
          <w:sz w:val="24"/>
          <w:szCs w:val="24"/>
          <w:lang w:bidi="en-US"/>
        </w:rPr>
        <w:t xml:space="preserve">vai vara apjoma </w:t>
      </w:r>
      <w:r w:rsidRPr="00FD132D">
        <w:rPr>
          <w:rFonts w:ascii="Times New Roman" w:eastAsia="Times New Roman" w:hAnsi="Times New Roman" w:cs="Times New Roman"/>
          <w:i/>
          <w:iCs/>
          <w:color w:val="000000"/>
          <w:sz w:val="24"/>
          <w:szCs w:val="24"/>
          <w:lang w:eastAsia="lv-LV" w:bidi="lv-LV"/>
        </w:rPr>
        <w:t xml:space="preserve">rēķina, </w:t>
      </w:r>
      <w:r w:rsidRPr="00FD132D">
        <w:rPr>
          <w:rFonts w:ascii="Times New Roman" w:eastAsia="Times New Roman" w:hAnsi="Times New Roman" w:cs="Times New Roman"/>
          <w:i/>
          <w:iCs/>
          <w:color w:val="000000"/>
          <w:sz w:val="24"/>
          <w:szCs w:val="24"/>
          <w:lang w:bidi="en-US"/>
        </w:rPr>
        <w:t xml:space="preserve">jo tas </w:t>
      </w:r>
      <w:r w:rsidRPr="00FD132D">
        <w:rPr>
          <w:rFonts w:ascii="Times New Roman" w:eastAsia="Times New Roman" w:hAnsi="Times New Roman" w:cs="Times New Roman"/>
          <w:i/>
          <w:iCs/>
          <w:color w:val="000000"/>
          <w:sz w:val="24"/>
          <w:szCs w:val="24"/>
          <w:lang w:eastAsia="lv-LV" w:bidi="lv-LV"/>
        </w:rPr>
        <w:t xml:space="preserve">automātiski palielinātu </w:t>
      </w:r>
      <w:r w:rsidRPr="00FD132D">
        <w:rPr>
          <w:rFonts w:ascii="Times New Roman" w:eastAsia="Times New Roman" w:hAnsi="Times New Roman" w:cs="Times New Roman"/>
          <w:i/>
          <w:iCs/>
          <w:color w:val="000000"/>
          <w:sz w:val="24"/>
          <w:szCs w:val="24"/>
          <w:lang w:bidi="en-US"/>
        </w:rPr>
        <w:t xml:space="preserve">zudumus. </w:t>
      </w:r>
      <w:r w:rsidRPr="00FD132D">
        <w:rPr>
          <w:rFonts w:ascii="Times New Roman" w:eastAsia="Times New Roman" w:hAnsi="Times New Roman" w:cs="Times New Roman"/>
          <w:i/>
          <w:iCs/>
          <w:color w:val="000000"/>
          <w:sz w:val="24"/>
          <w:szCs w:val="24"/>
          <w:lang w:eastAsia="lv-LV" w:bidi="lv-LV"/>
        </w:rPr>
        <w:t xml:space="preserve">Tādā gadījumā iekārta </w:t>
      </w:r>
      <w:r w:rsidRPr="00FD132D">
        <w:rPr>
          <w:rFonts w:ascii="Times New Roman" w:eastAsia="Times New Roman" w:hAnsi="Times New Roman" w:cs="Times New Roman"/>
          <w:i/>
          <w:iCs/>
          <w:color w:val="000000"/>
          <w:sz w:val="24"/>
          <w:szCs w:val="24"/>
          <w:lang w:bidi="en-US"/>
        </w:rPr>
        <w:t xml:space="preserve">neatbilstu ES </w:t>
      </w:r>
      <w:r w:rsidRPr="00FD132D">
        <w:rPr>
          <w:rFonts w:ascii="Times New Roman" w:eastAsia="Times New Roman" w:hAnsi="Times New Roman" w:cs="Times New Roman"/>
          <w:i/>
          <w:iCs/>
          <w:color w:val="000000"/>
          <w:sz w:val="24"/>
          <w:szCs w:val="24"/>
          <w:lang w:eastAsia="lv-LV" w:bidi="lv-LV"/>
        </w:rPr>
        <w:t xml:space="preserve">direktīvām, ražotājs nevarētu </w:t>
      </w:r>
      <w:r w:rsidRPr="00FD132D">
        <w:rPr>
          <w:rFonts w:ascii="Times New Roman" w:eastAsia="Times New Roman" w:hAnsi="Times New Roman" w:cs="Times New Roman"/>
          <w:i/>
          <w:iCs/>
          <w:color w:val="000000"/>
          <w:sz w:val="24"/>
          <w:szCs w:val="24"/>
          <w:lang w:bidi="en-US"/>
        </w:rPr>
        <w:t xml:space="preserve">izsniegt CE </w:t>
      </w:r>
      <w:r w:rsidRPr="00FD132D">
        <w:rPr>
          <w:rFonts w:ascii="Times New Roman" w:eastAsia="Times New Roman" w:hAnsi="Times New Roman" w:cs="Times New Roman"/>
          <w:i/>
          <w:iCs/>
          <w:color w:val="000000"/>
          <w:sz w:val="24"/>
          <w:szCs w:val="24"/>
          <w:lang w:eastAsia="lv-LV" w:bidi="lv-LV"/>
        </w:rPr>
        <w:t xml:space="preserve">atbilstības deklarāciju,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Pasūtītājs šādu </w:t>
      </w:r>
      <w:r w:rsidRPr="00FD132D">
        <w:rPr>
          <w:rFonts w:ascii="Times New Roman" w:eastAsia="Times New Roman" w:hAnsi="Times New Roman" w:cs="Times New Roman"/>
          <w:i/>
          <w:iCs/>
          <w:color w:val="000000"/>
          <w:sz w:val="24"/>
          <w:szCs w:val="24"/>
          <w:lang w:bidi="en-US"/>
        </w:rPr>
        <w:t xml:space="preserve">mobilo </w:t>
      </w:r>
      <w:r w:rsidRPr="00FD132D">
        <w:rPr>
          <w:rFonts w:ascii="Times New Roman" w:eastAsia="Times New Roman" w:hAnsi="Times New Roman" w:cs="Times New Roman"/>
          <w:i/>
          <w:iCs/>
          <w:color w:val="000000"/>
          <w:sz w:val="24"/>
          <w:szCs w:val="24"/>
          <w:lang w:eastAsia="lv-LV" w:bidi="lv-LV"/>
        </w:rPr>
        <w:t xml:space="preserve">apakšstaciju </w:t>
      </w:r>
      <w:r w:rsidRPr="00FD132D">
        <w:rPr>
          <w:rFonts w:ascii="Times New Roman" w:eastAsia="Times New Roman" w:hAnsi="Times New Roman" w:cs="Times New Roman"/>
          <w:i/>
          <w:iCs/>
          <w:color w:val="000000"/>
          <w:sz w:val="24"/>
          <w:szCs w:val="24"/>
          <w:lang w:bidi="en-US"/>
        </w:rPr>
        <w:t xml:space="preserve">juridiski </w:t>
      </w:r>
      <w:r w:rsidRPr="00FD132D">
        <w:rPr>
          <w:rFonts w:ascii="Times New Roman" w:eastAsia="Times New Roman" w:hAnsi="Times New Roman" w:cs="Times New Roman"/>
          <w:i/>
          <w:iCs/>
          <w:color w:val="000000"/>
          <w:sz w:val="24"/>
          <w:szCs w:val="24"/>
          <w:lang w:eastAsia="lv-LV" w:bidi="lv-LV"/>
        </w:rPr>
        <w:t xml:space="preserve">nedrīkstētu pieņemt ekspluatācijā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pieslēgt pārvades tīklam.</w:t>
      </w:r>
    </w:p>
    <w:p w:rsidR="000F1EB2" w:rsidRPr="00FD132D" w:rsidP="00A61F84" w14:paraId="44A04CEA"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Ņemot vērā, </w:t>
      </w:r>
      <w:r w:rsidRPr="00FD132D">
        <w:rPr>
          <w:rFonts w:ascii="Times New Roman" w:eastAsia="Times New Roman" w:hAnsi="Times New Roman" w:cs="Times New Roman"/>
          <w:i/>
          <w:iCs/>
          <w:color w:val="000000"/>
          <w:sz w:val="24"/>
          <w:szCs w:val="24"/>
          <w:lang w:bidi="en-US"/>
        </w:rPr>
        <w:t xml:space="preserve">ka </w:t>
      </w:r>
      <w:r w:rsidRPr="00FD132D">
        <w:rPr>
          <w:rFonts w:ascii="Times New Roman" w:eastAsia="Times New Roman" w:hAnsi="Times New Roman" w:cs="Times New Roman"/>
          <w:i/>
          <w:iCs/>
          <w:color w:val="000000"/>
          <w:sz w:val="24"/>
          <w:szCs w:val="24"/>
          <w:lang w:eastAsia="lv-LV" w:bidi="lv-LV"/>
        </w:rPr>
        <w:t xml:space="preserve">bāzes aprēķins objektīvi sastāda </w:t>
      </w:r>
      <w:r w:rsidRPr="00FD132D">
        <w:rPr>
          <w:rFonts w:ascii="Times New Roman" w:eastAsia="Times New Roman" w:hAnsi="Times New Roman" w:cs="Times New Roman"/>
          <w:i/>
          <w:iCs/>
          <w:color w:val="000000"/>
          <w:sz w:val="24"/>
          <w:szCs w:val="24"/>
          <w:lang w:bidi="en-US"/>
        </w:rPr>
        <w:t xml:space="preserve">aptuveni 115 tonnas, </w:t>
      </w:r>
      <w:r w:rsidRPr="00FD132D">
        <w:rPr>
          <w:rFonts w:ascii="Times New Roman" w:eastAsia="Times New Roman" w:hAnsi="Times New Roman" w:cs="Times New Roman"/>
          <w:i/>
          <w:iCs/>
          <w:color w:val="000000"/>
          <w:sz w:val="24"/>
          <w:szCs w:val="24"/>
          <w:lang w:eastAsia="lv-LV" w:bidi="lv-LV"/>
        </w:rPr>
        <w:t xml:space="preserve">specifikācijā </w:t>
      </w:r>
      <w:r w:rsidRPr="00FD132D">
        <w:rPr>
          <w:rFonts w:ascii="Times New Roman" w:eastAsia="Times New Roman" w:hAnsi="Times New Roman" w:cs="Times New Roman"/>
          <w:i/>
          <w:iCs/>
          <w:color w:val="000000"/>
          <w:sz w:val="24"/>
          <w:szCs w:val="24"/>
          <w:lang w:bidi="en-US"/>
        </w:rPr>
        <w:t xml:space="preserve">noteiktais 100 tonnu limits ir fiziski nesasniedzams </w:t>
      </w:r>
      <w:r w:rsidRPr="00FD132D">
        <w:rPr>
          <w:rFonts w:ascii="Times New Roman" w:eastAsia="Times New Roman" w:hAnsi="Times New Roman" w:cs="Times New Roman"/>
          <w:i/>
          <w:iCs/>
          <w:color w:val="000000"/>
          <w:sz w:val="24"/>
          <w:szCs w:val="24"/>
          <w:lang w:eastAsia="lv-LV" w:bidi="lv-LV"/>
        </w:rPr>
        <w:t xml:space="preserve">mērķis gandrīz </w:t>
      </w:r>
      <w:r w:rsidRPr="00FD132D">
        <w:rPr>
          <w:rFonts w:ascii="Times New Roman" w:eastAsia="Times New Roman" w:hAnsi="Times New Roman" w:cs="Times New Roman"/>
          <w:i/>
          <w:iCs/>
          <w:color w:val="000000"/>
          <w:sz w:val="24"/>
          <w:szCs w:val="24"/>
          <w:lang w:bidi="en-US"/>
        </w:rPr>
        <w:t xml:space="preserve">jebkuram </w:t>
      </w:r>
      <w:r w:rsidRPr="00FD132D">
        <w:rPr>
          <w:rFonts w:ascii="Times New Roman" w:eastAsia="Times New Roman" w:hAnsi="Times New Roman" w:cs="Times New Roman"/>
          <w:i/>
          <w:iCs/>
          <w:color w:val="000000"/>
          <w:sz w:val="24"/>
          <w:szCs w:val="24"/>
          <w:lang w:eastAsia="lv-LV" w:bidi="lv-LV"/>
        </w:rPr>
        <w:t xml:space="preserve">elektroiekārtu ražotājam pasaulē. Saglabājot </w:t>
      </w:r>
      <w:r w:rsidRPr="00FD132D">
        <w:rPr>
          <w:rFonts w:ascii="Times New Roman" w:eastAsia="Times New Roman" w:hAnsi="Times New Roman" w:cs="Times New Roman"/>
          <w:i/>
          <w:iCs/>
          <w:color w:val="000000"/>
          <w:sz w:val="24"/>
          <w:szCs w:val="24"/>
          <w:lang w:bidi="en-US"/>
        </w:rPr>
        <w:t xml:space="preserve">visus </w:t>
      </w:r>
      <w:r w:rsidRPr="00FD132D">
        <w:rPr>
          <w:rFonts w:ascii="Times New Roman" w:eastAsia="Times New Roman" w:hAnsi="Times New Roman" w:cs="Times New Roman"/>
          <w:i/>
          <w:iCs/>
          <w:color w:val="000000"/>
          <w:sz w:val="24"/>
          <w:szCs w:val="24"/>
          <w:lang w:eastAsia="lv-LV" w:bidi="lv-LV"/>
        </w:rPr>
        <w:t xml:space="preserve">nosacījumus, iepirkumā </w:t>
      </w:r>
      <w:r w:rsidRPr="00FD132D">
        <w:rPr>
          <w:rFonts w:ascii="Times New Roman" w:eastAsia="Times New Roman" w:hAnsi="Times New Roman" w:cs="Times New Roman"/>
          <w:i/>
          <w:iCs/>
          <w:color w:val="000000"/>
          <w:sz w:val="24"/>
          <w:szCs w:val="24"/>
          <w:lang w:bidi="en-US"/>
        </w:rPr>
        <w:t xml:space="preserve">nav </w:t>
      </w:r>
      <w:r w:rsidRPr="00FD132D">
        <w:rPr>
          <w:rFonts w:ascii="Times New Roman" w:eastAsia="Times New Roman" w:hAnsi="Times New Roman" w:cs="Times New Roman"/>
          <w:i/>
          <w:iCs/>
          <w:color w:val="000000"/>
          <w:sz w:val="24"/>
          <w:szCs w:val="24"/>
          <w:lang w:eastAsia="lv-LV" w:bidi="lv-LV"/>
        </w:rPr>
        <w:t xml:space="preserve">iespējams </w:t>
      </w:r>
      <w:r w:rsidRPr="00FD132D">
        <w:rPr>
          <w:rFonts w:ascii="Times New Roman" w:eastAsia="Times New Roman" w:hAnsi="Times New Roman" w:cs="Times New Roman"/>
          <w:i/>
          <w:iCs/>
          <w:color w:val="000000"/>
          <w:sz w:val="24"/>
          <w:szCs w:val="24"/>
          <w:lang w:bidi="en-US"/>
        </w:rPr>
        <w:t xml:space="preserve">iesniegt tehniski </w:t>
      </w:r>
      <w:r w:rsidRPr="00FD132D">
        <w:rPr>
          <w:rFonts w:ascii="Times New Roman" w:eastAsia="Times New Roman" w:hAnsi="Times New Roman" w:cs="Times New Roman"/>
          <w:i/>
          <w:iCs/>
          <w:color w:val="000000"/>
          <w:sz w:val="24"/>
          <w:szCs w:val="24"/>
          <w:lang w:eastAsia="lv-LV" w:bidi="lv-LV"/>
        </w:rPr>
        <w:t xml:space="preserve">realizējamu </w:t>
      </w:r>
      <w:r w:rsidRPr="00FD132D">
        <w:rPr>
          <w:rFonts w:ascii="Times New Roman" w:eastAsia="Times New Roman" w:hAnsi="Times New Roman" w:cs="Times New Roman"/>
          <w:i/>
          <w:iCs/>
          <w:color w:val="000000"/>
          <w:sz w:val="24"/>
          <w:szCs w:val="24"/>
          <w:lang w:bidi="en-US"/>
        </w:rPr>
        <w:t xml:space="preserve">un vienlaikus nolikumam </w:t>
      </w:r>
      <w:r w:rsidRPr="00FD132D">
        <w:rPr>
          <w:rFonts w:ascii="Times New Roman" w:eastAsia="Times New Roman" w:hAnsi="Times New Roman" w:cs="Times New Roman"/>
          <w:i/>
          <w:iCs/>
          <w:color w:val="000000"/>
          <w:sz w:val="24"/>
          <w:szCs w:val="24"/>
          <w:lang w:eastAsia="lv-LV" w:bidi="lv-LV"/>
        </w:rPr>
        <w:t>atbilstošu risinājumu.</w:t>
      </w:r>
    </w:p>
    <w:p w:rsidR="000F1EB2" w:rsidRPr="00FD132D" w:rsidP="00A61F84" w14:paraId="54B38C51"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bidi="en-US"/>
        </w:rPr>
        <w:t xml:space="preserve">Lai </w:t>
      </w:r>
      <w:r w:rsidRPr="00FD132D">
        <w:rPr>
          <w:rFonts w:ascii="Times New Roman" w:eastAsia="Times New Roman" w:hAnsi="Times New Roman" w:cs="Times New Roman"/>
          <w:i/>
          <w:iCs/>
          <w:color w:val="000000"/>
          <w:sz w:val="24"/>
          <w:szCs w:val="24"/>
          <w:lang w:eastAsia="lv-LV" w:bidi="lv-LV"/>
        </w:rPr>
        <w:t xml:space="preserve">nodrošinātu brīvu </w:t>
      </w:r>
      <w:r w:rsidRPr="00FD132D">
        <w:rPr>
          <w:rFonts w:ascii="Times New Roman" w:eastAsia="Times New Roman" w:hAnsi="Times New Roman" w:cs="Times New Roman"/>
          <w:i/>
          <w:iCs/>
          <w:color w:val="000000"/>
          <w:sz w:val="24"/>
          <w:szCs w:val="24"/>
          <w:lang w:bidi="en-US"/>
        </w:rPr>
        <w:t xml:space="preserve">konkurenci un dotu </w:t>
      </w:r>
      <w:r w:rsidRPr="00FD132D">
        <w:rPr>
          <w:rFonts w:ascii="Times New Roman" w:eastAsia="Times New Roman" w:hAnsi="Times New Roman" w:cs="Times New Roman"/>
          <w:i/>
          <w:iCs/>
          <w:color w:val="000000"/>
          <w:sz w:val="24"/>
          <w:szCs w:val="24"/>
          <w:lang w:eastAsia="lv-LV" w:bidi="lv-LV"/>
        </w:rPr>
        <w:t xml:space="preserve">iespēju </w:t>
      </w:r>
      <w:r w:rsidRPr="00FD132D">
        <w:rPr>
          <w:rFonts w:ascii="Times New Roman" w:eastAsia="Times New Roman" w:hAnsi="Times New Roman" w:cs="Times New Roman"/>
          <w:i/>
          <w:iCs/>
          <w:color w:val="000000"/>
          <w:sz w:val="24"/>
          <w:szCs w:val="24"/>
          <w:lang w:bidi="en-US"/>
        </w:rPr>
        <w:t xml:space="preserve">pretendentiem sarunu </w:t>
      </w:r>
      <w:r w:rsidRPr="00FD132D">
        <w:rPr>
          <w:rFonts w:ascii="Times New Roman" w:eastAsia="Times New Roman" w:hAnsi="Times New Roman" w:cs="Times New Roman"/>
          <w:i/>
          <w:iCs/>
          <w:color w:val="000000"/>
          <w:sz w:val="24"/>
          <w:szCs w:val="24"/>
          <w:lang w:eastAsia="lv-LV" w:bidi="lv-LV"/>
        </w:rPr>
        <w:t xml:space="preserve">procedūras </w:t>
      </w:r>
      <w:r w:rsidRPr="00FD132D">
        <w:rPr>
          <w:rFonts w:ascii="Times New Roman" w:eastAsia="Times New Roman" w:hAnsi="Times New Roman" w:cs="Times New Roman"/>
          <w:i/>
          <w:iCs/>
          <w:color w:val="000000"/>
          <w:sz w:val="24"/>
          <w:szCs w:val="24"/>
          <w:lang w:bidi="en-US"/>
        </w:rPr>
        <w:t xml:space="preserve">2. </w:t>
      </w:r>
      <w:r w:rsidRPr="00FD132D">
        <w:rPr>
          <w:rFonts w:ascii="Times New Roman" w:eastAsia="Times New Roman" w:hAnsi="Times New Roman" w:cs="Times New Roman"/>
          <w:i/>
          <w:iCs/>
          <w:color w:val="000000"/>
          <w:sz w:val="24"/>
          <w:szCs w:val="24"/>
          <w:lang w:eastAsia="lv-LV" w:bidi="lv-LV"/>
        </w:rPr>
        <w:t xml:space="preserve">kārtā </w:t>
      </w:r>
      <w:r w:rsidRPr="00FD132D">
        <w:rPr>
          <w:rFonts w:ascii="Times New Roman" w:eastAsia="Times New Roman" w:hAnsi="Times New Roman" w:cs="Times New Roman"/>
          <w:i/>
          <w:iCs/>
          <w:color w:val="000000"/>
          <w:sz w:val="24"/>
          <w:szCs w:val="24"/>
          <w:lang w:bidi="en-US"/>
        </w:rPr>
        <w:t xml:space="preserve">iesniegt </w:t>
      </w:r>
      <w:r w:rsidRPr="00FD132D">
        <w:rPr>
          <w:rFonts w:ascii="Times New Roman" w:eastAsia="Times New Roman" w:hAnsi="Times New Roman" w:cs="Times New Roman"/>
          <w:i/>
          <w:iCs/>
          <w:color w:val="000000"/>
          <w:sz w:val="24"/>
          <w:szCs w:val="24"/>
          <w:lang w:eastAsia="lv-LV" w:bidi="lv-LV"/>
        </w:rPr>
        <w:t xml:space="preserve">reālajai dzīvei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inženiertehniskajiem </w:t>
      </w:r>
      <w:r w:rsidRPr="00FD132D">
        <w:rPr>
          <w:rFonts w:ascii="Times New Roman" w:eastAsia="Times New Roman" w:hAnsi="Times New Roman" w:cs="Times New Roman"/>
          <w:i/>
          <w:iCs/>
          <w:color w:val="000000"/>
          <w:sz w:val="24"/>
          <w:szCs w:val="24"/>
          <w:lang w:bidi="en-US"/>
        </w:rPr>
        <w:t xml:space="preserve">standartiem </w:t>
      </w:r>
      <w:r w:rsidRPr="00FD132D">
        <w:rPr>
          <w:rFonts w:ascii="Times New Roman" w:eastAsia="Times New Roman" w:hAnsi="Times New Roman" w:cs="Times New Roman"/>
          <w:i/>
          <w:iCs/>
          <w:color w:val="000000"/>
          <w:sz w:val="24"/>
          <w:szCs w:val="24"/>
          <w:lang w:eastAsia="lv-LV" w:bidi="lv-LV"/>
        </w:rPr>
        <w:t xml:space="preserve">atbilstošus piedāvājumus, lūdzam </w:t>
      </w:r>
      <w:r w:rsidRPr="00FD132D">
        <w:rPr>
          <w:rFonts w:ascii="Times New Roman" w:eastAsia="Times New Roman" w:hAnsi="Times New Roman" w:cs="Times New Roman"/>
          <w:i/>
          <w:iCs/>
          <w:color w:val="000000"/>
          <w:sz w:val="24"/>
          <w:szCs w:val="24"/>
          <w:lang w:bidi="en-US"/>
        </w:rPr>
        <w:t xml:space="preserve">Iepirkumu komisiju veikt </w:t>
      </w:r>
      <w:r w:rsidRPr="00FD132D">
        <w:rPr>
          <w:rFonts w:ascii="Times New Roman" w:eastAsia="Times New Roman" w:hAnsi="Times New Roman" w:cs="Times New Roman"/>
          <w:i/>
          <w:iCs/>
          <w:color w:val="000000"/>
          <w:sz w:val="24"/>
          <w:szCs w:val="24"/>
          <w:lang w:eastAsia="lv-LV" w:bidi="lv-LV"/>
        </w:rPr>
        <w:t xml:space="preserve">grozījumus </w:t>
      </w:r>
      <w:r w:rsidRPr="00FD132D">
        <w:rPr>
          <w:rFonts w:ascii="Times New Roman" w:eastAsia="Times New Roman" w:hAnsi="Times New Roman" w:cs="Times New Roman"/>
          <w:i/>
          <w:iCs/>
          <w:color w:val="000000"/>
          <w:sz w:val="24"/>
          <w:szCs w:val="24"/>
          <w:lang w:bidi="en-US"/>
        </w:rPr>
        <w:t xml:space="preserve">iepirkuma </w:t>
      </w:r>
      <w:r w:rsidRPr="00FD132D">
        <w:rPr>
          <w:rFonts w:ascii="Times New Roman" w:eastAsia="Times New Roman" w:hAnsi="Times New Roman" w:cs="Times New Roman"/>
          <w:i/>
          <w:iCs/>
          <w:color w:val="000000"/>
          <w:sz w:val="24"/>
          <w:szCs w:val="24"/>
          <w:lang w:eastAsia="lv-LV" w:bidi="lv-LV"/>
        </w:rPr>
        <w:t xml:space="preserve">dokumentācijā </w:t>
      </w:r>
      <w:r w:rsidRPr="00FD132D">
        <w:rPr>
          <w:rFonts w:ascii="Times New Roman" w:eastAsia="Times New Roman" w:hAnsi="Times New Roman" w:cs="Times New Roman"/>
          <w:i/>
          <w:iCs/>
          <w:color w:val="000000"/>
          <w:sz w:val="24"/>
          <w:szCs w:val="24"/>
          <w:lang w:bidi="en-US"/>
        </w:rPr>
        <w:t xml:space="preserve">pirms gala </w:t>
      </w:r>
      <w:r w:rsidRPr="00FD132D">
        <w:rPr>
          <w:rFonts w:ascii="Times New Roman" w:eastAsia="Times New Roman" w:hAnsi="Times New Roman" w:cs="Times New Roman"/>
          <w:i/>
          <w:iCs/>
          <w:color w:val="000000"/>
          <w:sz w:val="24"/>
          <w:szCs w:val="24"/>
          <w:lang w:eastAsia="lv-LV" w:bidi="lv-LV"/>
        </w:rPr>
        <w:t>piedāvājumu iesniegšanas termiņa:</w:t>
      </w:r>
    </w:p>
    <w:p w:rsidR="000F1EB2" w:rsidRPr="00FD132D" w:rsidP="00A61F84" w14:paraId="071ADB11" w14:textId="77777777">
      <w:pPr>
        <w:widowControl w:val="0"/>
        <w:numPr>
          <w:ilvl w:val="0"/>
          <w:numId w:val="2"/>
        </w:numPr>
        <w:tabs>
          <w:tab w:val="left" w:pos="750"/>
        </w:tabs>
        <w:spacing w:after="120" w:line="240" w:lineRule="auto"/>
        <w:ind w:left="740" w:hanging="360"/>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bidi="en-US"/>
        </w:rPr>
        <w:t xml:space="preserve">Labot </w:t>
      </w:r>
      <w:r w:rsidRPr="00FD132D">
        <w:rPr>
          <w:rFonts w:ascii="Times New Roman" w:eastAsia="Times New Roman" w:hAnsi="Times New Roman" w:cs="Times New Roman"/>
          <w:i/>
          <w:iCs/>
          <w:color w:val="000000"/>
          <w:sz w:val="24"/>
          <w:szCs w:val="24"/>
          <w:lang w:eastAsia="lv-LV" w:bidi="lv-LV"/>
        </w:rPr>
        <w:t xml:space="preserve">tehniskās specifikācijas </w:t>
      </w:r>
      <w:r w:rsidRPr="00FD132D">
        <w:rPr>
          <w:rFonts w:ascii="Times New Roman" w:eastAsia="Times New Roman" w:hAnsi="Times New Roman" w:cs="Times New Roman"/>
          <w:i/>
          <w:iCs/>
          <w:color w:val="000000"/>
          <w:sz w:val="24"/>
          <w:szCs w:val="24"/>
          <w:lang w:bidi="en-US"/>
        </w:rPr>
        <w:t>Annex</w:t>
      </w:r>
      <w:r w:rsidRPr="00FD132D">
        <w:rPr>
          <w:rFonts w:ascii="Times New Roman" w:eastAsia="Times New Roman" w:hAnsi="Times New Roman" w:cs="Times New Roman"/>
          <w:i/>
          <w:iCs/>
          <w:color w:val="000000"/>
          <w:sz w:val="24"/>
          <w:szCs w:val="24"/>
          <w:lang w:bidi="en-US"/>
        </w:rPr>
        <w:t xml:space="preserve"> 7.11 </w:t>
      </w:r>
      <w:r w:rsidRPr="00FD132D">
        <w:rPr>
          <w:rFonts w:ascii="Times New Roman" w:eastAsia="Times New Roman" w:hAnsi="Times New Roman" w:cs="Times New Roman"/>
          <w:i/>
          <w:iCs/>
          <w:color w:val="000000"/>
          <w:sz w:val="24"/>
          <w:szCs w:val="24"/>
          <w:lang w:eastAsia="lv-LV" w:bidi="lv-LV"/>
        </w:rPr>
        <w:t xml:space="preserve">prasību, </w:t>
      </w:r>
      <w:r w:rsidRPr="00FD132D">
        <w:rPr>
          <w:rFonts w:ascii="Times New Roman" w:eastAsia="Times New Roman" w:hAnsi="Times New Roman" w:cs="Times New Roman"/>
          <w:i/>
          <w:iCs/>
          <w:color w:val="000000"/>
          <w:sz w:val="24"/>
          <w:szCs w:val="24"/>
          <w:lang w:bidi="en-US"/>
        </w:rPr>
        <w:t xml:space="preserve">palielinot </w:t>
      </w:r>
      <w:r w:rsidRPr="00FD132D">
        <w:rPr>
          <w:rFonts w:ascii="Times New Roman" w:eastAsia="Times New Roman" w:hAnsi="Times New Roman" w:cs="Times New Roman"/>
          <w:i/>
          <w:iCs/>
          <w:color w:val="000000"/>
          <w:sz w:val="24"/>
          <w:szCs w:val="24"/>
          <w:lang w:eastAsia="lv-LV" w:bidi="lv-LV"/>
        </w:rPr>
        <w:t xml:space="preserve">maksimāli pieļaujamo transportlīdzekļu sastāva kopējo </w:t>
      </w:r>
      <w:r w:rsidRPr="00FD132D">
        <w:rPr>
          <w:rFonts w:ascii="Times New Roman" w:eastAsia="Times New Roman" w:hAnsi="Times New Roman" w:cs="Times New Roman"/>
          <w:i/>
          <w:iCs/>
          <w:color w:val="000000"/>
          <w:sz w:val="24"/>
          <w:szCs w:val="24"/>
          <w:lang w:bidi="en-US"/>
        </w:rPr>
        <w:t xml:space="preserve">pilno masu ar </w:t>
      </w:r>
      <w:r w:rsidRPr="00FD132D">
        <w:rPr>
          <w:rFonts w:ascii="Times New Roman" w:eastAsia="Times New Roman" w:hAnsi="Times New Roman" w:cs="Times New Roman"/>
          <w:i/>
          <w:iCs/>
          <w:color w:val="000000"/>
          <w:sz w:val="24"/>
          <w:szCs w:val="24"/>
          <w:lang w:eastAsia="lv-LV" w:bidi="lv-LV"/>
        </w:rPr>
        <w:t>vilcēju(</w:t>
      </w:r>
      <w:r w:rsidRPr="00FD132D">
        <w:rPr>
          <w:rFonts w:ascii="Times New Roman" w:eastAsia="Times New Roman" w:hAnsi="Times New Roman" w:cs="Times New Roman"/>
          <w:i/>
          <w:iCs/>
          <w:color w:val="000000"/>
          <w:sz w:val="24"/>
          <w:szCs w:val="24"/>
          <w:lang w:eastAsia="lv-LV" w:bidi="lv-LV"/>
        </w:rPr>
        <w:t>TR+Ehouse</w:t>
      </w:r>
      <w:r w:rsidRPr="00FD132D">
        <w:rPr>
          <w:rFonts w:ascii="Times New Roman" w:eastAsia="Times New Roman" w:hAnsi="Times New Roman" w:cs="Times New Roman"/>
          <w:i/>
          <w:iCs/>
          <w:color w:val="000000"/>
          <w:sz w:val="24"/>
          <w:szCs w:val="24"/>
          <w:lang w:eastAsia="lv-LV" w:bidi="lv-LV"/>
        </w:rPr>
        <w:t xml:space="preserve"> </w:t>
      </w:r>
      <w:r w:rsidRPr="00FD132D">
        <w:rPr>
          <w:rFonts w:ascii="Times New Roman" w:eastAsia="Times New Roman" w:hAnsi="Times New Roman" w:cs="Times New Roman"/>
          <w:i/>
          <w:iCs/>
          <w:color w:val="000000"/>
          <w:sz w:val="24"/>
          <w:szCs w:val="24"/>
          <w:lang w:bidi="en-US"/>
        </w:rPr>
        <w:t xml:space="preserve">modulim) </w:t>
      </w:r>
      <w:r w:rsidRPr="00FD132D">
        <w:rPr>
          <w:rFonts w:ascii="Times New Roman" w:eastAsia="Times New Roman" w:hAnsi="Times New Roman" w:cs="Times New Roman"/>
          <w:i/>
          <w:iCs/>
          <w:color w:val="000000"/>
          <w:sz w:val="24"/>
          <w:szCs w:val="24"/>
          <w:lang w:eastAsia="lv-LV" w:bidi="lv-LV"/>
        </w:rPr>
        <w:t xml:space="preserve">līdz </w:t>
      </w:r>
      <w:r w:rsidRPr="00FD132D">
        <w:rPr>
          <w:rFonts w:ascii="Times New Roman" w:eastAsia="Times New Roman" w:hAnsi="Times New Roman" w:cs="Times New Roman"/>
          <w:i/>
          <w:iCs/>
          <w:color w:val="000000"/>
          <w:sz w:val="24"/>
          <w:szCs w:val="24"/>
          <w:lang w:bidi="en-US"/>
        </w:rPr>
        <w:t xml:space="preserve">115 000 kg (115 </w:t>
      </w:r>
      <w:r w:rsidRPr="00FD132D">
        <w:rPr>
          <w:rFonts w:ascii="Times New Roman" w:eastAsia="Times New Roman" w:hAnsi="Times New Roman" w:cs="Times New Roman"/>
          <w:i/>
          <w:iCs/>
          <w:color w:val="000000"/>
          <w:sz w:val="24"/>
          <w:szCs w:val="24"/>
          <w:lang w:eastAsia="lv-LV" w:bidi="lv-LV"/>
        </w:rPr>
        <w:t xml:space="preserve">tonnām), </w:t>
      </w:r>
      <w:r w:rsidRPr="00FD132D">
        <w:rPr>
          <w:rFonts w:ascii="Times New Roman" w:eastAsia="Times New Roman" w:hAnsi="Times New Roman" w:cs="Times New Roman"/>
          <w:i/>
          <w:iCs/>
          <w:color w:val="000000"/>
          <w:sz w:val="24"/>
          <w:szCs w:val="24"/>
          <w:lang w:bidi="en-US"/>
        </w:rPr>
        <w:t xml:space="preserve">vienlaikus nosakot, ka pretendents </w:t>
      </w:r>
      <w:r w:rsidRPr="00FD132D">
        <w:rPr>
          <w:rFonts w:ascii="Times New Roman" w:eastAsia="Times New Roman" w:hAnsi="Times New Roman" w:cs="Times New Roman"/>
          <w:i/>
          <w:iCs/>
          <w:color w:val="000000"/>
          <w:sz w:val="24"/>
          <w:szCs w:val="24"/>
          <w:lang w:eastAsia="lv-LV" w:bidi="lv-LV"/>
        </w:rPr>
        <w:t xml:space="preserve">nodrošina optimizētu </w:t>
      </w:r>
      <w:r w:rsidRPr="00FD132D">
        <w:rPr>
          <w:rFonts w:ascii="Times New Roman" w:eastAsia="Times New Roman" w:hAnsi="Times New Roman" w:cs="Times New Roman"/>
          <w:i/>
          <w:iCs/>
          <w:color w:val="000000"/>
          <w:sz w:val="24"/>
          <w:szCs w:val="24"/>
          <w:lang w:bidi="en-US"/>
        </w:rPr>
        <w:t xml:space="preserve">asu </w:t>
      </w:r>
      <w:r w:rsidRPr="00FD132D">
        <w:rPr>
          <w:rFonts w:ascii="Times New Roman" w:eastAsia="Times New Roman" w:hAnsi="Times New Roman" w:cs="Times New Roman"/>
          <w:i/>
          <w:iCs/>
          <w:color w:val="000000"/>
          <w:sz w:val="24"/>
          <w:szCs w:val="24"/>
          <w:lang w:eastAsia="lv-LV" w:bidi="lv-LV"/>
        </w:rPr>
        <w:t xml:space="preserve">konfigurāciju, </w:t>
      </w:r>
      <w:r w:rsidRPr="00FD132D">
        <w:rPr>
          <w:rFonts w:ascii="Times New Roman" w:eastAsia="Times New Roman" w:hAnsi="Times New Roman" w:cs="Times New Roman"/>
          <w:i/>
          <w:iCs/>
          <w:color w:val="000000"/>
          <w:sz w:val="24"/>
          <w:szCs w:val="24"/>
          <w:lang w:bidi="en-US"/>
        </w:rPr>
        <w:t xml:space="preserve">kur asu slodze </w:t>
      </w:r>
      <w:r w:rsidRPr="00FD132D">
        <w:rPr>
          <w:rFonts w:ascii="Times New Roman" w:eastAsia="Times New Roman" w:hAnsi="Times New Roman" w:cs="Times New Roman"/>
          <w:i/>
          <w:iCs/>
          <w:color w:val="000000"/>
          <w:sz w:val="24"/>
          <w:szCs w:val="24"/>
          <w:lang w:eastAsia="lv-LV" w:bidi="lv-LV"/>
        </w:rPr>
        <w:t xml:space="preserve">nepārsniedz </w:t>
      </w:r>
      <w:r w:rsidRPr="00FD132D">
        <w:rPr>
          <w:rFonts w:ascii="Times New Roman" w:eastAsia="Times New Roman" w:hAnsi="Times New Roman" w:cs="Times New Roman"/>
          <w:i/>
          <w:iCs/>
          <w:color w:val="000000"/>
          <w:sz w:val="24"/>
          <w:szCs w:val="24"/>
          <w:lang w:bidi="en-US"/>
        </w:rPr>
        <w:t>13 tonnas uz asi</w:t>
      </w:r>
    </w:p>
    <w:p w:rsidR="000F1EB2" w:rsidRPr="00FD132D" w:rsidP="00A61F84" w14:paraId="2C52D446"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bidi="en-US"/>
        </w:rPr>
        <w:t xml:space="preserve">Papildus atsaucamies uz </w:t>
      </w:r>
      <w:r w:rsidRPr="00FD132D">
        <w:rPr>
          <w:rFonts w:ascii="Times New Roman" w:eastAsia="Times New Roman" w:hAnsi="Times New Roman" w:cs="Times New Roman"/>
          <w:i/>
          <w:iCs/>
          <w:color w:val="000000"/>
          <w:sz w:val="24"/>
          <w:szCs w:val="24"/>
          <w:lang w:eastAsia="lv-LV" w:bidi="lv-LV"/>
        </w:rPr>
        <w:t xml:space="preserve">vēstuli </w:t>
      </w:r>
      <w:r w:rsidRPr="00FD132D">
        <w:rPr>
          <w:rFonts w:ascii="Times New Roman" w:eastAsia="Times New Roman" w:hAnsi="Times New Roman" w:cs="Times New Roman"/>
          <w:i/>
          <w:iCs/>
          <w:color w:val="000000"/>
          <w:sz w:val="24"/>
          <w:szCs w:val="24"/>
          <w:lang w:bidi="en-US"/>
        </w:rPr>
        <w:t xml:space="preserve">2.5/2026/535 kur cits </w:t>
      </w:r>
      <w:r w:rsidRPr="00FD132D">
        <w:rPr>
          <w:rFonts w:ascii="Times New Roman" w:eastAsia="Times New Roman" w:hAnsi="Times New Roman" w:cs="Times New Roman"/>
          <w:i/>
          <w:iCs/>
          <w:color w:val="000000"/>
          <w:sz w:val="24"/>
          <w:szCs w:val="24"/>
          <w:lang w:bidi="en-US"/>
        </w:rPr>
        <w:t>predendents</w:t>
      </w:r>
      <w:r w:rsidRPr="00FD132D">
        <w:rPr>
          <w:rFonts w:ascii="Times New Roman" w:eastAsia="Times New Roman" w:hAnsi="Times New Roman" w:cs="Times New Roman"/>
          <w:i/>
          <w:iCs/>
          <w:color w:val="000000"/>
          <w:sz w:val="24"/>
          <w:szCs w:val="24"/>
          <w:lang w:bidi="en-US"/>
        </w:rPr>
        <w:t xml:space="preserve"> ir </w:t>
      </w:r>
      <w:r w:rsidRPr="00FD132D">
        <w:rPr>
          <w:rFonts w:ascii="Times New Roman" w:eastAsia="Times New Roman" w:hAnsi="Times New Roman" w:cs="Times New Roman"/>
          <w:i/>
          <w:iCs/>
          <w:color w:val="000000"/>
          <w:sz w:val="24"/>
          <w:szCs w:val="24"/>
          <w:lang w:eastAsia="lv-LV" w:bidi="lv-LV"/>
        </w:rPr>
        <w:t xml:space="preserve">norādījis </w:t>
      </w:r>
      <w:r w:rsidRPr="00FD132D">
        <w:rPr>
          <w:rFonts w:ascii="Times New Roman" w:eastAsia="Times New Roman" w:hAnsi="Times New Roman" w:cs="Times New Roman"/>
          <w:i/>
          <w:iCs/>
          <w:color w:val="000000"/>
          <w:sz w:val="24"/>
          <w:szCs w:val="24"/>
          <w:lang w:bidi="en-US"/>
        </w:rPr>
        <w:t xml:space="preserve">uz </w:t>
      </w:r>
      <w:r w:rsidRPr="00FD132D">
        <w:rPr>
          <w:rFonts w:ascii="Times New Roman" w:eastAsia="Times New Roman" w:hAnsi="Times New Roman" w:cs="Times New Roman"/>
          <w:i/>
          <w:iCs/>
          <w:color w:val="000000"/>
          <w:sz w:val="24"/>
          <w:szCs w:val="24"/>
          <w:lang w:eastAsia="lv-LV" w:bidi="lv-LV"/>
        </w:rPr>
        <w:t xml:space="preserve">šo pašu problēmu </w:t>
      </w:r>
      <w:r w:rsidRPr="00FD132D">
        <w:rPr>
          <w:rFonts w:ascii="Times New Roman" w:eastAsia="Times New Roman" w:hAnsi="Times New Roman" w:cs="Times New Roman"/>
          <w:i/>
          <w:iCs/>
          <w:color w:val="000000"/>
          <w:sz w:val="24"/>
          <w:szCs w:val="24"/>
          <w:lang w:bidi="en-US"/>
        </w:rPr>
        <w:t xml:space="preserve">un kur </w:t>
      </w:r>
      <w:r w:rsidRPr="00FD132D">
        <w:rPr>
          <w:rFonts w:ascii="Times New Roman" w:eastAsia="Times New Roman" w:hAnsi="Times New Roman" w:cs="Times New Roman"/>
          <w:i/>
          <w:iCs/>
          <w:color w:val="000000"/>
          <w:sz w:val="24"/>
          <w:szCs w:val="24"/>
          <w:lang w:eastAsia="lv-LV" w:bidi="lv-LV"/>
        </w:rPr>
        <w:t xml:space="preserve">jūs </w:t>
      </w:r>
      <w:r w:rsidRPr="00FD132D">
        <w:rPr>
          <w:rFonts w:ascii="Times New Roman" w:eastAsia="Times New Roman" w:hAnsi="Times New Roman" w:cs="Times New Roman"/>
          <w:i/>
          <w:iCs/>
          <w:color w:val="000000"/>
          <w:sz w:val="24"/>
          <w:szCs w:val="24"/>
          <w:lang w:bidi="en-US"/>
        </w:rPr>
        <w:t xml:space="preserve">esat </w:t>
      </w:r>
      <w:r w:rsidRPr="00FD132D">
        <w:rPr>
          <w:rFonts w:ascii="Times New Roman" w:eastAsia="Times New Roman" w:hAnsi="Times New Roman" w:cs="Times New Roman"/>
          <w:i/>
          <w:iCs/>
          <w:color w:val="000000"/>
          <w:sz w:val="24"/>
          <w:szCs w:val="24"/>
          <w:lang w:eastAsia="lv-LV" w:bidi="lv-LV"/>
        </w:rPr>
        <w:t xml:space="preserve">piekrituši kopējam </w:t>
      </w:r>
      <w:r w:rsidRPr="00FD132D">
        <w:rPr>
          <w:rFonts w:ascii="Times New Roman" w:eastAsia="Times New Roman" w:hAnsi="Times New Roman" w:cs="Times New Roman"/>
          <w:i/>
          <w:iCs/>
          <w:color w:val="000000"/>
          <w:sz w:val="24"/>
          <w:szCs w:val="24"/>
          <w:lang w:bidi="en-US"/>
        </w:rPr>
        <w:t xml:space="preserve">svaram virs 100t neskaitot </w:t>
      </w:r>
      <w:r w:rsidRPr="00FD132D">
        <w:rPr>
          <w:rFonts w:ascii="Times New Roman" w:eastAsia="Times New Roman" w:hAnsi="Times New Roman" w:cs="Times New Roman"/>
          <w:i/>
          <w:iCs/>
          <w:color w:val="000000"/>
          <w:sz w:val="24"/>
          <w:szCs w:val="24"/>
          <w:lang w:eastAsia="lv-LV" w:bidi="lv-LV"/>
        </w:rPr>
        <w:t>vilcēju.</w:t>
      </w:r>
    </w:p>
    <w:p w:rsidR="000F1EB2" w:rsidRPr="00FD132D" w:rsidP="00A61F84" w14:paraId="00A644A5" w14:textId="77777777">
      <w:pPr>
        <w:widowControl w:val="0"/>
        <w:spacing w:after="120" w:line="240" w:lineRule="auto"/>
        <w:jc w:val="both"/>
        <w:rPr>
          <w:rFonts w:ascii="Times New Roman" w:eastAsia="Times New Roman" w:hAnsi="Times New Roman" w:cs="Times New Roman"/>
          <w:i/>
          <w:iCs/>
          <w:color w:val="000000"/>
          <w:sz w:val="24"/>
          <w:szCs w:val="24"/>
          <w:lang w:eastAsia="lv-LV" w:bidi="lv-LV"/>
        </w:rPr>
      </w:pPr>
      <w:r w:rsidRPr="00FD132D">
        <w:rPr>
          <w:rFonts w:ascii="Times New Roman" w:eastAsia="Times New Roman" w:hAnsi="Times New Roman" w:cs="Times New Roman"/>
          <w:i/>
          <w:iCs/>
          <w:color w:val="000000"/>
          <w:sz w:val="24"/>
          <w:szCs w:val="24"/>
          <w:lang w:eastAsia="lv-LV" w:bidi="lv-LV"/>
        </w:rPr>
        <w:t xml:space="preserve">Jautājums </w:t>
      </w:r>
      <w:r w:rsidRPr="00FD132D">
        <w:rPr>
          <w:rFonts w:ascii="Times New Roman" w:eastAsia="Times New Roman" w:hAnsi="Times New Roman" w:cs="Times New Roman"/>
          <w:i/>
          <w:iCs/>
          <w:color w:val="000000"/>
          <w:sz w:val="24"/>
          <w:szCs w:val="24"/>
          <w:lang w:bidi="en-US"/>
        </w:rPr>
        <w:t xml:space="preserve">un </w:t>
      </w:r>
      <w:r w:rsidRPr="00FD132D">
        <w:rPr>
          <w:rFonts w:ascii="Times New Roman" w:eastAsia="Times New Roman" w:hAnsi="Times New Roman" w:cs="Times New Roman"/>
          <w:i/>
          <w:iCs/>
          <w:color w:val="000000"/>
          <w:sz w:val="24"/>
          <w:szCs w:val="24"/>
          <w:lang w:eastAsia="lv-LV" w:bidi="lv-LV"/>
        </w:rPr>
        <w:t xml:space="preserve">jūsu </w:t>
      </w:r>
      <w:r w:rsidRPr="00FD132D">
        <w:rPr>
          <w:rFonts w:ascii="Times New Roman" w:eastAsia="Times New Roman" w:hAnsi="Times New Roman" w:cs="Times New Roman"/>
          <w:i/>
          <w:iCs/>
          <w:color w:val="000000"/>
          <w:sz w:val="24"/>
          <w:szCs w:val="24"/>
          <w:lang w:bidi="en-US"/>
        </w:rPr>
        <w:t xml:space="preserve">atbilde </w:t>
      </w:r>
      <w:r w:rsidRPr="00FD132D">
        <w:rPr>
          <w:rFonts w:ascii="Times New Roman" w:eastAsia="Times New Roman" w:hAnsi="Times New Roman" w:cs="Times New Roman"/>
          <w:i/>
          <w:iCs/>
          <w:color w:val="000000"/>
          <w:sz w:val="24"/>
          <w:szCs w:val="24"/>
          <w:lang w:eastAsia="lv-LV" w:bidi="lv-LV"/>
        </w:rPr>
        <w:t>zemāk.</w:t>
      </w:r>
    </w:p>
    <w:p w:rsidR="000F1EB2" w:rsidRPr="000F1EB2" w:rsidP="00061AC5" w14:paraId="05A41ECC" w14:textId="007BAC5C">
      <w:pPr>
        <w:widowControl w:val="0"/>
        <w:spacing w:after="240" w:line="254" w:lineRule="auto"/>
        <w:jc w:val="both"/>
        <w:rPr>
          <w:rFonts w:ascii="Times New Roman" w:eastAsia="Times New Roman" w:hAnsi="Times New Roman" w:cs="Times New Roman"/>
          <w:i/>
          <w:iCs/>
          <w:color w:val="000000"/>
          <w:sz w:val="24"/>
          <w:szCs w:val="24"/>
          <w:lang w:eastAsia="lv-LV" w:bidi="lv-LV"/>
        </w:rPr>
      </w:pPr>
      <w:r w:rsidRPr="000F1EB2">
        <w:rPr>
          <w:rFonts w:ascii="Times New Roman" w:eastAsia="Times New Roman" w:hAnsi="Times New Roman" w:cs="Times New Roman"/>
          <w:i/>
          <w:iCs/>
          <w:color w:val="000000"/>
          <w:sz w:val="24"/>
          <w:szCs w:val="24"/>
          <w:lang w:eastAsia="lv-LV" w:bidi="lv-LV"/>
        </w:rPr>
        <w:t>"</w:t>
      </w:r>
      <w:r w:rsidRPr="000F1EB2">
        <w:rPr>
          <w:rFonts w:ascii="Times New Roman" w:eastAsia="Times New Roman" w:hAnsi="Times New Roman" w:cs="Times New Roman"/>
          <w:b/>
          <w:bCs/>
          <w:i/>
          <w:iCs/>
          <w:color w:val="000000"/>
          <w:sz w:val="24"/>
          <w:szCs w:val="24"/>
          <w:lang w:eastAsia="lv-LV" w:bidi="lv-LV"/>
        </w:rPr>
        <w:t> 2. jautājums:</w:t>
      </w:r>
    </w:p>
    <w:p w:rsidR="000F1EB2" w:rsidRPr="000F1EB2" w:rsidP="00061AC5" w14:paraId="043E3C13" w14:textId="77777777">
      <w:pPr>
        <w:widowControl w:val="0"/>
        <w:spacing w:after="240" w:line="254" w:lineRule="auto"/>
        <w:jc w:val="both"/>
        <w:rPr>
          <w:rFonts w:ascii="Times New Roman" w:eastAsia="Times New Roman" w:hAnsi="Times New Roman" w:cs="Times New Roman"/>
          <w:color w:val="000000"/>
          <w:sz w:val="24"/>
          <w:szCs w:val="24"/>
          <w:lang w:eastAsia="lv-LV" w:bidi="lv-LV"/>
        </w:rPr>
      </w:pPr>
      <w:r w:rsidRPr="000F1EB2">
        <w:rPr>
          <w:rFonts w:ascii="Times New Roman" w:eastAsia="Times New Roman" w:hAnsi="Times New Roman" w:cs="Times New Roman"/>
          <w:color w:val="000000"/>
          <w:sz w:val="24"/>
          <w:szCs w:val="24"/>
          <w:lang w:eastAsia="lv-LV" w:bidi="lv-LV"/>
        </w:rPr>
        <w:t xml:space="preserve">Pēc </w:t>
      </w:r>
      <w:r w:rsidRPr="000F1EB2">
        <w:rPr>
          <w:rFonts w:ascii="Times New Roman" w:eastAsia="Times New Roman" w:hAnsi="Times New Roman" w:cs="Times New Roman"/>
          <w:i/>
          <w:iCs/>
          <w:color w:val="000000"/>
          <w:sz w:val="24"/>
          <w:szCs w:val="24"/>
          <w:lang w:eastAsia="lv-LV" w:bidi="lv-LV"/>
        </w:rPr>
        <w:t>galvenā aprīkojuma pārskatīšanas saistībā ar sarunu procedūras AST2025/93-ES tehniskajām specifikācijām, mēs esam aprēķinājuši transformatora piekabes kopējo uzkrāto slodzi, pamatojoties uz aprīkojuma svaru. Mūsu sākotnējā izpēte atklāja ievērojamu neatbilstību starp nepieciešamajām piekabes kravnesības vērtībām un faktiskajām vai paredzamajām slodzes vērtībām.</w:t>
      </w:r>
    </w:p>
    <w:p w:rsidR="000F1EB2" w:rsidRPr="000F1EB2" w:rsidP="000F1EB2" w14:paraId="62935A35" w14:textId="77777777">
      <w:pPr>
        <w:widowControl w:val="0"/>
        <w:spacing w:after="0" w:line="240" w:lineRule="auto"/>
        <w:rPr>
          <w:rFonts w:ascii="Times New Roman" w:eastAsia="Times New Roman" w:hAnsi="Times New Roman" w:cs="Times New Roman"/>
          <w:i/>
          <w:iCs/>
          <w:color w:val="000000"/>
          <w:sz w:val="24"/>
          <w:szCs w:val="24"/>
          <w:lang w:val="en-US" w:bidi="en-US"/>
        </w:rPr>
      </w:pPr>
      <w:r w:rsidRPr="000F1EB2">
        <w:rPr>
          <w:rFonts w:ascii="Times New Roman" w:eastAsia="Times New Roman" w:hAnsi="Times New Roman" w:cs="Times New Roman"/>
          <w:i/>
          <w:iCs/>
          <w:color w:val="000000"/>
          <w:sz w:val="24"/>
          <w:szCs w:val="24"/>
          <w:lang w:eastAsia="lv-LV" w:bidi="lv-LV"/>
        </w:rPr>
        <w:t>16 MVA</w:t>
      </w:r>
    </w:p>
    <w:tbl>
      <w:tblPr>
        <w:tblOverlap w:val="never"/>
        <w:tblW w:w="5000" w:type="pct"/>
        <w:jc w:val="center"/>
        <w:tblLayout w:type="fixed"/>
        <w:tblCellMar>
          <w:left w:w="10" w:type="dxa"/>
          <w:right w:w="10" w:type="dxa"/>
        </w:tblCellMar>
        <w:tblLook w:val="04A0"/>
      </w:tblPr>
      <w:tblGrid>
        <w:gridCol w:w="595"/>
        <w:gridCol w:w="88"/>
        <w:gridCol w:w="3005"/>
        <w:gridCol w:w="85"/>
        <w:gridCol w:w="528"/>
        <w:gridCol w:w="2371"/>
        <w:gridCol w:w="707"/>
        <w:gridCol w:w="624"/>
        <w:gridCol w:w="1341"/>
      </w:tblGrid>
      <w:tr w14:paraId="40717DFA" w14:textId="77777777" w:rsidTr="00061AC5">
        <w:tblPrEx>
          <w:tblW w:w="5000" w:type="pct"/>
          <w:jc w:val="center"/>
          <w:tblLayout w:type="fixed"/>
          <w:tblCellMar>
            <w:left w:w="10" w:type="dxa"/>
            <w:right w:w="10" w:type="dxa"/>
          </w:tblCellMar>
          <w:tblLook w:val="04A0"/>
        </w:tblPrEx>
        <w:trPr>
          <w:trHeight w:hRule="exact" w:val="552"/>
          <w:jc w:val="center"/>
        </w:trPr>
        <w:tc>
          <w:tcPr>
            <w:tcW w:w="595" w:type="dxa"/>
            <w:tcBorders>
              <w:top w:val="single" w:sz="4" w:space="0" w:color="auto"/>
              <w:left w:val="single" w:sz="4" w:space="0" w:color="auto"/>
            </w:tcBorders>
            <w:vAlign w:val="bottom"/>
          </w:tcPr>
          <w:p w:rsidR="00061AC5" w:rsidRPr="00061AC5" w:rsidP="00061AC5" w14:paraId="5FFC49BD"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9</w:t>
            </w:r>
          </w:p>
        </w:tc>
        <w:tc>
          <w:tcPr>
            <w:tcW w:w="88" w:type="dxa"/>
            <w:tcBorders>
              <w:top w:val="single" w:sz="4" w:space="0" w:color="auto"/>
              <w:left w:val="single" w:sz="4" w:space="0" w:color="auto"/>
            </w:tcBorders>
          </w:tcPr>
          <w:p w:rsidR="00061AC5" w:rsidRPr="00061AC5" w:rsidP="000F1EB2" w14:paraId="6CA5D370"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3005" w:type="dxa"/>
            <w:tcBorders>
              <w:top w:val="single" w:sz="4" w:space="0" w:color="auto"/>
            </w:tcBorders>
            <w:vAlign w:val="bottom"/>
          </w:tcPr>
          <w:p w:rsidR="00061AC5" w:rsidRPr="00061AC5" w:rsidP="000F1EB2" w14:paraId="30AD7297"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Piekabes masa ar iekārtu (kg)</w:t>
            </w:r>
          </w:p>
        </w:tc>
        <w:tc>
          <w:tcPr>
            <w:tcW w:w="85" w:type="dxa"/>
            <w:tcBorders>
              <w:top w:val="single" w:sz="4" w:space="0" w:color="auto"/>
              <w:left w:val="single" w:sz="4" w:space="0" w:color="auto"/>
            </w:tcBorders>
          </w:tcPr>
          <w:p w:rsidR="00061AC5" w:rsidRPr="00061AC5" w:rsidP="000F1EB2" w14:paraId="0911CAEC"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528" w:type="dxa"/>
            <w:tcBorders>
              <w:top w:val="single" w:sz="4" w:space="0" w:color="auto"/>
            </w:tcBorders>
            <w:vAlign w:val="bottom"/>
          </w:tcPr>
          <w:p w:rsidR="00061AC5" w:rsidRPr="00061AC5" w:rsidP="000F1EB2" w14:paraId="0AA27ED4" w14:textId="77777777">
            <w:pPr>
              <w:widowControl w:val="0"/>
              <w:spacing w:after="0" w:line="240" w:lineRule="auto"/>
              <w:jc w:val="center"/>
              <w:rPr>
                <w:rFonts w:ascii="Times New Roman" w:eastAsia="Times New Roman" w:hAnsi="Times New Roman" w:cs="Times New Roman"/>
                <w:i/>
                <w:iCs/>
                <w:color w:val="000000"/>
                <w:lang w:eastAsia="lv-LV" w:bidi="lv-LV"/>
              </w:rPr>
            </w:pPr>
            <w:r w:rsidRPr="00061AC5">
              <w:rPr>
                <w:rFonts w:ascii="Times New Roman" w:eastAsia="Times New Roman" w:hAnsi="Times New Roman" w:cs="Times New Roman"/>
                <w:i/>
                <w:iCs/>
                <w:color w:val="000000"/>
                <w:lang w:eastAsia="lv-LV" w:bidi="lv-LV"/>
              </w:rPr>
              <w:t xml:space="preserve">&lt; </w:t>
            </w:r>
            <w:r w:rsidRPr="00061AC5">
              <w:rPr>
                <w:rFonts w:ascii="Times New Roman" w:eastAsia="Times New Roman" w:hAnsi="Times New Roman" w:cs="Times New Roman"/>
                <w:b/>
                <w:bCs/>
                <w:i/>
                <w:iCs/>
                <w:color w:val="000000"/>
                <w:lang w:eastAsia="lv-LV" w:bidi="lv-LV"/>
              </w:rPr>
              <w:t>70000</w:t>
            </w:r>
          </w:p>
        </w:tc>
        <w:tc>
          <w:tcPr>
            <w:tcW w:w="2371" w:type="dxa"/>
            <w:tcBorders>
              <w:top w:val="single" w:sz="4" w:space="0" w:color="auto"/>
            </w:tcBorders>
          </w:tcPr>
          <w:p w:rsidR="00061AC5" w:rsidRPr="00061AC5" w:rsidP="000F1EB2" w14:paraId="16E83C3F"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707" w:type="dxa"/>
            <w:tcBorders>
              <w:top w:val="single" w:sz="4" w:space="0" w:color="auto"/>
              <w:left w:val="single" w:sz="4" w:space="0" w:color="auto"/>
            </w:tcBorders>
          </w:tcPr>
          <w:p w:rsidR="00061AC5" w:rsidRPr="00061AC5" w:rsidP="000F1EB2" w14:paraId="665BFD53"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1965" w:type="dxa"/>
            <w:gridSpan w:val="2"/>
            <w:tcBorders>
              <w:top w:val="single" w:sz="4" w:space="0" w:color="auto"/>
              <w:right w:val="single" w:sz="4" w:space="0" w:color="auto"/>
            </w:tcBorders>
            <w:vAlign w:val="bottom"/>
          </w:tcPr>
          <w:p w:rsidR="00061AC5" w:rsidRPr="00061AC5" w:rsidP="000F1EB2" w14:paraId="72123B15"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85 000 (aprēķinātā)</w:t>
            </w:r>
          </w:p>
        </w:tc>
      </w:tr>
      <w:tr w14:paraId="639167A1" w14:textId="77777777" w:rsidTr="00061AC5">
        <w:tblPrEx>
          <w:tblW w:w="5000" w:type="pct"/>
          <w:jc w:val="center"/>
          <w:tblLayout w:type="fixed"/>
          <w:tblCellMar>
            <w:left w:w="10" w:type="dxa"/>
            <w:right w:w="10" w:type="dxa"/>
          </w:tblCellMar>
          <w:tblLook w:val="04A0"/>
        </w:tblPrEx>
        <w:trPr>
          <w:trHeight w:hRule="exact" w:val="571"/>
          <w:jc w:val="center"/>
        </w:trPr>
        <w:tc>
          <w:tcPr>
            <w:tcW w:w="595" w:type="dxa"/>
            <w:tcBorders>
              <w:top w:val="single" w:sz="4" w:space="0" w:color="auto"/>
              <w:left w:val="single" w:sz="4" w:space="0" w:color="auto"/>
              <w:bottom w:val="single" w:sz="4" w:space="0" w:color="auto"/>
            </w:tcBorders>
          </w:tcPr>
          <w:p w:rsidR="00061AC5" w:rsidRPr="00061AC5" w:rsidP="00061AC5" w14:paraId="1BF04034" w14:textId="0F6AF840">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10</w:t>
            </w:r>
          </w:p>
        </w:tc>
        <w:tc>
          <w:tcPr>
            <w:tcW w:w="3093" w:type="dxa"/>
            <w:gridSpan w:val="2"/>
            <w:tcBorders>
              <w:top w:val="single" w:sz="4" w:space="0" w:color="auto"/>
              <w:left w:val="single" w:sz="4" w:space="0" w:color="auto"/>
              <w:bottom w:val="single" w:sz="4" w:space="0" w:color="auto"/>
            </w:tcBorders>
            <w:vAlign w:val="bottom"/>
          </w:tcPr>
          <w:p w:rsidR="00061AC5" w:rsidRPr="00061AC5" w:rsidP="000F1EB2" w14:paraId="6ADBD1B2"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Piekabes pilna masa kopā ar vilcēju</w:t>
            </w:r>
          </w:p>
        </w:tc>
        <w:tc>
          <w:tcPr>
            <w:tcW w:w="85" w:type="dxa"/>
            <w:tcBorders>
              <w:top w:val="single" w:sz="4" w:space="0" w:color="auto"/>
              <w:left w:val="single" w:sz="4" w:space="0" w:color="auto"/>
              <w:bottom w:val="single" w:sz="4" w:space="0" w:color="auto"/>
            </w:tcBorders>
          </w:tcPr>
          <w:p w:rsidR="00061AC5" w:rsidRPr="00061AC5" w:rsidP="000F1EB2" w14:paraId="0E088C75"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2899" w:type="dxa"/>
            <w:gridSpan w:val="2"/>
            <w:tcBorders>
              <w:top w:val="single" w:sz="4" w:space="0" w:color="auto"/>
              <w:bottom w:val="single" w:sz="4" w:space="0" w:color="auto"/>
            </w:tcBorders>
            <w:vAlign w:val="bottom"/>
          </w:tcPr>
          <w:p w:rsidR="00061AC5" w:rsidRPr="00061AC5" w:rsidP="000F1EB2" w14:paraId="79012277" w14:textId="77777777">
            <w:pPr>
              <w:widowControl w:val="0"/>
              <w:spacing w:after="0" w:line="240" w:lineRule="auto"/>
              <w:rPr>
                <w:rFonts w:ascii="Times New Roman" w:eastAsia="Times New Roman" w:hAnsi="Times New Roman" w:cs="Times New Roman"/>
                <w:i/>
                <w:iCs/>
                <w:color w:val="000000"/>
                <w:lang w:eastAsia="lv-LV" w:bidi="lv-LV"/>
              </w:rPr>
            </w:pPr>
            <w:r w:rsidRPr="00061AC5">
              <w:rPr>
                <w:rFonts w:ascii="Times New Roman" w:eastAsia="Times New Roman" w:hAnsi="Times New Roman" w:cs="Times New Roman"/>
                <w:i/>
                <w:iCs/>
                <w:color w:val="000000"/>
                <w:sz w:val="24"/>
                <w:szCs w:val="24"/>
                <w:lang w:eastAsia="lv-LV" w:bidi="lv-LV"/>
              </w:rPr>
              <w:t xml:space="preserve">&lt; </w:t>
            </w:r>
            <w:r w:rsidRPr="00061AC5">
              <w:rPr>
                <w:rFonts w:ascii="Times New Roman" w:eastAsia="Times New Roman" w:hAnsi="Times New Roman" w:cs="Times New Roman"/>
                <w:b/>
                <w:bCs/>
                <w:i/>
                <w:iCs/>
                <w:color w:val="000000"/>
                <w:lang w:eastAsia="lv-LV" w:bidi="lv-LV"/>
              </w:rPr>
              <w:t>80000</w:t>
            </w:r>
          </w:p>
        </w:tc>
        <w:tc>
          <w:tcPr>
            <w:tcW w:w="1331" w:type="dxa"/>
            <w:gridSpan w:val="2"/>
            <w:tcBorders>
              <w:top w:val="single" w:sz="4" w:space="0" w:color="auto"/>
              <w:left w:val="single" w:sz="4" w:space="0" w:color="auto"/>
              <w:bottom w:val="single" w:sz="4" w:space="0" w:color="auto"/>
            </w:tcBorders>
          </w:tcPr>
          <w:p w:rsidR="00061AC5" w:rsidRPr="00061AC5" w:rsidP="000F1EB2" w14:paraId="3B9437C0"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1341" w:type="dxa"/>
            <w:tcBorders>
              <w:top w:val="single" w:sz="4" w:space="0" w:color="auto"/>
              <w:bottom w:val="single" w:sz="4" w:space="0" w:color="auto"/>
              <w:right w:val="single" w:sz="4" w:space="0" w:color="auto"/>
            </w:tcBorders>
          </w:tcPr>
          <w:p w:rsidR="00061AC5" w:rsidRPr="00061AC5" w:rsidP="000F1EB2" w14:paraId="402B98CB"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r>
    </w:tbl>
    <w:p w:rsidR="000F1EB2" w:rsidRPr="00061AC5" w:rsidP="000F1EB2" w14:paraId="571AB3AF" w14:textId="6796C6D8">
      <w:pPr>
        <w:widowControl w:val="0"/>
        <w:spacing w:after="0" w:line="240" w:lineRule="auto"/>
        <w:rPr>
          <w:rFonts w:ascii="Microsoft Sans Serif" w:eastAsia="Microsoft Sans Serif" w:hAnsi="Microsoft Sans Serif" w:cs="Microsoft Sans Serif"/>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25 MVA</w:t>
      </w:r>
    </w:p>
    <w:tbl>
      <w:tblPr>
        <w:tblOverlap w:val="never"/>
        <w:tblW w:w="5000" w:type="pct"/>
        <w:jc w:val="center"/>
        <w:tblLayout w:type="fixed"/>
        <w:tblCellMar>
          <w:left w:w="10" w:type="dxa"/>
          <w:right w:w="10" w:type="dxa"/>
        </w:tblCellMar>
        <w:tblLook w:val="04A0"/>
      </w:tblPr>
      <w:tblGrid>
        <w:gridCol w:w="595"/>
        <w:gridCol w:w="88"/>
        <w:gridCol w:w="3005"/>
        <w:gridCol w:w="85"/>
        <w:gridCol w:w="528"/>
        <w:gridCol w:w="2371"/>
        <w:gridCol w:w="652"/>
        <w:gridCol w:w="679"/>
        <w:gridCol w:w="1341"/>
      </w:tblGrid>
      <w:tr w14:paraId="708443CF" w14:textId="77777777" w:rsidTr="00061AC5">
        <w:tblPrEx>
          <w:tblW w:w="5000" w:type="pct"/>
          <w:jc w:val="center"/>
          <w:tblLayout w:type="fixed"/>
          <w:tblCellMar>
            <w:left w:w="10" w:type="dxa"/>
            <w:right w:w="10" w:type="dxa"/>
          </w:tblCellMar>
          <w:tblLook w:val="04A0"/>
        </w:tblPrEx>
        <w:trPr>
          <w:trHeight w:hRule="exact" w:val="557"/>
          <w:jc w:val="center"/>
        </w:trPr>
        <w:tc>
          <w:tcPr>
            <w:tcW w:w="595" w:type="dxa"/>
            <w:tcBorders>
              <w:top w:val="single" w:sz="4" w:space="0" w:color="auto"/>
              <w:left w:val="single" w:sz="4" w:space="0" w:color="auto"/>
            </w:tcBorders>
            <w:vAlign w:val="bottom"/>
          </w:tcPr>
          <w:p w:rsidR="00061AC5" w:rsidRPr="00061AC5" w:rsidP="00061AC5" w14:paraId="6B4CB10A"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9</w:t>
            </w:r>
          </w:p>
        </w:tc>
        <w:tc>
          <w:tcPr>
            <w:tcW w:w="88" w:type="dxa"/>
            <w:tcBorders>
              <w:top w:val="single" w:sz="4" w:space="0" w:color="auto"/>
              <w:left w:val="single" w:sz="4" w:space="0" w:color="auto"/>
            </w:tcBorders>
          </w:tcPr>
          <w:p w:rsidR="00061AC5" w:rsidRPr="00061AC5" w:rsidP="000F1EB2" w14:paraId="7830CD48"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3005" w:type="dxa"/>
            <w:tcBorders>
              <w:top w:val="single" w:sz="4" w:space="0" w:color="auto"/>
            </w:tcBorders>
            <w:vAlign w:val="bottom"/>
          </w:tcPr>
          <w:p w:rsidR="00061AC5" w:rsidRPr="00061AC5" w:rsidP="000F1EB2" w14:paraId="03403EB8"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Piekabes masa ar iekārtu (kg)</w:t>
            </w:r>
          </w:p>
        </w:tc>
        <w:tc>
          <w:tcPr>
            <w:tcW w:w="85" w:type="dxa"/>
            <w:tcBorders>
              <w:top w:val="single" w:sz="4" w:space="0" w:color="auto"/>
              <w:left w:val="single" w:sz="4" w:space="0" w:color="auto"/>
            </w:tcBorders>
          </w:tcPr>
          <w:p w:rsidR="00061AC5" w:rsidRPr="00061AC5" w:rsidP="000F1EB2" w14:paraId="52B2BA30"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528" w:type="dxa"/>
            <w:tcBorders>
              <w:top w:val="single" w:sz="4" w:space="0" w:color="auto"/>
            </w:tcBorders>
            <w:vAlign w:val="bottom"/>
          </w:tcPr>
          <w:p w:rsidR="00061AC5" w:rsidRPr="00061AC5" w:rsidP="000F1EB2" w14:paraId="2D9D96C3" w14:textId="77777777">
            <w:pPr>
              <w:widowControl w:val="0"/>
              <w:spacing w:after="0" w:line="240" w:lineRule="auto"/>
              <w:jc w:val="center"/>
              <w:rPr>
                <w:rFonts w:ascii="Times New Roman" w:eastAsia="Times New Roman" w:hAnsi="Times New Roman" w:cs="Times New Roman"/>
                <w:i/>
                <w:iCs/>
                <w:color w:val="000000"/>
                <w:lang w:eastAsia="lv-LV" w:bidi="lv-LV"/>
              </w:rPr>
            </w:pPr>
            <w:r w:rsidRPr="00061AC5">
              <w:rPr>
                <w:rFonts w:ascii="Times New Roman" w:eastAsia="Times New Roman" w:hAnsi="Times New Roman" w:cs="Times New Roman"/>
                <w:i/>
                <w:iCs/>
                <w:color w:val="000000"/>
                <w:lang w:eastAsia="lv-LV" w:bidi="lv-LV"/>
              </w:rPr>
              <w:t xml:space="preserve">&lt; </w:t>
            </w:r>
            <w:r w:rsidRPr="00061AC5">
              <w:rPr>
                <w:rFonts w:ascii="Times New Roman" w:eastAsia="Times New Roman" w:hAnsi="Times New Roman" w:cs="Times New Roman"/>
                <w:b/>
                <w:bCs/>
                <w:i/>
                <w:iCs/>
                <w:color w:val="000000"/>
                <w:lang w:eastAsia="lv-LV" w:bidi="lv-LV"/>
              </w:rPr>
              <w:t>70000</w:t>
            </w:r>
          </w:p>
        </w:tc>
        <w:tc>
          <w:tcPr>
            <w:tcW w:w="2371" w:type="dxa"/>
            <w:tcBorders>
              <w:top w:val="single" w:sz="4" w:space="0" w:color="auto"/>
            </w:tcBorders>
          </w:tcPr>
          <w:p w:rsidR="00061AC5" w:rsidRPr="00061AC5" w:rsidP="000F1EB2" w14:paraId="11AD80B9"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652" w:type="dxa"/>
            <w:tcBorders>
              <w:top w:val="single" w:sz="4" w:space="0" w:color="auto"/>
              <w:left w:val="single" w:sz="4" w:space="0" w:color="auto"/>
            </w:tcBorders>
          </w:tcPr>
          <w:p w:rsidR="00061AC5" w:rsidRPr="00061AC5" w:rsidP="000F1EB2" w14:paraId="482FF06E"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2020" w:type="dxa"/>
            <w:gridSpan w:val="2"/>
            <w:tcBorders>
              <w:top w:val="single" w:sz="4" w:space="0" w:color="auto"/>
              <w:right w:val="single" w:sz="4" w:space="0" w:color="auto"/>
            </w:tcBorders>
            <w:vAlign w:val="bottom"/>
          </w:tcPr>
          <w:p w:rsidR="00061AC5" w:rsidRPr="00061AC5" w:rsidP="000F1EB2" w14:paraId="722780C7"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100 000 (aprēķinātā)</w:t>
            </w:r>
          </w:p>
        </w:tc>
      </w:tr>
      <w:tr w14:paraId="124AF9BD" w14:textId="77777777" w:rsidTr="00061AC5">
        <w:tblPrEx>
          <w:tblW w:w="5000" w:type="pct"/>
          <w:jc w:val="center"/>
          <w:tblLayout w:type="fixed"/>
          <w:tblCellMar>
            <w:left w:w="10" w:type="dxa"/>
            <w:right w:w="10" w:type="dxa"/>
          </w:tblCellMar>
          <w:tblLook w:val="04A0"/>
        </w:tblPrEx>
        <w:trPr>
          <w:trHeight w:hRule="exact" w:val="566"/>
          <w:jc w:val="center"/>
        </w:trPr>
        <w:tc>
          <w:tcPr>
            <w:tcW w:w="595" w:type="dxa"/>
            <w:tcBorders>
              <w:top w:val="single" w:sz="4" w:space="0" w:color="auto"/>
              <w:left w:val="single" w:sz="4" w:space="0" w:color="auto"/>
              <w:bottom w:val="single" w:sz="4" w:space="0" w:color="auto"/>
            </w:tcBorders>
          </w:tcPr>
          <w:p w:rsidR="00061AC5" w:rsidRPr="00061AC5" w:rsidP="00061AC5" w14:paraId="787BE2F6" w14:textId="3F855FDD">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10</w:t>
            </w:r>
          </w:p>
        </w:tc>
        <w:tc>
          <w:tcPr>
            <w:tcW w:w="3093" w:type="dxa"/>
            <w:gridSpan w:val="2"/>
            <w:tcBorders>
              <w:top w:val="single" w:sz="4" w:space="0" w:color="auto"/>
              <w:left w:val="single" w:sz="4" w:space="0" w:color="auto"/>
              <w:bottom w:val="single" w:sz="4" w:space="0" w:color="auto"/>
            </w:tcBorders>
            <w:vAlign w:val="bottom"/>
          </w:tcPr>
          <w:p w:rsidR="00061AC5" w:rsidRPr="00061AC5" w:rsidP="000F1EB2" w14:paraId="43BEF21A" w14:textId="77777777">
            <w:pPr>
              <w:widowControl w:val="0"/>
              <w:spacing w:after="0" w:line="240" w:lineRule="auto"/>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Piekabes pilna masa kopa ar vilcēju</w:t>
            </w:r>
          </w:p>
        </w:tc>
        <w:tc>
          <w:tcPr>
            <w:tcW w:w="85" w:type="dxa"/>
            <w:tcBorders>
              <w:top w:val="single" w:sz="4" w:space="0" w:color="auto"/>
              <w:left w:val="single" w:sz="4" w:space="0" w:color="auto"/>
              <w:bottom w:val="single" w:sz="4" w:space="0" w:color="auto"/>
            </w:tcBorders>
          </w:tcPr>
          <w:p w:rsidR="00061AC5" w:rsidRPr="00061AC5" w:rsidP="000F1EB2" w14:paraId="0F5A974E"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2899" w:type="dxa"/>
            <w:gridSpan w:val="2"/>
            <w:tcBorders>
              <w:top w:val="single" w:sz="4" w:space="0" w:color="auto"/>
              <w:bottom w:val="single" w:sz="4" w:space="0" w:color="auto"/>
            </w:tcBorders>
            <w:vAlign w:val="bottom"/>
          </w:tcPr>
          <w:p w:rsidR="00061AC5" w:rsidRPr="00061AC5" w:rsidP="000F1EB2" w14:paraId="216B463B" w14:textId="77777777">
            <w:pPr>
              <w:widowControl w:val="0"/>
              <w:spacing w:after="0" w:line="240" w:lineRule="auto"/>
              <w:rPr>
                <w:rFonts w:ascii="Times New Roman" w:eastAsia="Times New Roman" w:hAnsi="Times New Roman" w:cs="Times New Roman"/>
                <w:i/>
                <w:iCs/>
                <w:color w:val="000000"/>
                <w:lang w:eastAsia="lv-LV" w:bidi="lv-LV"/>
              </w:rPr>
            </w:pPr>
            <w:r w:rsidRPr="00061AC5">
              <w:rPr>
                <w:rFonts w:ascii="Times New Roman" w:eastAsia="Times New Roman" w:hAnsi="Times New Roman" w:cs="Times New Roman"/>
                <w:i/>
                <w:iCs/>
                <w:color w:val="000000"/>
                <w:sz w:val="24"/>
                <w:szCs w:val="24"/>
                <w:lang w:eastAsia="lv-LV" w:bidi="lv-LV"/>
              </w:rPr>
              <w:t xml:space="preserve">&lt; </w:t>
            </w:r>
            <w:r w:rsidRPr="00061AC5">
              <w:rPr>
                <w:rFonts w:ascii="Times New Roman" w:eastAsia="Times New Roman" w:hAnsi="Times New Roman" w:cs="Times New Roman"/>
                <w:b/>
                <w:bCs/>
                <w:i/>
                <w:iCs/>
                <w:color w:val="000000"/>
                <w:lang w:eastAsia="lv-LV" w:bidi="lv-LV"/>
              </w:rPr>
              <w:t>80000</w:t>
            </w:r>
          </w:p>
        </w:tc>
        <w:tc>
          <w:tcPr>
            <w:tcW w:w="1331" w:type="dxa"/>
            <w:gridSpan w:val="2"/>
            <w:tcBorders>
              <w:top w:val="single" w:sz="4" w:space="0" w:color="auto"/>
              <w:left w:val="single" w:sz="4" w:space="0" w:color="auto"/>
              <w:bottom w:val="single" w:sz="4" w:space="0" w:color="auto"/>
            </w:tcBorders>
          </w:tcPr>
          <w:p w:rsidR="00061AC5" w:rsidRPr="00061AC5" w:rsidP="000F1EB2" w14:paraId="2B72166F"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c>
          <w:tcPr>
            <w:tcW w:w="1341" w:type="dxa"/>
            <w:tcBorders>
              <w:top w:val="single" w:sz="4" w:space="0" w:color="auto"/>
              <w:bottom w:val="single" w:sz="4" w:space="0" w:color="auto"/>
              <w:right w:val="single" w:sz="4" w:space="0" w:color="auto"/>
            </w:tcBorders>
          </w:tcPr>
          <w:p w:rsidR="00061AC5" w:rsidRPr="00061AC5" w:rsidP="000F1EB2" w14:paraId="52D3615C" w14:textId="77777777">
            <w:pPr>
              <w:widowControl w:val="0"/>
              <w:spacing w:after="0" w:line="240" w:lineRule="auto"/>
              <w:rPr>
                <w:rFonts w:ascii="Microsoft Sans Serif" w:eastAsia="Microsoft Sans Serif" w:hAnsi="Microsoft Sans Serif" w:cs="Microsoft Sans Serif"/>
                <w:i/>
                <w:iCs/>
                <w:color w:val="000000"/>
                <w:sz w:val="10"/>
                <w:szCs w:val="10"/>
                <w:lang w:eastAsia="lv-LV" w:bidi="lv-LV"/>
              </w:rPr>
            </w:pPr>
          </w:p>
        </w:tc>
      </w:tr>
    </w:tbl>
    <w:p w:rsidR="000F1EB2" w:rsidRPr="000F1EB2" w:rsidP="000F1EB2" w14:paraId="615B900A" w14:textId="24B9187C">
      <w:pPr>
        <w:widowControl w:val="0"/>
        <w:spacing w:after="0" w:line="240" w:lineRule="auto"/>
        <w:rPr>
          <w:rFonts w:ascii="Times New Roman" w:eastAsia="Times New Roman" w:hAnsi="Times New Roman" w:cs="Times New Roman"/>
          <w:i/>
          <w:iCs/>
          <w:color w:val="000000"/>
          <w:sz w:val="24"/>
          <w:szCs w:val="24"/>
          <w:lang w:bidi="en-US"/>
        </w:rPr>
      </w:pPr>
      <w:r w:rsidRPr="000F1EB2">
        <w:rPr>
          <w:rFonts w:ascii="Times New Roman" w:eastAsia="Times New Roman" w:hAnsi="Times New Roman" w:cs="Times New Roman"/>
          <w:i/>
          <w:iCs/>
          <w:color w:val="000000"/>
          <w:sz w:val="24"/>
          <w:szCs w:val="24"/>
          <w:lang w:eastAsia="lv-LV" w:bidi="lv-LV"/>
        </w:rPr>
        <w:t>Lūdzu, sniedziet padomu, kā šī situācija tiks atrisināta.</w:t>
      </w:r>
      <w:r>
        <w:rPr>
          <w:rFonts w:ascii="Times New Roman" w:eastAsia="Times New Roman" w:hAnsi="Times New Roman" w:cs="Times New Roman"/>
          <w:i/>
          <w:iCs/>
          <w:color w:val="000000"/>
          <w:sz w:val="24"/>
          <w:szCs w:val="24"/>
          <w:lang w:eastAsia="lv-LV" w:bidi="lv-LV"/>
        </w:rPr>
        <w:t>"</w:t>
      </w:r>
    </w:p>
    <w:p w:rsidR="000F1EB2" w:rsidRPr="00061AC5" w:rsidP="00061AC5" w14:paraId="0D6B79DA" w14:textId="0FE798B0">
      <w:pPr>
        <w:widowControl w:val="0"/>
        <w:spacing w:before="120" w:after="120" w:line="240" w:lineRule="auto"/>
        <w:jc w:val="both"/>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b/>
          <w:bCs/>
          <w:i/>
          <w:iCs/>
          <w:color w:val="000000"/>
          <w:sz w:val="24"/>
          <w:szCs w:val="24"/>
          <w:lang w:eastAsia="lv-LV" w:bidi="lv-LV"/>
        </w:rPr>
        <w:t>Atbilde uz 2. jautājumu:</w:t>
      </w:r>
    </w:p>
    <w:p w:rsidR="000F1EB2" w:rsidRPr="00061AC5" w:rsidP="000F1EB2" w14:paraId="6F2E63DA" w14:textId="364408D7">
      <w:pPr>
        <w:widowControl w:val="0"/>
        <w:spacing w:after="240" w:line="254" w:lineRule="auto"/>
        <w:jc w:val="both"/>
        <w:rPr>
          <w:rFonts w:ascii="Times New Roman" w:eastAsia="Times New Roman" w:hAnsi="Times New Roman" w:cs="Times New Roman"/>
          <w:i/>
          <w:iCs/>
          <w:color w:val="000000"/>
          <w:sz w:val="24"/>
          <w:szCs w:val="24"/>
          <w:lang w:eastAsia="lv-LV" w:bidi="lv-LV"/>
        </w:rPr>
      </w:pPr>
      <w:r w:rsidRPr="00061AC5">
        <w:rPr>
          <w:rFonts w:ascii="Times New Roman" w:eastAsia="Times New Roman" w:hAnsi="Times New Roman" w:cs="Times New Roman"/>
          <w:i/>
          <w:iCs/>
          <w:color w:val="000000"/>
          <w:sz w:val="24"/>
          <w:szCs w:val="24"/>
          <w:lang w:eastAsia="lv-LV" w:bidi="lv-LV"/>
        </w:rPr>
        <w:t xml:space="preserve">Pasūtītājs informē, ka, izvērtējot pretendenta sniegto informāciju un aprēķinus par transformatora piekabes kopējo uzkrāto slodzi, Pasūtītājs piekrīt palielināt transformatora piekabes pieļaujamo </w:t>
      </w:r>
      <w:r w:rsidRPr="00061AC5">
        <w:rPr>
          <w:rFonts w:ascii="Times New Roman" w:eastAsia="Times New Roman" w:hAnsi="Times New Roman" w:cs="Times New Roman"/>
          <w:i/>
          <w:iCs/>
          <w:color w:val="000000"/>
          <w:sz w:val="24"/>
          <w:szCs w:val="24"/>
          <w:lang w:eastAsia="lv-LV" w:bidi="lv-LV"/>
        </w:rPr>
        <w:t>pilno masu līdz 100 t, ciktāl tas izriet no piedāvātā tehniskā risinājuma un nodrošina atbilstību visām piemērojamām drošības, pārvietošanas (tai skaitā pārvadājumu atļauju/ierobežojumu) un ekspluatācijas prasībām. Līdz dokumentu precizēšanai Pasūtītājs apstiprina, ka iepirkuma prasību interpretācija attiecībā uz transformatora piekabes masas ierobežojumiem ir piemērojama šādi: 16 MVA konfigurācijai paredzama piekabes masa ar iekārtu līdz aptuveni 85 000 kg, 25 MVA konfigurācijai paredzama piekabes masa ar iekārtu līdz aptuveni 100 000 kg; attiecīgi iepriekš norādītās vērtības (piem., &lt;70 000 kg un &lt;80 000 kg kopā ar vilcēju) tiks koriģētas, lai novērstu neatbilstību starp tehniskajām prasībām un faktiskajām slodzēm. Pasūtītājs informē, ka šīs neatbilstības novēršana tiks īstenota dokumentācijas precizēšanas ceļā Iepirkuma turpmākajā posmā, nodrošinot vienlīdzīgu attieksmi pret kandidātiem un skaidru, pārbaudāmu prasību kopumu piedāvājumu sagatavošanai.</w:t>
      </w:r>
      <w:r w:rsidR="00061AC5">
        <w:rPr>
          <w:rFonts w:ascii="Times New Roman" w:eastAsia="Times New Roman" w:hAnsi="Times New Roman" w:cs="Times New Roman"/>
          <w:i/>
          <w:iCs/>
          <w:color w:val="000000"/>
          <w:sz w:val="24"/>
          <w:szCs w:val="24"/>
          <w:lang w:eastAsia="lv-LV" w:bidi="lv-LV"/>
        </w:rPr>
        <w:t>"</w:t>
      </w:r>
    </w:p>
    <w:p w:rsidR="004569DB" w:rsidP="004569DB" w14:paraId="4437D921" w14:textId="592D48E4">
      <w:pPr>
        <w:autoSpaceDE w:val="0"/>
        <w:autoSpaceDN w:val="0"/>
        <w:adjustRightInd w:val="0"/>
        <w:spacing w:after="120" w:line="240" w:lineRule="auto"/>
        <w:jc w:val="both"/>
        <w:rPr>
          <w:rFonts w:ascii="Times New Roman" w:hAnsi="Times New Roman" w:cs="Times New Roman"/>
          <w:b/>
          <w:bCs/>
          <w:sz w:val="24"/>
          <w:szCs w:val="24"/>
        </w:rPr>
      </w:pPr>
      <w:r w:rsidRPr="00FF3CE0">
        <w:rPr>
          <w:rFonts w:ascii="Times New Roman" w:hAnsi="Times New Roman" w:cs="Times New Roman"/>
          <w:b/>
          <w:bCs/>
          <w:sz w:val="24"/>
          <w:szCs w:val="24"/>
        </w:rPr>
        <w:t xml:space="preserve">Pasūtītāja atbilde uz </w:t>
      </w:r>
      <w:r w:rsidR="00FD132D">
        <w:rPr>
          <w:rFonts w:ascii="Times New Roman" w:hAnsi="Times New Roman" w:cs="Times New Roman"/>
          <w:b/>
          <w:bCs/>
          <w:sz w:val="24"/>
          <w:szCs w:val="24"/>
        </w:rPr>
        <w:t>k</w:t>
      </w:r>
      <w:r w:rsidRPr="00FD132D" w:rsidR="00FD132D">
        <w:rPr>
          <w:rFonts w:ascii="Times New Roman" w:hAnsi="Times New Roman" w:cs="Times New Roman"/>
          <w:b/>
          <w:bCs/>
          <w:sz w:val="24"/>
          <w:szCs w:val="24"/>
        </w:rPr>
        <w:t>andidāta 21.05.2026.</w:t>
      </w:r>
      <w:r w:rsidR="00FD132D">
        <w:rPr>
          <w:rFonts w:ascii="Times New Roman" w:hAnsi="Times New Roman" w:cs="Times New Roman"/>
          <w:b/>
          <w:bCs/>
          <w:sz w:val="24"/>
          <w:szCs w:val="24"/>
        </w:rPr>
        <w:t xml:space="preserve"> </w:t>
      </w:r>
      <w:r w:rsidRPr="00FD132D" w:rsidR="00FD132D">
        <w:rPr>
          <w:rFonts w:ascii="Times New Roman" w:hAnsi="Times New Roman" w:cs="Times New Roman"/>
          <w:b/>
          <w:bCs/>
          <w:sz w:val="24"/>
          <w:szCs w:val="24"/>
        </w:rPr>
        <w:t>jautājum</w:t>
      </w:r>
      <w:r w:rsidR="00FD132D">
        <w:rPr>
          <w:rFonts w:ascii="Times New Roman" w:hAnsi="Times New Roman" w:cs="Times New Roman"/>
          <w:b/>
          <w:bCs/>
          <w:sz w:val="24"/>
          <w:szCs w:val="24"/>
        </w:rPr>
        <w:t>u</w:t>
      </w:r>
      <w:r w:rsidRPr="00FD132D" w:rsidR="00FD132D">
        <w:rPr>
          <w:rFonts w:ascii="Times New Roman" w:hAnsi="Times New Roman" w:cs="Times New Roman"/>
          <w:b/>
          <w:bCs/>
          <w:sz w:val="24"/>
          <w:szCs w:val="24"/>
        </w:rPr>
        <w:t>:</w:t>
      </w:r>
    </w:p>
    <w:p w:rsidR="00FD132D" w:rsidRPr="00FD132D" w:rsidP="00FD132D" w14:paraId="5B43F0CC" w14:textId="77777777">
      <w:p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Pasūtītājs ir izvērtējis kandidāta sniegto tehnisko pamatojumu un argumentus attiecībā uz tehniskajā specifikācijā noteiktajām prasībām, tostarp par 25 MVA mobilās apakšstacijas transportēšanas masas ierobežojumiem.</w:t>
      </w:r>
    </w:p>
    <w:p w:rsidR="00FD132D" w:rsidRPr="00FD132D" w:rsidP="00FD132D" w14:paraId="5879AB02" w14:textId="77777777">
      <w:p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Vienlaikus Pasūtītājs norāda, ka attiecībā uz transformatora piekabes un ar to saistītā transportlīdzekļu sastāva masu piemērojama Pasūtītāja iepriekš sniegtā interpretācija (skat. atbildi uz 2. jautājumu), kurā jau ir precizēts, ka pieļaujamā transformatora piekabes masa ar iekārtu 25 MVA konfigurācijai var sasniegt aptuveni 100 000 kg, ciktāl tas izriet no piedāvātā tehniskā risinājuma un nodrošina atbilstību visām piemērojamajām drošības, pārvietošanas un ekspluatācijas prasībām.</w:t>
      </w:r>
    </w:p>
    <w:p w:rsidR="00FD132D" w:rsidRPr="00FD132D" w:rsidP="00FD132D" w14:paraId="4EA250F4" w14:textId="77777777">
      <w:p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Ņemot vērā iepirkuma procedūras stadiju un tuvojošos piedāvājumu iesniegšanas termiņu, Pasūtītājs neplāno šajā posmā veikt papildu grozījumus tehniskajā specifikācijā, tai skaitā attiecībā uz kandidāta lūgumu par kopējās masas limita palielināšanu līdz 115 000 kg.</w:t>
      </w:r>
    </w:p>
    <w:p w:rsidR="00FD132D" w:rsidRPr="00FD132D" w:rsidP="00FD132D" w14:paraId="1697181B" w14:textId="025F2DD6">
      <w:p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Vienlaikus Pasūtītājs uzsver, ka:</w:t>
      </w:r>
    </w:p>
    <w:p w:rsidR="00FD132D" w:rsidRPr="00FD132D" w:rsidP="00FD132D" w14:paraId="3D847E41" w14:textId="77777777">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pretendentiem ir jāiesniedz piedāvājumi, balstoties uz spēkā esošo iepirkuma dokumentāciju un Pasūtītāja sniegtajiem skaidrojumiem;</w:t>
      </w:r>
    </w:p>
    <w:p w:rsidR="00FD132D" w:rsidRPr="00FD132D" w:rsidP="00FD132D" w14:paraId="1EEC512B" w14:textId="77777777">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sarunu procedūras ietvaros Pasūtītājs izvērtēs iesniegtos tehniskos risinājumus to kopējā kontekstā, tostarp attiecībā uz masas, konfigurācijas un pārvietošanas risinājumu atbilstību normatīvajām prasībām un Pasūtītāja vajadzībām;</w:t>
      </w:r>
    </w:p>
    <w:p w:rsidR="00FD132D" w:rsidRPr="00FD132D" w:rsidP="00FD132D" w14:paraId="76D8BAE1" w14:textId="300E056F">
      <w:pPr>
        <w:pStyle w:val="ListParagraph"/>
        <w:numPr>
          <w:ilvl w:val="0"/>
          <w:numId w:val="3"/>
        </w:num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nepieciešamības gadījumā Pasūtītājs patur tiesības sarunu procesā precizēt prasības un aicināt pretendentus iesniegt precizētus gala piedāvājumus, ievērojot vienlīdzīgas attieksmes un caurskatāmības principus.</w:t>
      </w:r>
    </w:p>
    <w:p w:rsidR="00B1344F" w:rsidRPr="00B1344F" w:rsidP="00FD132D" w14:paraId="2290E0E1" w14:textId="24F32D9F">
      <w:pPr>
        <w:autoSpaceDE w:val="0"/>
        <w:autoSpaceDN w:val="0"/>
        <w:adjustRightInd w:val="0"/>
        <w:spacing w:after="120" w:line="240" w:lineRule="auto"/>
        <w:jc w:val="both"/>
        <w:rPr>
          <w:rFonts w:ascii="Times New Roman" w:hAnsi="Times New Roman" w:cs="Times New Roman"/>
          <w:sz w:val="24"/>
          <w:szCs w:val="24"/>
        </w:rPr>
      </w:pPr>
      <w:r w:rsidRPr="00FD132D">
        <w:rPr>
          <w:rFonts w:ascii="Times New Roman" w:hAnsi="Times New Roman" w:cs="Times New Roman"/>
          <w:sz w:val="24"/>
          <w:szCs w:val="24"/>
        </w:rPr>
        <w:t>Pasūtītājs papildus norāda, ka kandidātu iesniegtā informācija par tehniskajiem ierobežojumiem tiks ņemta vērā, turpmāk pilnveidojot iepirkuma dokumentāciju, ciktāl tas būs nepieciešams un samērīgs attiecībā uz iepirkuma mērķu sasniegšanu.</w:t>
      </w:r>
    </w:p>
    <w:p w:rsidR="004569DB" w:rsidRPr="003B183A" w:rsidP="004569DB" w14:paraId="3E871D2C" w14:textId="7777777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3B183A">
        <w:rPr>
          <w:rFonts w:ascii="Times New Roman" w:hAnsi="Times New Roman" w:cs="Times New Roman"/>
          <w:color w:val="000000" w:themeColor="text1"/>
          <w:sz w:val="24"/>
          <w:szCs w:val="24"/>
        </w:rPr>
        <w:t xml:space="preserve">Angļu valodas versija ir </w:t>
      </w:r>
      <w:r w:rsidRPr="003B183A">
        <w:rPr>
          <w:rFonts w:ascii="Times New Roman" w:hAnsi="Times New Roman" w:cs="Times New Roman"/>
          <w:color w:val="000000" w:themeColor="text1"/>
          <w:sz w:val="24"/>
          <w:szCs w:val="24"/>
        </w:rPr>
        <w:t>mašīntulkojums</w:t>
      </w:r>
      <w:r w:rsidRPr="003B183A">
        <w:rPr>
          <w:rFonts w:ascii="Times New Roman" w:hAnsi="Times New Roman" w:cs="Times New Roman"/>
          <w:color w:val="000000" w:themeColor="text1"/>
          <w:sz w:val="24"/>
          <w:szCs w:val="24"/>
        </w:rPr>
        <w:t xml:space="preserve"> un paredzēta tikai informatīviem nolūkiem. Jebkādu neatbilstību vai interpretācijas neskaidrību gadījumā noteicošā un saistošā ir dokumenta oriģinālā versija latviešu valodā.</w:t>
      </w:r>
    </w:p>
    <w:p w:rsidR="00D413BB" w:rsidP="004569DB" w14:paraId="1B2C4343" w14:textId="77777777">
      <w:pPr>
        <w:spacing w:after="120" w:line="240" w:lineRule="auto"/>
        <w:jc w:val="both"/>
        <w:rPr>
          <w:rFonts w:ascii="Times New Roman" w:hAnsi="Times New Roman" w:cs="Times New Roman"/>
          <w:sz w:val="24"/>
          <w:szCs w:val="24"/>
        </w:rPr>
      </w:pPr>
    </w:p>
    <w:p w:rsidR="004569DB" w:rsidRPr="001A357E" w:rsidP="004569DB" w14:paraId="6D3874A8" w14:textId="77777777">
      <w:pPr>
        <w:autoSpaceDE w:val="0"/>
        <w:autoSpaceDN w:val="0"/>
        <w:adjustRightInd w:val="0"/>
        <w:spacing w:after="120" w:line="240" w:lineRule="auto"/>
        <w:jc w:val="both"/>
        <w:rPr>
          <w:rFonts w:ascii="Times New Roman" w:hAnsi="Times New Roman" w:cs="Times New Roman"/>
          <w:color w:val="000000" w:themeColor="text1"/>
          <w:sz w:val="24"/>
          <w:szCs w:val="24"/>
          <w:lang w:val="en-US"/>
        </w:rPr>
      </w:pPr>
      <w:r w:rsidRPr="003B183A">
        <w:rPr>
          <w:rFonts w:ascii="Times New Roman" w:hAnsi="Times New Roman" w:cs="Times New Roman"/>
          <w:sz w:val="24"/>
          <w:szCs w:val="24"/>
          <w:lang w:val="en-GB"/>
        </w:rPr>
        <w:t>Joint Stock Company "</w:t>
      </w:r>
      <w:r w:rsidRPr="003B183A">
        <w:rPr>
          <w:rFonts w:ascii="Times New Roman" w:hAnsi="Times New Roman" w:cs="Times New Roman"/>
          <w:sz w:val="24"/>
          <w:szCs w:val="24"/>
          <w:lang w:val="en-GB"/>
        </w:rPr>
        <w:t>Augstsprieguma</w:t>
      </w:r>
      <w:r w:rsidRPr="003B183A">
        <w:rPr>
          <w:rFonts w:ascii="Times New Roman" w:hAnsi="Times New Roman" w:cs="Times New Roman"/>
          <w:sz w:val="24"/>
          <w:szCs w:val="24"/>
          <w:lang w:val="en-GB"/>
        </w:rPr>
        <w:t xml:space="preserve"> </w:t>
      </w:r>
      <w:r w:rsidRPr="003B183A">
        <w:rPr>
          <w:rFonts w:ascii="Times New Roman" w:hAnsi="Times New Roman" w:cs="Times New Roman"/>
          <w:sz w:val="24"/>
          <w:szCs w:val="24"/>
          <w:lang w:val="en-GB"/>
        </w:rPr>
        <w:t>tīkls</w:t>
      </w:r>
      <w:r w:rsidRPr="003B183A">
        <w:rPr>
          <w:rFonts w:ascii="Times New Roman" w:hAnsi="Times New Roman" w:cs="Times New Roman"/>
          <w:sz w:val="24"/>
          <w:szCs w:val="24"/>
          <w:lang w:val="en-GB"/>
        </w:rPr>
        <w:t>" (hereinafter referred to as AST or the Contracting Authority) organises a negotiated procedure by publishing an invitation to participate "</w:t>
      </w:r>
      <w:r w:rsidRPr="003B183A">
        <w:rPr>
          <w:rFonts w:ascii="Times New Roman" w:eastAsia="Times New Roman" w:hAnsi="Times New Roman" w:cs="Times New Roman"/>
          <w:color w:val="000000"/>
          <w:sz w:val="24"/>
          <w:szCs w:val="24"/>
          <w:lang w:val="en-GB" w:eastAsia="lv-LV"/>
        </w:rPr>
        <w:t>Supply of Mobile Substations</w:t>
      </w:r>
      <w:r w:rsidRPr="003B183A">
        <w:rPr>
          <w:rFonts w:ascii="Times New Roman" w:hAnsi="Times New Roman" w:cs="Times New Roman"/>
          <w:sz w:val="24"/>
          <w:szCs w:val="24"/>
          <w:lang w:val="en-GB"/>
        </w:rPr>
        <w:t xml:space="preserve">" (ID No. AST2025/93-ES) </w:t>
      </w:r>
      <w:r w:rsidRPr="003B183A">
        <w:rPr>
          <w:rFonts w:ascii="Times New Roman" w:hAnsi="Times New Roman" w:cs="Times New Roman"/>
          <w:color w:val="000000" w:themeColor="text1"/>
          <w:sz w:val="24"/>
          <w:szCs w:val="24"/>
          <w:lang w:val="en-GB"/>
        </w:rPr>
        <w:t xml:space="preserve">in accordance with Section 13, Paragraph one, </w:t>
      </w:r>
      <w:r w:rsidRPr="003B183A">
        <w:rPr>
          <w:rFonts w:ascii="Times New Roman" w:hAnsi="Times New Roman" w:cs="Times New Roman"/>
          <w:sz w:val="24"/>
          <w:szCs w:val="24"/>
          <w:lang w:val="en-GB"/>
        </w:rPr>
        <w:t>Clause 3 of the Law on the Procurements of Public Service Providers</w:t>
      </w:r>
      <w:r w:rsidRPr="003B183A">
        <w:rPr>
          <w:rFonts w:ascii="Times New Roman" w:hAnsi="Times New Roman" w:cs="Times New Roman"/>
          <w:color w:val="000000" w:themeColor="text1"/>
          <w:sz w:val="24"/>
          <w:szCs w:val="24"/>
          <w:lang w:val="en-GB"/>
        </w:rPr>
        <w:t>, Cabinet Regulation No. 187 of 28.03.2017 "</w:t>
      </w:r>
      <w:r w:rsidRPr="003B183A">
        <w:rPr>
          <w:rFonts w:ascii="Times New Roman" w:hAnsi="Times New Roman" w:cs="Times New Roman"/>
          <w:sz w:val="24"/>
          <w:szCs w:val="24"/>
          <w:lang w:val="en-GB"/>
        </w:rPr>
        <w:t xml:space="preserve">Procedures for the Course of Procurement Procedures and Design Contests of </w:t>
      </w:r>
      <w:r w:rsidRPr="001A357E">
        <w:rPr>
          <w:rFonts w:ascii="Times New Roman" w:hAnsi="Times New Roman" w:cs="Times New Roman"/>
          <w:sz w:val="24"/>
          <w:szCs w:val="24"/>
          <w:lang w:val="en-US"/>
        </w:rPr>
        <w:t>Public Service Providers</w:t>
      </w:r>
      <w:r w:rsidRPr="001A357E">
        <w:rPr>
          <w:rFonts w:ascii="Times New Roman" w:hAnsi="Times New Roman" w:cs="Times New Roman"/>
          <w:color w:val="000000" w:themeColor="text1"/>
          <w:sz w:val="24"/>
          <w:szCs w:val="24"/>
          <w:lang w:val="en-US"/>
        </w:rPr>
        <w:t xml:space="preserve">" Sub-chapter 2.3 and the Procurement Regulations (hereinafter – the </w:t>
      </w:r>
      <w:r w:rsidRPr="001A357E">
        <w:rPr>
          <w:rFonts w:ascii="Times New Roman" w:hAnsi="Times New Roman" w:cs="Times New Roman"/>
          <w:sz w:val="24"/>
          <w:szCs w:val="24"/>
          <w:lang w:val="en-US"/>
        </w:rPr>
        <w:t>Regulations</w:t>
      </w:r>
      <w:r w:rsidRPr="001A357E">
        <w:rPr>
          <w:rFonts w:ascii="Times New Roman" w:hAnsi="Times New Roman" w:cs="Times New Roman"/>
          <w:color w:val="000000" w:themeColor="text1"/>
          <w:sz w:val="24"/>
          <w:szCs w:val="24"/>
          <w:lang w:val="en-US"/>
        </w:rPr>
        <w:t>).</w:t>
      </w:r>
    </w:p>
    <w:p w:rsidR="004569DB" w:rsidP="004569DB" w14:paraId="29E038E2" w14:textId="76E44841">
      <w:pPr>
        <w:spacing w:after="120" w:line="240" w:lineRule="auto"/>
        <w:jc w:val="both"/>
        <w:rPr>
          <w:rFonts w:ascii="Times New Roman" w:eastAsia="Times New Roman" w:hAnsi="Times New Roman" w:cs="Times New Roman"/>
          <w:b/>
          <w:bCs/>
          <w:sz w:val="24"/>
          <w:szCs w:val="24"/>
          <w:lang w:val="en-US" w:eastAsia="lv-LV"/>
        </w:rPr>
      </w:pPr>
      <w:r w:rsidRPr="001A357E">
        <w:rPr>
          <w:rFonts w:ascii="Times New Roman" w:eastAsia="Times New Roman" w:hAnsi="Times New Roman" w:cs="Times New Roman"/>
          <w:b/>
          <w:bCs/>
          <w:sz w:val="24"/>
          <w:szCs w:val="24"/>
          <w:lang w:val="en-US" w:eastAsia="lv-LV"/>
        </w:rPr>
        <w:t>Candidate’s Question</w:t>
      </w:r>
      <w:r>
        <w:rPr>
          <w:rFonts w:ascii="Times New Roman" w:eastAsia="Times New Roman" w:hAnsi="Times New Roman" w:cs="Times New Roman"/>
          <w:b/>
          <w:bCs/>
          <w:sz w:val="24"/>
          <w:szCs w:val="24"/>
          <w:lang w:val="en-US" w:eastAsia="lv-LV"/>
        </w:rPr>
        <w:t>s</w:t>
      </w:r>
      <w:r w:rsidRPr="001A357E">
        <w:rPr>
          <w:rFonts w:ascii="Times New Roman" w:eastAsia="Times New Roman" w:hAnsi="Times New Roman" w:cs="Times New Roman"/>
          <w:b/>
          <w:bCs/>
          <w:sz w:val="24"/>
          <w:szCs w:val="24"/>
          <w:lang w:val="en-US" w:eastAsia="lv-LV"/>
        </w:rPr>
        <w:t xml:space="preserve"> </w:t>
      </w:r>
      <w:r>
        <w:rPr>
          <w:rFonts w:ascii="Times New Roman" w:eastAsia="Times New Roman" w:hAnsi="Times New Roman" w:cs="Times New Roman"/>
          <w:b/>
          <w:bCs/>
          <w:sz w:val="24"/>
          <w:szCs w:val="24"/>
          <w:lang w:val="en-US" w:eastAsia="lv-LV"/>
        </w:rPr>
        <w:t xml:space="preserve">on </w:t>
      </w:r>
      <w:r w:rsidRPr="001A357E">
        <w:rPr>
          <w:rFonts w:ascii="Times New Roman" w:eastAsia="Times New Roman" w:hAnsi="Times New Roman" w:cs="Times New Roman"/>
          <w:b/>
          <w:bCs/>
          <w:sz w:val="24"/>
          <w:szCs w:val="24"/>
          <w:lang w:val="en-US" w:eastAsia="lv-LV"/>
        </w:rPr>
        <w:t>21 May 2026:</w:t>
      </w:r>
    </w:p>
    <w:p w:rsidR="004569DB" w:rsidRPr="00FD132D" w:rsidP="004569DB" w14:paraId="499B2F33" w14:textId="77777777">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Having familiarized ourselves with the procurement documentation of the second round of the Negotiated Procedure, we fully understand the customer's desire to optimize logistics processes, reduce the administrative burden and ensure the movement of mobile substations in a standard operating mode, avoiding the administrative risks of heavy cargo transportation as much as possible, and taking this into account, we are preparing an offer for your requirements. At the same time, while performing precise engineering calculations together with the manufacturer of substation equipment, we are forced to draw the attention of the procurement commission to an objective and insurmountable physical and mathematical contradiction embedded in the technical specification 7.11.TS_Trailer_ENG (Annex 7.11) regarding the requirement to provide a mobile substation with a capacity of 25 MVA, while determining that the total gross weight of the vehicle combination with the tractor must not exceed 100,000 kg.</w:t>
      </w:r>
    </w:p>
    <w:p w:rsidR="000F1EB2" w:rsidRPr="00FD132D" w:rsidP="004569DB" w14:paraId="519C8DE8" w14:textId="616E93D6">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We would like to provide a reasoned and technical justification based on the manufacturer's data, why such a combination cannot be physically implemented:</w:t>
      </w:r>
    </w:p>
    <w:p w:rsidR="00AA0833" w:rsidRPr="00FD132D" w:rsidP="00AA0833" w14:paraId="68A82C74" w14:textId="77777777">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1. The electrical capacity of the 25 MVA power transformer required in the technical specification, complete with a control and switching module, determines the minimum and irreducible mass of the components. The active magnetic core, windings, tank and auxiliary systems of such a power transformer form a bulky physical structure. Even with the complete draining of the insulating oil during transportation to ensure maximum safety and weight reduction, the total weight of this module reaches 78.5 tons. This weight cannot be technically reduced without reducing the transformer capacity itself and the parameters required by the Customer.</w:t>
      </w:r>
    </w:p>
    <w:p w:rsidR="00AA0833" w:rsidRPr="00FD132D" w:rsidP="00AA0833" w14:paraId="5F492D03" w14:textId="77777777">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2. In order to safely and stably move a concentrated load weighing 78.5 tons along Latvian roads, a specially designed, hydraulic multi-axle semi-trailer is required. In order to ensure full compliance with road traffic regulations and guarantee that the load on one axle does not exceed 13 tons, the axle arrangement and frame design are maximally optimized. The curb weight of such a specialized trailer according to the preliminary design is 25 tons. Any reduction in the weight of the trailer frame would directly compromise the structural integrity and safety of the structure during transportation.</w:t>
      </w:r>
    </w:p>
    <w:p w:rsidR="00697C0B" w:rsidRPr="00FD132D" w:rsidP="00AA0833" w14:paraId="3C43EDAD" w14:textId="1B95DCED">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3. Total combination weight: </w:t>
      </w:r>
    </w:p>
    <w:p w:rsidR="00697C0B" w:rsidRPr="00FD132D" w:rsidP="000933FC" w14:paraId="1501D2F4"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Equipment (25 MVA transformer + E-house, without oil): ~78.5 tonnes </w:t>
      </w:r>
    </w:p>
    <w:p w:rsidR="00697C0B" w:rsidRPr="00FD132D" w:rsidP="00AA0833" w14:paraId="02068A99" w14:textId="77777777">
      <w:pPr>
        <w:spacing w:after="120" w:line="240" w:lineRule="auto"/>
        <w:ind w:left="284"/>
        <w:jc w:val="both"/>
        <w:rPr>
          <w:rFonts w:ascii="Times New Roman" w:hAnsi="Times New Roman" w:cs="Times New Roman"/>
          <w:i/>
          <w:iCs/>
          <w:sz w:val="24"/>
          <w:szCs w:val="24"/>
          <w:lang w:val="fr-BE"/>
        </w:rPr>
      </w:pPr>
      <w:r w:rsidRPr="00FD132D">
        <w:rPr>
          <w:rFonts w:ascii="Times New Roman" w:hAnsi="Times New Roman" w:cs="Times New Roman"/>
          <w:i/>
          <w:iCs/>
          <w:sz w:val="24"/>
          <w:szCs w:val="24"/>
          <w:lang w:val="fr-BE"/>
        </w:rPr>
        <w:t>- Semi-trailer: ~25.0 tonnes </w:t>
      </w:r>
    </w:p>
    <w:p w:rsidR="00697C0B" w:rsidRPr="00FD132D" w:rsidP="00AA0833" w14:paraId="4FFFCCA6" w14:textId="77777777">
      <w:pPr>
        <w:spacing w:after="120" w:line="240" w:lineRule="auto"/>
        <w:ind w:left="284"/>
        <w:jc w:val="both"/>
        <w:rPr>
          <w:rFonts w:ascii="Times New Roman" w:hAnsi="Times New Roman" w:cs="Times New Roman"/>
          <w:i/>
          <w:iCs/>
          <w:sz w:val="24"/>
          <w:szCs w:val="24"/>
          <w:lang w:val="fr-BE"/>
        </w:rPr>
      </w:pPr>
      <w:r w:rsidRPr="00FD132D">
        <w:rPr>
          <w:rFonts w:ascii="Times New Roman" w:hAnsi="Times New Roman" w:cs="Times New Roman"/>
          <w:i/>
          <w:iCs/>
          <w:sz w:val="24"/>
          <w:szCs w:val="24"/>
          <w:lang w:val="fr-BE"/>
        </w:rPr>
        <w:t xml:space="preserve">- </w:t>
      </w:r>
      <w:r w:rsidRPr="00FD132D">
        <w:rPr>
          <w:rFonts w:ascii="Times New Roman" w:hAnsi="Times New Roman" w:cs="Times New Roman"/>
          <w:i/>
          <w:iCs/>
          <w:sz w:val="24"/>
          <w:szCs w:val="24"/>
          <w:lang w:val="fr-BE"/>
        </w:rPr>
        <w:t>Tractor</w:t>
      </w:r>
      <w:r w:rsidRPr="00FD132D">
        <w:rPr>
          <w:rFonts w:ascii="Times New Roman" w:hAnsi="Times New Roman" w:cs="Times New Roman"/>
          <w:i/>
          <w:iCs/>
          <w:sz w:val="24"/>
          <w:szCs w:val="24"/>
          <w:lang w:val="fr-BE"/>
        </w:rPr>
        <w:t xml:space="preserve"> unit: ~11.5 tonnes </w:t>
      </w:r>
    </w:p>
    <w:p w:rsidR="00697C0B" w:rsidRPr="00FD132D" w:rsidP="00AA0833" w14:paraId="235AD792"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Total combination weight: ~115.0 tonnes </w:t>
      </w:r>
    </w:p>
    <w:p w:rsidR="00697C0B" w:rsidRPr="00FD132D" w:rsidP="00697C0B" w14:paraId="63ABA32A" w14:textId="77777777">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Additionally about the semi-trailer:</w:t>
      </w:r>
    </w:p>
    <w:p w:rsidR="004569DB" w:rsidRPr="00FD132D" w:rsidP="00697C0B" w14:paraId="6A7EC036" w14:textId="4A9F7E1D">
      <w:pPr>
        <w:spacing w:after="120" w:line="240" w:lineRule="auto"/>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The equipment layout and configuration requested in the customer's technical specification (25 MVA power transformer placed on one trailer module together with the control and switching building/container - E-House) structurally dictates an inevitable increase in the semi-trailer's unladen weight for the following reasons:</w:t>
      </w:r>
    </w:p>
    <w:p w:rsidR="00697C0B" w:rsidRPr="00FD132D" w:rsidP="00700E9D" w14:paraId="50D90EFE"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In order to safely place the high-voltage outlets, the power transformer itself and the medium-voltage switchgear container on one platform, it is necessary to strictly observe the regulatory air insulation distances and ensure electromagnetic compatibility. This determines the minimum useful length and width of the platform, which cannot be physically reduced without endangering operational safety and personnel.</w:t>
      </w:r>
    </w:p>
    <w:p w:rsidR="00697C0B" w:rsidRPr="00FD132D" w:rsidP="00700E9D" w14:paraId="3221007D"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xml:space="preserve">• Since the transformer and the E-House container have a drastically different weight distribution, their placement on the trailer must be precisely balanced. The transformer must be concentrated directly above the hydraulic axle block, while the E-House balances the load </w:t>
      </w:r>
      <w:r w:rsidRPr="00FD132D">
        <w:rPr>
          <w:rFonts w:ascii="Times New Roman" w:hAnsi="Times New Roman" w:cs="Times New Roman"/>
          <w:i/>
          <w:iCs/>
          <w:sz w:val="24"/>
          <w:szCs w:val="24"/>
          <w:lang w:val="en-GB"/>
        </w:rPr>
        <w:t>on the fifth wheel coupling pin. Such a wheelbase arrangement requires a particularly strong, reinforced steel supporting frame that can withstand a huge bending moment. The curb weight of such a reinforced semi-trailer reaches 25 tons.</w:t>
      </w:r>
    </w:p>
    <w:p w:rsidR="004569DB" w:rsidRPr="00FD132D" w:rsidP="00700E9D" w14:paraId="00543534" w14:textId="371C8990">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If the manufacturer were to attempt to shorten the trailer layout or reduce the number of axles to fit within the 100 tonne limit requested by the Client, the 78.5 tonne payload would be concentrated in a smaller area. As a result, the load per axle of the vehicle would exceed the maximum limit set by the legislation of the Republic of Latvia (over 13 tonnes per axle), making the movement of such a vehicle on Latvian roads legally and physically impossible.</w:t>
      </w:r>
    </w:p>
    <w:p w:rsidR="00700E9D" w:rsidRPr="00FD132D" w:rsidP="00700E9D" w14:paraId="6CFA05D2" w14:textId="77777777">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The equipment layout and safety standards required by the technical specification determine the physical dimensions of the trailer. In order to move such an arrangement without exceeding the 13-tonne axle load limit, exactly such an axle configuration and the trailer's unladen weight (25 t) are required, which together with the tractor and equipment make up a total mass of ~115 tonnes. The 100-tonne limit cannot be met without either changing the layout (which is not possible for safety reasons) or reducing the capacity.</w:t>
      </w:r>
    </w:p>
    <w:p w:rsidR="00697C0B" w:rsidRPr="00FD132D" w:rsidP="00700E9D" w14:paraId="1D4D752F" w14:textId="4EBE4811">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xml:space="preserve">In addition to the purely mechanical and layout parameters, the physical weight of a 25 MVA transformer is directly, inevitably and legally affected by the legal framework in force in the European Union, European Commission Regulation (EU) No 548/2014 and its amendments (EU) 2019/1783 regarding </w:t>
      </w:r>
      <w:r w:rsidRPr="00FD132D">
        <w:rPr>
          <w:rFonts w:ascii="Times New Roman" w:hAnsi="Times New Roman" w:cs="Times New Roman"/>
          <w:i/>
          <w:iCs/>
          <w:sz w:val="24"/>
          <w:szCs w:val="24"/>
          <w:lang w:val="en-GB"/>
        </w:rPr>
        <w:t>ecodesign</w:t>
      </w:r>
      <w:r w:rsidRPr="00FD132D">
        <w:rPr>
          <w:rFonts w:ascii="Times New Roman" w:hAnsi="Times New Roman" w:cs="Times New Roman"/>
          <w:i/>
          <w:iCs/>
          <w:sz w:val="24"/>
          <w:szCs w:val="24"/>
          <w:lang w:val="en-GB"/>
        </w:rPr>
        <w:t xml:space="preserve"> requirements for power transformers.</w:t>
      </w:r>
    </w:p>
    <w:p w:rsidR="00700E9D" w:rsidRPr="00FD132D" w:rsidP="00700E9D" w14:paraId="71696031"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In order for a transformer to be allowed to be placed on the EU and Latvian markets, it must ensure exceptionally low no-load and load losses. To achieve these stringent energy efficiency indicators, the manufacturer is forced to use a significantly larger amount of the highest quality electrical steel in the magnetic core and significantly increase the cross-section of the windings.</w:t>
      </w:r>
    </w:p>
    <w:p w:rsidR="00700E9D" w:rsidRPr="00FD132D" w:rsidP="00700E9D" w14:paraId="729C347B" w14:textId="77777777">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Engineering practice shows that the transition to mandatory Ecodesign requirements increases the weight of the active part of the transformer by approximately 15% to 20%, compared to older generation transformers or equipment manufactured for regions outside the EU where such loss restrictions do not exist.</w:t>
      </w:r>
    </w:p>
    <w:p w:rsidR="00700E9D" w:rsidRPr="00FD132D" w:rsidP="00700E9D" w14:paraId="1126ABBA" w14:textId="6D96361C">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The manufacturer is legally prohibited from reducing the weight of the transformer at the expense of the amount of steel or copper, as this would automatically increase losses. In such a case, the equipment would not comply with EU directives, the manufacturer would not be able to issue a CE declaration of conformity, and the Customer would not be legally allowed to put such a mobile substation into operation and connect it to the transmission network.</w:t>
      </w:r>
    </w:p>
    <w:p w:rsidR="00697C0B" w:rsidRPr="00FD132D" w:rsidP="00697C0B" w14:paraId="5CB3AA62" w14:textId="6EF8B44C">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Considering that the base calculation objectively amounts to approximately 115 tons, the 100-ton limit set in the specification is a physically unattainable goal for almost any electrical equipment manufacturer in the world. While maintaining all conditions, it is not possible to submit a technically feasible and at the same time regulatory-compliant solution in the procurement.</w:t>
      </w:r>
    </w:p>
    <w:p w:rsidR="000933FC" w:rsidRPr="00FD132D" w:rsidP="000933FC" w14:paraId="308F591F" w14:textId="77777777">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In order to ensure free competition and enable bidders to submit offers in accordance with real life and engineering standards in the 2nd round of the negotiation procedure, we ask the Procurement Commission to make amendments to the procurement documentation before the final bid submission deadline:</w:t>
      </w:r>
    </w:p>
    <w:p w:rsidR="000933FC" w:rsidRPr="00FD132D" w:rsidP="000933FC" w14:paraId="3889DADA" w14:textId="065ADA19">
      <w:pPr>
        <w:spacing w:after="120" w:line="240" w:lineRule="auto"/>
        <w:ind w:left="284"/>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 To amend the requirement of Annex 7.11 of the technical specifications by increasing the maximum permissible total gross vehicle mass with a tractor (</w:t>
      </w:r>
      <w:r w:rsidRPr="00FD132D">
        <w:rPr>
          <w:rFonts w:ascii="Times New Roman" w:hAnsi="Times New Roman" w:cs="Times New Roman"/>
          <w:i/>
          <w:iCs/>
          <w:sz w:val="24"/>
          <w:szCs w:val="24"/>
          <w:lang w:val="en-GB"/>
        </w:rPr>
        <w:t>TR+Ehouse</w:t>
      </w:r>
      <w:r w:rsidRPr="00FD132D">
        <w:rPr>
          <w:rFonts w:ascii="Times New Roman" w:hAnsi="Times New Roman" w:cs="Times New Roman"/>
          <w:i/>
          <w:iCs/>
          <w:sz w:val="24"/>
          <w:szCs w:val="24"/>
          <w:lang w:val="en-GB"/>
        </w:rPr>
        <w:t xml:space="preserve"> module) to 115,000 kg (115 tons), while stipulating that the bidder ensures an optimized axle configuration, where the axle load does not exceed 13 tons per axle</w:t>
      </w:r>
    </w:p>
    <w:p w:rsidR="000933FC" w:rsidRPr="00FD132D" w:rsidP="000933FC" w14:paraId="1821490C" w14:textId="77777777">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In addition, we refer to the letter 2.5/2026/535 where another applicant has pointed out the same problem and where you have agreed to a total weight of over 100t excluding the tractor.</w:t>
      </w:r>
    </w:p>
    <w:p w:rsidR="00697C0B" w:rsidRPr="00FD132D" w:rsidP="000933FC" w14:paraId="507C8366" w14:textId="4FFC0FA0">
      <w:pPr>
        <w:jc w:val="both"/>
        <w:rPr>
          <w:rFonts w:ascii="Times New Roman" w:hAnsi="Times New Roman" w:cs="Times New Roman"/>
          <w:i/>
          <w:iCs/>
          <w:sz w:val="24"/>
          <w:szCs w:val="24"/>
          <w:lang w:val="en-GB"/>
        </w:rPr>
      </w:pPr>
      <w:r w:rsidRPr="00FD132D">
        <w:rPr>
          <w:rFonts w:ascii="Times New Roman" w:hAnsi="Times New Roman" w:cs="Times New Roman"/>
          <w:i/>
          <w:iCs/>
          <w:sz w:val="24"/>
          <w:szCs w:val="24"/>
          <w:lang w:val="en-GB"/>
        </w:rPr>
        <w:t>Question and your answer below.</w:t>
      </w:r>
    </w:p>
    <w:p w:rsidR="000933FC" w:rsidRPr="000933FC" w:rsidP="000933FC" w14:paraId="544C5A23" w14:textId="5B093837">
      <w:pPr>
        <w:autoSpaceDE w:val="0"/>
        <w:autoSpaceDN w:val="0"/>
        <w:adjustRightInd w:val="0"/>
        <w:spacing w:before="120"/>
        <w:jc w:val="both"/>
        <w:rPr>
          <w:rStyle w:val="Strong"/>
          <w:rFonts w:ascii="Times New Roman" w:hAnsi="Times New Roman" w:cs="Times New Roman"/>
          <w:i/>
          <w:iCs/>
          <w:sz w:val="24"/>
          <w:szCs w:val="24"/>
          <w:lang w:val="en-GB"/>
        </w:rPr>
      </w:pPr>
      <w:r>
        <w:rPr>
          <w:rStyle w:val="Strong"/>
          <w:rFonts w:ascii="Times New Roman" w:hAnsi="Times New Roman" w:cs="Times New Roman"/>
          <w:b w:val="0"/>
          <w:bCs w:val="0"/>
          <w:i/>
          <w:iCs/>
          <w:sz w:val="24"/>
          <w:szCs w:val="24"/>
          <w:lang w:val="en-GB"/>
        </w:rPr>
        <w:t>" </w:t>
      </w:r>
      <w:r w:rsidRPr="000933FC">
        <w:rPr>
          <w:rStyle w:val="Strong"/>
          <w:rFonts w:ascii="Times New Roman" w:hAnsi="Times New Roman" w:cs="Times New Roman"/>
          <w:i/>
          <w:iCs/>
          <w:sz w:val="24"/>
          <w:szCs w:val="24"/>
          <w:lang w:val="en-GB"/>
        </w:rPr>
        <w:t>Question No. 2</w:t>
      </w:r>
    </w:p>
    <w:p w:rsidR="000933FC" w:rsidRPr="000933FC" w:rsidP="000933FC" w14:paraId="102AE010" w14:textId="77777777">
      <w:pPr>
        <w:ind w:firstLine="709"/>
        <w:jc w:val="both"/>
        <w:rPr>
          <w:rFonts w:ascii="Times New Roman" w:hAnsi="Times New Roman" w:cs="Times New Roman"/>
          <w:i/>
          <w:iCs/>
          <w:sz w:val="24"/>
          <w:szCs w:val="24"/>
          <w:lang w:val="en-GB"/>
        </w:rPr>
      </w:pPr>
      <w:r w:rsidRPr="000933FC">
        <w:rPr>
          <w:rFonts w:ascii="Times New Roman" w:hAnsi="Times New Roman" w:cs="Times New Roman"/>
          <w:i/>
          <w:iCs/>
          <w:sz w:val="24"/>
          <w:szCs w:val="24"/>
          <w:lang w:val="en-GB"/>
        </w:rPr>
        <w:t xml:space="preserve">After reviewing the main equipment in relation to the technical specifications of negotiated procedure AST2025/93-ES, we have calculated the total accumulated loads for the transformer trailer based on the equipment weight. Our preliminary study has revealed a considerable discrepancy between the re-quired trailer load capacity values and the actual or expected load values. </w:t>
      </w:r>
    </w:p>
    <w:p w:rsidR="000933FC" w:rsidRPr="000933FC" w:rsidP="000933FC" w14:paraId="57E27624" w14:textId="77777777">
      <w:pPr>
        <w:rPr>
          <w:rFonts w:ascii="Times New Roman" w:hAnsi="Times New Roman" w:cs="Times New Roman"/>
          <w:i/>
          <w:iCs/>
          <w:sz w:val="24"/>
          <w:szCs w:val="24"/>
        </w:rPr>
      </w:pPr>
      <w:r w:rsidRPr="000933FC">
        <w:rPr>
          <w:rFonts w:ascii="Times New Roman" w:hAnsi="Times New Roman" w:cs="Times New Roman"/>
          <w:i/>
          <w:iCs/>
          <w:sz w:val="24"/>
          <w:szCs w:val="24"/>
        </w:rPr>
        <w:t>16 MVA</w:t>
      </w:r>
    </w:p>
    <w:tbl>
      <w:tblPr>
        <w:tblW w:w="5000" w:type="pct"/>
        <w:tblLook w:val="04A0"/>
      </w:tblPr>
      <w:tblGrid>
        <w:gridCol w:w="574"/>
        <w:gridCol w:w="2966"/>
        <w:gridCol w:w="3132"/>
        <w:gridCol w:w="2672"/>
      </w:tblGrid>
      <w:tr w14:paraId="649D9C71" w14:textId="77777777" w:rsidTr="00590C50">
        <w:tblPrEx>
          <w:tblW w:w="5000" w:type="pct"/>
          <w:tblLook w:val="04A0"/>
        </w:tblPrEx>
        <w:trPr>
          <w:trHeight w:val="290"/>
        </w:trPr>
        <w:tc>
          <w:tcPr>
            <w:tcW w:w="307" w:type="pct"/>
            <w:tcBorders>
              <w:top w:val="nil"/>
              <w:left w:val="single" w:sz="4" w:space="0" w:color="auto"/>
              <w:bottom w:val="single" w:sz="4" w:space="0" w:color="auto"/>
              <w:right w:val="single" w:sz="4" w:space="0" w:color="auto"/>
            </w:tcBorders>
            <w:noWrap/>
            <w:vAlign w:val="center"/>
            <w:hideMark/>
          </w:tcPr>
          <w:p w:rsidR="000933FC" w:rsidRPr="000933FC" w:rsidP="00590C50" w14:paraId="25DB22FD"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9</w:t>
            </w:r>
          </w:p>
        </w:tc>
        <w:tc>
          <w:tcPr>
            <w:tcW w:w="1587" w:type="pct"/>
            <w:tcBorders>
              <w:top w:val="nil"/>
              <w:left w:val="nil"/>
              <w:bottom w:val="single" w:sz="4" w:space="0" w:color="auto"/>
              <w:right w:val="single" w:sz="4" w:space="0" w:color="auto"/>
            </w:tcBorders>
            <w:vAlign w:val="center"/>
            <w:hideMark/>
          </w:tcPr>
          <w:p w:rsidR="000933FC" w:rsidRPr="000933FC" w:rsidP="00590C50" w14:paraId="62DA0A91" w14:textId="77777777">
            <w:pPr>
              <w:spacing w:after="0" w:line="240" w:lineRule="auto"/>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Trailer load capacity (kg)</w:t>
            </w:r>
          </w:p>
        </w:tc>
        <w:tc>
          <w:tcPr>
            <w:tcW w:w="1676" w:type="pct"/>
            <w:tcBorders>
              <w:top w:val="nil"/>
              <w:left w:val="nil"/>
              <w:bottom w:val="single" w:sz="4" w:space="0" w:color="auto"/>
              <w:right w:val="single" w:sz="4" w:space="0" w:color="auto"/>
            </w:tcBorders>
            <w:vAlign w:val="center"/>
            <w:hideMark/>
          </w:tcPr>
          <w:p w:rsidR="000933FC" w:rsidRPr="000933FC" w:rsidP="00590C50" w14:paraId="61D44187" w14:textId="77777777">
            <w:pPr>
              <w:spacing w:after="0" w:line="240" w:lineRule="auto"/>
              <w:rPr>
                <w:rFonts w:ascii="Times New Roman" w:eastAsia="Times New Roman" w:hAnsi="Times New Roman" w:cs="Times New Roman"/>
                <w:b/>
                <w:bCs/>
                <w:i/>
                <w:iCs/>
                <w:color w:val="000000"/>
                <w:lang w:val="en-US" w:eastAsia="lv-LV"/>
              </w:rPr>
            </w:pPr>
            <w:r w:rsidRPr="000933FC">
              <w:rPr>
                <w:rFonts w:ascii="Times New Roman" w:eastAsia="Times New Roman" w:hAnsi="Times New Roman" w:cs="Times New Roman"/>
                <w:b/>
                <w:bCs/>
                <w:i/>
                <w:iCs/>
                <w:color w:val="000000"/>
                <w:lang w:val="en-US" w:eastAsia="lv-LV"/>
              </w:rPr>
              <w:t>≤ 70000</w:t>
            </w:r>
          </w:p>
        </w:tc>
        <w:tc>
          <w:tcPr>
            <w:tcW w:w="1430" w:type="pct"/>
            <w:tcBorders>
              <w:top w:val="nil"/>
              <w:left w:val="nil"/>
              <w:bottom w:val="single" w:sz="4" w:space="0" w:color="auto"/>
              <w:right w:val="single" w:sz="4" w:space="0" w:color="auto"/>
            </w:tcBorders>
            <w:vAlign w:val="center"/>
            <w:hideMark/>
          </w:tcPr>
          <w:p w:rsidR="000933FC" w:rsidRPr="000933FC" w:rsidP="00590C50" w14:paraId="26E2C49E"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85 000 (estimated)</w:t>
            </w:r>
          </w:p>
        </w:tc>
      </w:tr>
      <w:tr w14:paraId="5D2BADEE" w14:textId="77777777" w:rsidTr="00590C50">
        <w:tblPrEx>
          <w:tblW w:w="5000" w:type="pct"/>
          <w:tblLook w:val="04A0"/>
        </w:tblPrEx>
        <w:trPr>
          <w:trHeight w:val="290"/>
        </w:trPr>
        <w:tc>
          <w:tcPr>
            <w:tcW w:w="307" w:type="pct"/>
            <w:tcBorders>
              <w:top w:val="nil"/>
              <w:left w:val="single" w:sz="4" w:space="0" w:color="auto"/>
              <w:bottom w:val="single" w:sz="4" w:space="0" w:color="auto"/>
              <w:right w:val="single" w:sz="4" w:space="0" w:color="auto"/>
            </w:tcBorders>
            <w:noWrap/>
            <w:vAlign w:val="center"/>
          </w:tcPr>
          <w:p w:rsidR="000933FC" w:rsidRPr="000933FC" w:rsidP="00590C50" w14:paraId="0D8779FD"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10</w:t>
            </w:r>
          </w:p>
        </w:tc>
        <w:tc>
          <w:tcPr>
            <w:tcW w:w="1587" w:type="pct"/>
            <w:tcBorders>
              <w:top w:val="nil"/>
              <w:left w:val="nil"/>
              <w:bottom w:val="single" w:sz="4" w:space="0" w:color="auto"/>
              <w:right w:val="single" w:sz="4" w:space="0" w:color="auto"/>
            </w:tcBorders>
            <w:vAlign w:val="center"/>
          </w:tcPr>
          <w:p w:rsidR="000933FC" w:rsidRPr="000933FC" w:rsidP="00590C50" w14:paraId="215F97B5" w14:textId="77777777">
            <w:pPr>
              <w:spacing w:after="0" w:line="240" w:lineRule="auto"/>
              <w:rPr>
                <w:rFonts w:ascii="Times New Roman" w:eastAsia="Times New Roman" w:hAnsi="Times New Roman" w:cs="Times New Roman"/>
                <w:i/>
                <w:iCs/>
                <w:color w:val="000000"/>
                <w:lang w:eastAsia="lv-LV"/>
              </w:rPr>
            </w:pPr>
            <w:r w:rsidRPr="000933FC">
              <w:rPr>
                <w:rFonts w:ascii="Times New Roman" w:eastAsia="Times New Roman" w:hAnsi="Times New Roman" w:cs="Times New Roman"/>
                <w:i/>
                <w:iCs/>
                <w:color w:val="000000"/>
                <w:lang w:val="en" w:eastAsia="lv-LV"/>
              </w:rPr>
              <w:t>Gross trailer weight with tractor</w:t>
            </w:r>
          </w:p>
        </w:tc>
        <w:tc>
          <w:tcPr>
            <w:tcW w:w="1676" w:type="pct"/>
            <w:tcBorders>
              <w:top w:val="nil"/>
              <w:left w:val="nil"/>
              <w:bottom w:val="single" w:sz="4" w:space="0" w:color="auto"/>
              <w:right w:val="single" w:sz="4" w:space="0" w:color="auto"/>
            </w:tcBorders>
            <w:vAlign w:val="center"/>
          </w:tcPr>
          <w:p w:rsidR="000933FC" w:rsidRPr="000933FC" w:rsidP="00590C50" w14:paraId="6B4BC874" w14:textId="77777777">
            <w:pPr>
              <w:spacing w:after="0" w:line="240" w:lineRule="auto"/>
              <w:rPr>
                <w:rFonts w:ascii="Times New Roman" w:eastAsia="Times New Roman" w:hAnsi="Times New Roman" w:cs="Times New Roman"/>
                <w:b/>
                <w:bCs/>
                <w:i/>
                <w:iCs/>
                <w:color w:val="000000"/>
                <w:lang w:val="en-US" w:eastAsia="lv-LV"/>
              </w:rPr>
            </w:pPr>
            <w:r w:rsidRPr="000933FC">
              <w:rPr>
                <w:rFonts w:ascii="Times New Roman" w:eastAsia="Times New Roman" w:hAnsi="Times New Roman" w:cs="Times New Roman"/>
                <w:b/>
                <w:bCs/>
                <w:i/>
                <w:iCs/>
                <w:color w:val="000000"/>
                <w:lang w:val="en-US" w:eastAsia="lv-LV"/>
              </w:rPr>
              <w:t>≤ 80000</w:t>
            </w:r>
          </w:p>
        </w:tc>
        <w:tc>
          <w:tcPr>
            <w:tcW w:w="1430" w:type="pct"/>
            <w:tcBorders>
              <w:top w:val="nil"/>
              <w:left w:val="nil"/>
              <w:bottom w:val="single" w:sz="4" w:space="0" w:color="auto"/>
              <w:right w:val="single" w:sz="4" w:space="0" w:color="auto"/>
            </w:tcBorders>
            <w:vAlign w:val="center"/>
          </w:tcPr>
          <w:p w:rsidR="000933FC" w:rsidRPr="000933FC" w:rsidP="00590C50" w14:paraId="5555F1D7" w14:textId="77777777">
            <w:pPr>
              <w:spacing w:after="0" w:line="240" w:lineRule="auto"/>
              <w:jc w:val="center"/>
              <w:rPr>
                <w:rFonts w:ascii="Times New Roman" w:eastAsia="Times New Roman" w:hAnsi="Times New Roman" w:cs="Times New Roman"/>
                <w:i/>
                <w:iCs/>
                <w:color w:val="000000"/>
                <w:lang w:val="en-US" w:eastAsia="lv-LV"/>
              </w:rPr>
            </w:pPr>
          </w:p>
        </w:tc>
      </w:tr>
    </w:tbl>
    <w:p w:rsidR="000933FC" w:rsidRPr="000933FC" w:rsidP="000933FC" w14:paraId="6FBC61B8" w14:textId="77777777">
      <w:pPr>
        <w:rPr>
          <w:rFonts w:ascii="Times New Roman" w:hAnsi="Times New Roman" w:cs="Times New Roman"/>
          <w:i/>
          <w:iCs/>
          <w:sz w:val="24"/>
          <w:szCs w:val="24"/>
        </w:rPr>
      </w:pPr>
    </w:p>
    <w:p w:rsidR="000933FC" w:rsidRPr="000933FC" w:rsidP="000933FC" w14:paraId="28FDBD04" w14:textId="77777777">
      <w:pPr>
        <w:rPr>
          <w:rFonts w:ascii="Times New Roman" w:hAnsi="Times New Roman" w:cs="Times New Roman"/>
          <w:i/>
          <w:iCs/>
          <w:sz w:val="24"/>
          <w:szCs w:val="24"/>
        </w:rPr>
      </w:pPr>
      <w:r w:rsidRPr="000933FC">
        <w:rPr>
          <w:rFonts w:ascii="Times New Roman" w:hAnsi="Times New Roman" w:cs="Times New Roman"/>
          <w:i/>
          <w:iCs/>
          <w:sz w:val="24"/>
          <w:szCs w:val="24"/>
        </w:rPr>
        <w:t>25 MVA</w:t>
      </w:r>
    </w:p>
    <w:tbl>
      <w:tblPr>
        <w:tblW w:w="5000" w:type="pct"/>
        <w:tblLook w:val="04A0"/>
      </w:tblPr>
      <w:tblGrid>
        <w:gridCol w:w="574"/>
        <w:gridCol w:w="2966"/>
        <w:gridCol w:w="3132"/>
        <w:gridCol w:w="2672"/>
      </w:tblGrid>
      <w:tr w14:paraId="5A73B51E" w14:textId="77777777" w:rsidTr="00590C50">
        <w:tblPrEx>
          <w:tblW w:w="5000" w:type="pct"/>
          <w:tblLook w:val="04A0"/>
        </w:tblPrEx>
        <w:trPr>
          <w:trHeight w:val="290"/>
        </w:trPr>
        <w:tc>
          <w:tcPr>
            <w:tcW w:w="307" w:type="pct"/>
            <w:tcBorders>
              <w:top w:val="nil"/>
              <w:left w:val="single" w:sz="4" w:space="0" w:color="auto"/>
              <w:bottom w:val="single" w:sz="4" w:space="0" w:color="auto"/>
              <w:right w:val="single" w:sz="4" w:space="0" w:color="auto"/>
            </w:tcBorders>
            <w:noWrap/>
            <w:vAlign w:val="center"/>
            <w:hideMark/>
          </w:tcPr>
          <w:p w:rsidR="000933FC" w:rsidRPr="000933FC" w:rsidP="00590C50" w14:paraId="29490EF5"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9</w:t>
            </w:r>
          </w:p>
        </w:tc>
        <w:tc>
          <w:tcPr>
            <w:tcW w:w="1587" w:type="pct"/>
            <w:tcBorders>
              <w:top w:val="nil"/>
              <w:left w:val="nil"/>
              <w:bottom w:val="single" w:sz="4" w:space="0" w:color="auto"/>
              <w:right w:val="single" w:sz="4" w:space="0" w:color="auto"/>
            </w:tcBorders>
            <w:vAlign w:val="center"/>
            <w:hideMark/>
          </w:tcPr>
          <w:p w:rsidR="000933FC" w:rsidRPr="000933FC" w:rsidP="00590C50" w14:paraId="72CF91EF" w14:textId="77777777">
            <w:pPr>
              <w:spacing w:after="0" w:line="240" w:lineRule="auto"/>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Trailer load capacity (kg)</w:t>
            </w:r>
          </w:p>
        </w:tc>
        <w:tc>
          <w:tcPr>
            <w:tcW w:w="1676" w:type="pct"/>
            <w:tcBorders>
              <w:top w:val="nil"/>
              <w:left w:val="nil"/>
              <w:bottom w:val="single" w:sz="4" w:space="0" w:color="auto"/>
              <w:right w:val="single" w:sz="4" w:space="0" w:color="auto"/>
            </w:tcBorders>
            <w:vAlign w:val="center"/>
            <w:hideMark/>
          </w:tcPr>
          <w:p w:rsidR="000933FC" w:rsidRPr="000933FC" w:rsidP="00590C50" w14:paraId="201E823A" w14:textId="77777777">
            <w:pPr>
              <w:spacing w:after="0" w:line="240" w:lineRule="auto"/>
              <w:rPr>
                <w:rFonts w:ascii="Times New Roman" w:eastAsia="Times New Roman" w:hAnsi="Times New Roman" w:cs="Times New Roman"/>
                <w:b/>
                <w:bCs/>
                <w:i/>
                <w:iCs/>
                <w:color w:val="000000"/>
                <w:lang w:val="en-US" w:eastAsia="lv-LV"/>
              </w:rPr>
            </w:pPr>
            <w:r w:rsidRPr="000933FC">
              <w:rPr>
                <w:rFonts w:ascii="Times New Roman" w:eastAsia="Times New Roman" w:hAnsi="Times New Roman" w:cs="Times New Roman"/>
                <w:b/>
                <w:bCs/>
                <w:i/>
                <w:iCs/>
                <w:color w:val="000000"/>
                <w:lang w:val="en-US" w:eastAsia="lv-LV"/>
              </w:rPr>
              <w:t>≤ 70000</w:t>
            </w:r>
          </w:p>
        </w:tc>
        <w:tc>
          <w:tcPr>
            <w:tcW w:w="1430" w:type="pct"/>
            <w:tcBorders>
              <w:top w:val="nil"/>
              <w:left w:val="nil"/>
              <w:bottom w:val="single" w:sz="4" w:space="0" w:color="auto"/>
              <w:right w:val="single" w:sz="4" w:space="0" w:color="auto"/>
            </w:tcBorders>
            <w:vAlign w:val="center"/>
            <w:hideMark/>
          </w:tcPr>
          <w:p w:rsidR="000933FC" w:rsidRPr="000933FC" w:rsidP="00590C50" w14:paraId="4D769D0C"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100 000 (estimated)</w:t>
            </w:r>
          </w:p>
        </w:tc>
      </w:tr>
      <w:tr w14:paraId="6E574C4A" w14:textId="77777777" w:rsidTr="00590C50">
        <w:tblPrEx>
          <w:tblW w:w="5000" w:type="pct"/>
          <w:tblLook w:val="04A0"/>
        </w:tblPrEx>
        <w:trPr>
          <w:trHeight w:val="290"/>
        </w:trPr>
        <w:tc>
          <w:tcPr>
            <w:tcW w:w="307" w:type="pct"/>
            <w:tcBorders>
              <w:top w:val="nil"/>
              <w:left w:val="single" w:sz="4" w:space="0" w:color="auto"/>
              <w:bottom w:val="single" w:sz="4" w:space="0" w:color="auto"/>
              <w:right w:val="single" w:sz="4" w:space="0" w:color="auto"/>
            </w:tcBorders>
            <w:noWrap/>
            <w:vAlign w:val="center"/>
          </w:tcPr>
          <w:p w:rsidR="000933FC" w:rsidRPr="000933FC" w:rsidP="00590C50" w14:paraId="23F81EFC" w14:textId="77777777">
            <w:pPr>
              <w:spacing w:after="0" w:line="240" w:lineRule="auto"/>
              <w:jc w:val="center"/>
              <w:rPr>
                <w:rFonts w:ascii="Times New Roman" w:eastAsia="Times New Roman" w:hAnsi="Times New Roman" w:cs="Times New Roman"/>
                <w:i/>
                <w:iCs/>
                <w:color w:val="000000"/>
                <w:lang w:val="en-US" w:eastAsia="lv-LV"/>
              </w:rPr>
            </w:pPr>
            <w:r w:rsidRPr="000933FC">
              <w:rPr>
                <w:rFonts w:ascii="Times New Roman" w:eastAsia="Times New Roman" w:hAnsi="Times New Roman" w:cs="Times New Roman"/>
                <w:i/>
                <w:iCs/>
                <w:color w:val="000000"/>
                <w:lang w:val="en-US" w:eastAsia="lv-LV"/>
              </w:rPr>
              <w:t>10</w:t>
            </w:r>
          </w:p>
        </w:tc>
        <w:tc>
          <w:tcPr>
            <w:tcW w:w="1587" w:type="pct"/>
            <w:tcBorders>
              <w:top w:val="nil"/>
              <w:left w:val="nil"/>
              <w:bottom w:val="single" w:sz="4" w:space="0" w:color="auto"/>
              <w:right w:val="single" w:sz="4" w:space="0" w:color="auto"/>
            </w:tcBorders>
            <w:vAlign w:val="center"/>
          </w:tcPr>
          <w:p w:rsidR="000933FC" w:rsidRPr="000933FC" w:rsidP="00590C50" w14:paraId="00C97049" w14:textId="77777777">
            <w:pPr>
              <w:spacing w:after="0" w:line="240" w:lineRule="auto"/>
              <w:rPr>
                <w:rFonts w:ascii="Times New Roman" w:eastAsia="Times New Roman" w:hAnsi="Times New Roman" w:cs="Times New Roman"/>
                <w:i/>
                <w:iCs/>
                <w:color w:val="000000"/>
                <w:lang w:eastAsia="lv-LV"/>
              </w:rPr>
            </w:pPr>
            <w:r w:rsidRPr="000933FC">
              <w:rPr>
                <w:rFonts w:ascii="Times New Roman" w:eastAsia="Times New Roman" w:hAnsi="Times New Roman" w:cs="Times New Roman"/>
                <w:i/>
                <w:iCs/>
                <w:color w:val="000000"/>
                <w:lang w:val="en" w:eastAsia="lv-LV"/>
              </w:rPr>
              <w:t>Gross trailer weight with tractor</w:t>
            </w:r>
          </w:p>
        </w:tc>
        <w:tc>
          <w:tcPr>
            <w:tcW w:w="1676" w:type="pct"/>
            <w:tcBorders>
              <w:top w:val="nil"/>
              <w:left w:val="nil"/>
              <w:bottom w:val="single" w:sz="4" w:space="0" w:color="auto"/>
              <w:right w:val="single" w:sz="4" w:space="0" w:color="auto"/>
            </w:tcBorders>
            <w:vAlign w:val="center"/>
          </w:tcPr>
          <w:p w:rsidR="000933FC" w:rsidRPr="000933FC" w:rsidP="00590C50" w14:paraId="4AE53F9D" w14:textId="77777777">
            <w:pPr>
              <w:spacing w:after="0" w:line="240" w:lineRule="auto"/>
              <w:rPr>
                <w:rFonts w:ascii="Times New Roman" w:eastAsia="Times New Roman" w:hAnsi="Times New Roman" w:cs="Times New Roman"/>
                <w:b/>
                <w:bCs/>
                <w:i/>
                <w:iCs/>
                <w:color w:val="000000"/>
                <w:lang w:val="en-US" w:eastAsia="lv-LV"/>
              </w:rPr>
            </w:pPr>
            <w:r w:rsidRPr="000933FC">
              <w:rPr>
                <w:rFonts w:ascii="Times New Roman" w:eastAsia="Times New Roman" w:hAnsi="Times New Roman" w:cs="Times New Roman"/>
                <w:b/>
                <w:bCs/>
                <w:i/>
                <w:iCs/>
                <w:color w:val="000000"/>
                <w:lang w:val="en-US" w:eastAsia="lv-LV"/>
              </w:rPr>
              <w:t>≤ 80000</w:t>
            </w:r>
          </w:p>
        </w:tc>
        <w:tc>
          <w:tcPr>
            <w:tcW w:w="1430" w:type="pct"/>
            <w:tcBorders>
              <w:top w:val="nil"/>
              <w:left w:val="nil"/>
              <w:bottom w:val="single" w:sz="4" w:space="0" w:color="auto"/>
              <w:right w:val="single" w:sz="4" w:space="0" w:color="auto"/>
            </w:tcBorders>
            <w:vAlign w:val="center"/>
          </w:tcPr>
          <w:p w:rsidR="000933FC" w:rsidRPr="000933FC" w:rsidP="00590C50" w14:paraId="57C6527C" w14:textId="77777777">
            <w:pPr>
              <w:spacing w:after="0" w:line="240" w:lineRule="auto"/>
              <w:jc w:val="center"/>
              <w:rPr>
                <w:rFonts w:ascii="Times New Roman" w:eastAsia="Times New Roman" w:hAnsi="Times New Roman" w:cs="Times New Roman"/>
                <w:i/>
                <w:iCs/>
                <w:color w:val="000000"/>
                <w:lang w:val="en-US" w:eastAsia="lv-LV"/>
              </w:rPr>
            </w:pPr>
          </w:p>
        </w:tc>
      </w:tr>
    </w:tbl>
    <w:p w:rsidR="000933FC" w:rsidRPr="000933FC" w:rsidP="000933FC" w14:paraId="2616ACA5" w14:textId="77777777">
      <w:pPr>
        <w:rPr>
          <w:rFonts w:ascii="Times New Roman" w:hAnsi="Times New Roman" w:cs="Times New Roman"/>
          <w:i/>
          <w:iCs/>
          <w:sz w:val="24"/>
          <w:szCs w:val="24"/>
        </w:rPr>
      </w:pPr>
    </w:p>
    <w:p w:rsidR="000933FC" w:rsidRPr="000933FC" w:rsidP="000933FC" w14:paraId="4EE9EFDC" w14:textId="77777777">
      <w:pPr>
        <w:rPr>
          <w:rFonts w:ascii="Times New Roman" w:hAnsi="Times New Roman" w:cs="Times New Roman"/>
          <w:i/>
          <w:iCs/>
          <w:sz w:val="24"/>
          <w:szCs w:val="24"/>
          <w:lang w:val="en-GB"/>
        </w:rPr>
      </w:pPr>
      <w:r w:rsidRPr="000933FC">
        <w:rPr>
          <w:rFonts w:ascii="Times New Roman" w:hAnsi="Times New Roman" w:cs="Times New Roman"/>
          <w:i/>
          <w:iCs/>
          <w:sz w:val="24"/>
          <w:szCs w:val="24"/>
          <w:lang w:val="en-GB"/>
        </w:rPr>
        <w:t>Please advise how this situation will be resolved.</w:t>
      </w:r>
    </w:p>
    <w:p w:rsidR="000933FC" w:rsidRPr="000933FC" w:rsidP="000933FC" w14:paraId="7FA3B46B" w14:textId="77777777">
      <w:pPr>
        <w:pStyle w:val="NormalWeb"/>
        <w:spacing w:before="120" w:beforeAutospacing="0" w:after="0" w:afterAutospacing="0"/>
        <w:jc w:val="both"/>
        <w:rPr>
          <w:i/>
          <w:iCs/>
          <w:lang w:val="en-GB"/>
        </w:rPr>
      </w:pPr>
      <w:r w:rsidRPr="000933FC">
        <w:rPr>
          <w:rStyle w:val="Strong"/>
          <w:i/>
          <w:iCs/>
          <w:lang w:val="en-GB"/>
        </w:rPr>
        <w:t>Answer to Question No. 2:</w:t>
      </w:r>
    </w:p>
    <w:p w:rsidR="000933FC" w:rsidRPr="000933FC" w:rsidP="000933FC" w14:paraId="464D637C" w14:textId="77777777">
      <w:pPr>
        <w:pStyle w:val="NormalWeb"/>
        <w:spacing w:before="120" w:beforeAutospacing="0" w:after="0" w:afterAutospacing="0"/>
        <w:jc w:val="both"/>
        <w:rPr>
          <w:i/>
          <w:iCs/>
          <w:lang w:val="en-US"/>
        </w:rPr>
      </w:pPr>
      <w:r w:rsidRPr="000933FC">
        <w:rPr>
          <w:i/>
          <w:iCs/>
          <w:lang w:val="en-US"/>
        </w:rPr>
        <w:t>The Contracting Authority informs that, having evaluated the information and calculations provided by the tenderer regarding the total accumulated load of the transformer trailer, it agrees to increase the permissible gross weight of the transformer trailer up to 100 t, insofar as this results from the proposed technical solution and ensures compliance with all applicable safety, transportation (including transport permits and restrictions), and operational requirements.</w:t>
      </w:r>
    </w:p>
    <w:p w:rsidR="000933FC" w:rsidRPr="000933FC" w:rsidP="000933FC" w14:paraId="21EE5434" w14:textId="0BBE8002">
      <w:pPr>
        <w:pStyle w:val="NormalWeb"/>
        <w:spacing w:before="120" w:beforeAutospacing="0" w:after="0" w:afterAutospacing="0"/>
        <w:jc w:val="both"/>
        <w:rPr>
          <w:i/>
          <w:iCs/>
          <w:lang w:val="en-US"/>
        </w:rPr>
      </w:pPr>
      <w:r w:rsidRPr="000933FC">
        <w:rPr>
          <w:i/>
          <w:iCs/>
          <w:lang w:val="en-US"/>
        </w:rPr>
        <w:t>Until the procurement documents are formally amended, the Contracting Authority confirms that the interpretation of the procurement requirements regarding transformer trailer weight limits shall be applied as follows: for the 16 MVA configuration, the trailer weight including equipment may be up to approximately 85,000 kg; for the 25 MVA configuration, the trailer weight including equipment may be up to approximately 100,000 kg. Accordingly, the previously indicated values (e.g., ≤70,000 kg and ≤80,000 kg including the tractor unit) shall be adjusted to eliminate the discrepancy between the technical requirements and the actual calculated loads.</w:t>
      </w:r>
      <w:r>
        <w:rPr>
          <w:i/>
          <w:iCs/>
          <w:lang w:val="en-US"/>
        </w:rPr>
        <w:t>"</w:t>
      </w:r>
    </w:p>
    <w:p w:rsidR="00FD132D" w:rsidP="00FD132D" w14:paraId="2C05D934" w14:textId="77777777">
      <w:pPr>
        <w:spacing w:before="120" w:after="0" w:line="240" w:lineRule="auto"/>
        <w:jc w:val="both"/>
        <w:rPr>
          <w:rFonts w:ascii="Times New Roman" w:eastAsia="Times New Roman" w:hAnsi="Times New Roman" w:cs="Times New Roman"/>
          <w:b/>
          <w:bCs/>
          <w:sz w:val="24"/>
          <w:szCs w:val="24"/>
          <w:lang w:val="en-GB" w:eastAsia="lv-LV"/>
        </w:rPr>
      </w:pPr>
      <w:r w:rsidRPr="00FD132D">
        <w:rPr>
          <w:rFonts w:ascii="Times New Roman" w:eastAsia="Times New Roman" w:hAnsi="Times New Roman" w:cs="Times New Roman"/>
          <w:b/>
          <w:bCs/>
          <w:sz w:val="24"/>
          <w:szCs w:val="24"/>
          <w:lang w:val="en-GB" w:eastAsia="lv-LV"/>
        </w:rPr>
        <w:t>Contracting Authority’s response to the Candidate’s question dated 21 May 2026:</w:t>
      </w:r>
    </w:p>
    <w:p w:rsidR="00FD132D" w:rsidRPr="00FD132D" w:rsidP="00FD132D" w14:paraId="364F4DC3" w14:textId="0C90D9F2">
      <w:pPr>
        <w:spacing w:before="120" w:after="0" w:line="240" w:lineRule="auto"/>
        <w:jc w:val="both"/>
        <w:rPr>
          <w:rFonts w:ascii="Times New Roman" w:hAnsi="Times New Roman" w:cs="Times New Roman"/>
          <w:sz w:val="24"/>
          <w:szCs w:val="24"/>
          <w:lang w:val="en-US"/>
        </w:rPr>
      </w:pPr>
      <w:r w:rsidRPr="00FD132D">
        <w:rPr>
          <w:rFonts w:ascii="Times New Roman" w:hAnsi="Times New Roman" w:cs="Times New Roman"/>
          <w:sz w:val="24"/>
          <w:szCs w:val="24"/>
          <w:lang w:val="en-US"/>
        </w:rPr>
        <w:t>The Contracting Authority has reviewed the technical justification and arguments provided by the Candidate regarding the requirements set out in the technical specification, including those related to the transportation mass limitations of the 25 MVA mobile substation.</w:t>
      </w:r>
    </w:p>
    <w:p w:rsidR="00FD132D" w:rsidRPr="00FD132D" w:rsidP="00FD132D" w14:paraId="1B6700BE" w14:textId="77777777">
      <w:pPr>
        <w:spacing w:before="120" w:after="0" w:line="240" w:lineRule="auto"/>
        <w:jc w:val="both"/>
        <w:rPr>
          <w:rFonts w:ascii="Times New Roman" w:hAnsi="Times New Roman" w:cs="Times New Roman"/>
          <w:sz w:val="24"/>
          <w:szCs w:val="24"/>
          <w:lang w:val="en-US"/>
        </w:rPr>
      </w:pPr>
      <w:r w:rsidRPr="00FD132D">
        <w:rPr>
          <w:rFonts w:ascii="Times New Roman" w:hAnsi="Times New Roman" w:cs="Times New Roman"/>
          <w:sz w:val="24"/>
          <w:szCs w:val="24"/>
          <w:lang w:val="en-US"/>
        </w:rPr>
        <w:t>At the same time, the Contracting Authority notes that, with respect to the mass of the transformer trailer and the associated vehicle combination, the interpretation previously provided by the Contracting Authority (see response to Question No. 2) shall apply. In that response, it has already been clarified that the permissible mass of the transformer trailer with equipment for the 25 MVA configuration may reach approximately 100,000 kg, to the extent that this results from the proposed technical solution and ensures compliance with all applicable safety, transportation (including permitting and restrictions), and operational requirements.</w:t>
      </w:r>
    </w:p>
    <w:p w:rsidR="00FD132D" w:rsidRPr="00FD132D" w:rsidP="00FD132D" w14:paraId="599436C3" w14:textId="77777777">
      <w:pPr>
        <w:spacing w:before="120" w:after="0" w:line="240" w:lineRule="auto"/>
        <w:jc w:val="both"/>
        <w:rPr>
          <w:rFonts w:ascii="Times New Roman" w:hAnsi="Times New Roman" w:cs="Times New Roman"/>
          <w:sz w:val="24"/>
          <w:szCs w:val="24"/>
          <w:lang w:val="en-US"/>
        </w:rPr>
      </w:pPr>
      <w:r w:rsidRPr="00FD132D">
        <w:rPr>
          <w:rFonts w:ascii="Times New Roman" w:hAnsi="Times New Roman" w:cs="Times New Roman"/>
          <w:sz w:val="24"/>
          <w:szCs w:val="24"/>
          <w:lang w:val="en-US"/>
        </w:rPr>
        <w:t xml:space="preserve">Considering the current stage of the procurement procedure and the approaching deadline for submission of tenders, the Contracting Authority does not plan to introduce further amendments </w:t>
      </w:r>
      <w:r w:rsidRPr="00FD132D">
        <w:rPr>
          <w:rFonts w:ascii="Times New Roman" w:hAnsi="Times New Roman" w:cs="Times New Roman"/>
          <w:sz w:val="24"/>
          <w:szCs w:val="24"/>
          <w:lang w:val="en-US"/>
        </w:rPr>
        <w:t>to the technical specification at this stage, including with regard to the Candidate’s request to increase the total mass limit to 115,000 kg.</w:t>
      </w:r>
    </w:p>
    <w:p w:rsidR="00FD132D" w:rsidRPr="00FD132D" w:rsidP="00FD132D" w14:paraId="2605CA75" w14:textId="77777777">
      <w:pPr>
        <w:spacing w:before="120" w:after="0" w:line="240" w:lineRule="auto"/>
        <w:jc w:val="both"/>
        <w:rPr>
          <w:rFonts w:ascii="Times New Roman" w:hAnsi="Times New Roman" w:cs="Times New Roman"/>
          <w:sz w:val="24"/>
          <w:szCs w:val="24"/>
          <w:lang w:val="en-US"/>
        </w:rPr>
      </w:pPr>
      <w:r w:rsidRPr="00FD132D">
        <w:rPr>
          <w:rFonts w:ascii="Times New Roman" w:hAnsi="Times New Roman" w:cs="Times New Roman"/>
          <w:sz w:val="24"/>
          <w:szCs w:val="24"/>
          <w:lang w:val="en-US"/>
        </w:rPr>
        <w:t>At the same time, the Contracting Authority emphasizes that:</w:t>
      </w:r>
    </w:p>
    <w:p w:rsidR="00FD132D" w:rsidRPr="00FD132D" w:rsidP="00FD132D" w14:paraId="4734A865" w14:textId="229F633F">
      <w:pPr>
        <w:numPr>
          <w:ilvl w:val="0"/>
          <w:numId w:val="5"/>
        </w:num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FD132D">
        <w:rPr>
          <w:rFonts w:ascii="Times New Roman" w:hAnsi="Times New Roman" w:cs="Times New Roman"/>
          <w:sz w:val="24"/>
          <w:szCs w:val="24"/>
          <w:lang w:val="en-US"/>
        </w:rPr>
        <w:t>enderers are required to submit their tenders based on the applicable procurement documentation and the clarifications provided by the Contracting Authority;</w:t>
      </w:r>
    </w:p>
    <w:p w:rsidR="00FD132D" w:rsidRPr="00FD132D" w:rsidP="00FD132D" w14:paraId="4A2D05E1" w14:textId="73943223">
      <w:pPr>
        <w:numPr>
          <w:ilvl w:val="0"/>
          <w:numId w:val="5"/>
        </w:num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FD132D">
        <w:rPr>
          <w:rFonts w:ascii="Times New Roman" w:hAnsi="Times New Roman" w:cs="Times New Roman"/>
          <w:sz w:val="24"/>
          <w:szCs w:val="24"/>
          <w:lang w:val="en-US"/>
        </w:rPr>
        <w:t>ithin the negotiation procedure, the Contracting Authority will assess the submitted technical solutions in their overall context, including with regard to compliance of mass, configuration and transportation solutions with applicable regulatory requirements and the Contracting Authority’s needs;</w:t>
      </w:r>
    </w:p>
    <w:p w:rsidR="00FD132D" w:rsidRPr="00FD132D" w:rsidP="00FD132D" w14:paraId="3C4764C0" w14:textId="18C059C9">
      <w:pPr>
        <w:numPr>
          <w:ilvl w:val="0"/>
          <w:numId w:val="5"/>
        </w:num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FD132D">
        <w:rPr>
          <w:rFonts w:ascii="Times New Roman" w:hAnsi="Times New Roman" w:cs="Times New Roman"/>
          <w:sz w:val="24"/>
          <w:szCs w:val="24"/>
          <w:lang w:val="en-US"/>
        </w:rPr>
        <w:t>here necessary, the Contracting Authority reserves the right, within the negotiation process, to refine the requirements and invite tenderers to submit revised final tenders, in compliance with the principles of equal treatment and transparency.</w:t>
      </w:r>
    </w:p>
    <w:p w:rsidR="00FD132D" w:rsidRPr="00FD132D" w:rsidP="00FD132D" w14:paraId="19F0F5B1" w14:textId="77777777">
      <w:pPr>
        <w:spacing w:before="120" w:after="0" w:line="240" w:lineRule="auto"/>
        <w:jc w:val="both"/>
        <w:rPr>
          <w:rFonts w:ascii="Times New Roman" w:hAnsi="Times New Roman" w:cs="Times New Roman"/>
          <w:sz w:val="24"/>
          <w:szCs w:val="24"/>
          <w:lang w:val="en-US"/>
        </w:rPr>
      </w:pPr>
      <w:r w:rsidRPr="00FD132D">
        <w:rPr>
          <w:rFonts w:ascii="Times New Roman" w:hAnsi="Times New Roman" w:cs="Times New Roman"/>
          <w:sz w:val="24"/>
          <w:szCs w:val="24"/>
          <w:lang w:val="en-US"/>
        </w:rPr>
        <w:t>The Contracting Authority further notes that the information provided by the Candidates regarding technical constraints will be taken into account when further refining the procurement documentation, to the extent necessary and proportionate for achieving the objectives of the procurement.</w:t>
      </w:r>
    </w:p>
    <w:p w:rsidR="006E5456" w:rsidRPr="003B183A" w:rsidP="006E5456" w14:paraId="3E7C31B7" w14:textId="77777777">
      <w:pPr>
        <w:spacing w:before="120" w:after="0" w:line="240" w:lineRule="auto"/>
        <w:jc w:val="both"/>
        <w:rPr>
          <w:rFonts w:ascii="Times New Roman" w:hAnsi="Times New Roman" w:cs="Times New Roman"/>
          <w:sz w:val="24"/>
          <w:szCs w:val="24"/>
          <w:lang w:val="en-GB"/>
        </w:rPr>
      </w:pPr>
      <w:r w:rsidRPr="003B183A">
        <w:rPr>
          <w:rFonts w:ascii="Times New Roman" w:hAnsi="Times New Roman" w:cs="Times New Roman"/>
          <w:sz w:val="24"/>
          <w:szCs w:val="24"/>
          <w:lang w:val="en-GB"/>
        </w:rPr>
        <w:t>The English language version is a machine translation and is intended for informational purposes only. In the event of any discrepancies or ambiguities in interpretation, the original Latvian version of the document shall prevail and be considered binding.</w:t>
      </w:r>
    </w:p>
    <w:p w:rsidR="000933FC" w:rsidRPr="006E5456" w:rsidP="00697C0B" w14:paraId="03CB19EF" w14:textId="77777777">
      <w:pPr>
        <w:jc w:val="both"/>
        <w:rPr>
          <w:rFonts w:ascii="Times New Roman" w:hAnsi="Times New Roman" w:cs="Times New Roman"/>
          <w:sz w:val="24"/>
          <w:szCs w:val="24"/>
          <w:lang w:val="en-GB"/>
        </w:rPr>
      </w:pPr>
    </w:p>
    <w:p w:rsidR="006E5456" w:rsidP="00697C0B" w14:paraId="32C158E6" w14:textId="77777777">
      <w:pPr>
        <w:jc w:val="both"/>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Pr>
      <w:tblGrid>
        <w:gridCol w:w="5603"/>
        <w:gridCol w:w="3751"/>
      </w:tblGrid>
      <w:tr>
        <w:tblPrEx>
          <w:tblW w:w="5000" w:type="pct"/>
          <w:tblCellSpacing w:w="15" w:type="dxa"/>
          <w:tblCellMar>
            <w:top w:w="15" w:type="dxa"/>
            <w:left w:w="15" w:type="dxa"/>
            <w:bottom w:w="15" w:type="dxa"/>
            <w:right w:w="15" w:type="dxa"/>
          </w:tblCellMar>
        </w:tblPrEx>
        <w:trPr>
          <w:tblCellSpacing w:w="15" w:type="dxa"/>
        </w:trPr>
        <w:tc>
          <w:tcPr>
            <w:tcW w:w="3000" w:type="pct"/>
            <w:noWrap w:val="0"/>
            <w:tcMar>
              <w:top w:w="15" w:type="dxa"/>
              <w:left w:w="15" w:type="dxa"/>
              <w:bottom w:w="15" w:type="dxa"/>
              <w:right w:w="15" w:type="dxa"/>
            </w:tcMar>
            <w:vAlign w:val="top"/>
            <w:hideMark/>
          </w:tcPr>
          <w:p w:rsidRPr="0028094A" w:rsidP="0028094A">
            <w:pPr>
              <w:jc w:val="left"/>
              <w:rPr>
                <w:rFonts w:ascii="Times New Roman" w:hAnsi="Times New Roman" w:cs="Times New Roman"/>
                <w:sz w:val="24"/>
                <w:szCs w:val="24"/>
              </w:rPr>
            </w:pPr>
            <w:r w:rsidRPr="0028094A">
              <w:rPr>
                <w:rFonts w:ascii="Times New Roman" w:hAnsi="Times New Roman" w:cs="Times New Roman"/>
                <w:sz w:val="24"/>
                <w:szCs w:val="24"/>
              </w:rPr>
              <w:t>Iepirkumu speciālists</w:t>
            </w:r>
          </w:p>
        </w:tc>
        <w:tc>
          <w:tcPr>
            <w:tcW w:w="2000" w:type="pct"/>
            <w:noWrap w:val="0"/>
            <w:tcMar>
              <w:top w:w="15" w:type="dxa"/>
              <w:left w:w="15" w:type="dxa"/>
              <w:bottom w:w="15" w:type="dxa"/>
              <w:right w:w="15" w:type="dxa"/>
            </w:tcMar>
            <w:vAlign w:val="top"/>
            <w:hideMark/>
          </w:tcPr>
          <w:p w:rsidRPr="0028094A" w:rsidP="0028094A">
            <w:pPr>
              <w:jc w:val="right"/>
              <w:rPr>
                <w:rFonts w:ascii="Times New Roman" w:hAnsi="Times New Roman" w:cs="Times New Roman"/>
                <w:sz w:val="24"/>
                <w:szCs w:val="24"/>
              </w:rPr>
            </w:pPr>
            <w:r w:rsidRPr="0028094A">
              <w:rPr>
                <w:rFonts w:ascii="Times New Roman" w:hAnsi="Times New Roman" w:cs="Times New Roman"/>
                <w:sz w:val="24"/>
                <w:szCs w:val="24"/>
              </w:rPr>
              <w:t>Ilvars Velbergs</w:t>
            </w:r>
          </w:p>
        </w:tc>
      </w:tr>
    </w:tbl>
    <w:p w:rsidR="00CB59A3" w:rsidRPr="0028094A" w14:paraId="1B2C4347" w14:textId="739C5BD9">
      <w:pPr>
        <w:rPr>
          <w:rFonts w:ascii="Times New Roman" w:hAnsi="Times New Roman" w:cs="Times New Roman"/>
          <w:sz w:val="24"/>
          <w:szCs w:val="24"/>
        </w:rPr>
      </w:pPr>
    </w:p>
    <w:p w:rsidR="00A27D87" w:rsidRPr="003F1098" w:rsidP="00A27D87" w14:paraId="1B2C4348" w14:textId="77777777">
      <w:pPr>
        <w:rPr>
          <w:rFonts w:ascii="Times New Roman" w:hAnsi="Times New Roman" w:cs="Times New Roman"/>
        </w:rPr>
      </w:pPr>
    </w:p>
    <w:p w:rsidR="00736403" w:rsidP="00736403" w14:paraId="326C8126" w14:textId="77777777">
      <w:pPr>
        <w:spacing w:after="0" w:line="240" w:lineRule="auto"/>
        <w:rPr>
          <w:rFonts w:ascii="Times New Roman" w:hAnsi="Times New Roman" w:cs="Times New Roman"/>
          <w:sz w:val="20"/>
          <w:szCs w:val="20"/>
        </w:rPr>
      </w:pPr>
      <w:r w:rsidRPr="003F1098">
        <w:rPr>
          <w:rFonts w:ascii="Times New Roman" w:hAnsi="Times New Roman" w:cs="Times New Roman"/>
          <w:sz w:val="20"/>
          <w:szCs w:val="20"/>
        </w:rPr>
        <w:t>Velbergs</w:t>
      </w:r>
    </w:p>
    <w:p w:rsidR="00736403" w:rsidRPr="006A674D" w:rsidP="00736403" w14:paraId="07A352E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ilvars.velbergs@ast.lv</w:t>
      </w:r>
    </w:p>
    <w:p w:rsidR="00A27D87" w:rsidRPr="003F1098" w:rsidP="00736403" w14:paraId="1B2C4349" w14:textId="3EC1F8A4">
      <w:pPr>
        <w:rPr>
          <w:rFonts w:ascii="Times New Roman" w:hAnsi="Times New Roman" w:cs="Times New Roman"/>
          <w:sz w:val="20"/>
          <w:szCs w:val="20"/>
        </w:rPr>
      </w:pPr>
    </w:p>
    <w:sectPr w:rsidSect="00F56B80">
      <w:footerReference w:type="default" r:id="rId8"/>
      <w:headerReference w:type="first" r:id="rId9"/>
      <w:footerReference w:type="first" r:id="rId10"/>
      <w:pgSz w:w="11906" w:h="16838"/>
      <w:pgMar w:top="1134" w:right="1134"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610224"/>
      <w:docPartObj>
        <w:docPartGallery w:val="Page Numbers (Bottom of Page)"/>
        <w:docPartUnique/>
      </w:docPartObj>
    </w:sdtPr>
    <w:sdtEndPr>
      <w:rPr>
        <w:rFonts w:ascii="Times New Roman" w:hAnsi="Times New Roman" w:cs="Times New Roman"/>
        <w:noProof/>
      </w:rPr>
    </w:sdtEndPr>
    <w:sdtContent>
      <w:p w:rsidR="002E38C2" w:rsidRPr="00A41BEB" w14:paraId="11B66FCA" w14:textId="421ADBFE">
        <w:pPr>
          <w:pStyle w:val="Footer"/>
          <w:jc w:val="right"/>
          <w:rPr>
            <w:rFonts w:ascii="Times New Roman" w:hAnsi="Times New Roman" w:cs="Times New Roman"/>
          </w:rPr>
        </w:pPr>
        <w:r w:rsidRPr="00A41BEB">
          <w:rPr>
            <w:rFonts w:ascii="Times New Roman" w:hAnsi="Times New Roman" w:cs="Times New Roman"/>
          </w:rPr>
          <w:fldChar w:fldCharType="begin"/>
        </w:r>
        <w:r w:rsidRPr="00A41BEB">
          <w:rPr>
            <w:rFonts w:ascii="Times New Roman" w:hAnsi="Times New Roman" w:cs="Times New Roman"/>
          </w:rPr>
          <w:instrText xml:space="preserve"> PAGE   \* MERGEFORMAT </w:instrText>
        </w:r>
        <w:r w:rsidRPr="00A41BEB">
          <w:rPr>
            <w:rFonts w:ascii="Times New Roman" w:hAnsi="Times New Roman" w:cs="Times New Roman"/>
          </w:rPr>
          <w:fldChar w:fldCharType="separate"/>
        </w:r>
        <w:r w:rsidR="00A41BEB">
          <w:rPr>
            <w:rFonts w:ascii="Times New Roman" w:hAnsi="Times New Roman" w:cs="Times New Roman"/>
            <w:noProof/>
          </w:rPr>
          <w:t>8</w:t>
        </w:r>
        <w:r w:rsidRPr="00A41BEB">
          <w:rPr>
            <w:rFonts w:ascii="Times New Roman" w:hAnsi="Times New Roman" w:cs="Times New Roman"/>
            <w:noProof/>
          </w:rPr>
          <w:fldChar w:fldCharType="end"/>
        </w:r>
      </w:p>
    </w:sdtContent>
  </w:sdt>
  <w:p w:rsidR="00A16205" w:rsidP="00A16205" w14:paraId="1B2C4350" w14:textId="77777777">
    <w:pPr>
      <w:pStyle w:val="Foote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DE5" w14:paraId="1B2C4353" w14:textId="0B52D9D3">
    <w:pPr>
      <w:pStyle w:val="Footer"/>
    </w:pPr>
    <w:r>
      <w:rPr>
        <w:noProof/>
      </w:rPr>
      <w:drawing>
        <wp:anchor distT="0" distB="0" distL="114300" distR="114300" simplePos="0" relativeHeight="251658240" behindDoc="0" locked="0" layoutInCell="1" allowOverlap="1">
          <wp:simplePos x="0" y="0"/>
          <wp:positionH relativeFrom="column">
            <wp:posOffset>5270500</wp:posOffset>
          </wp:positionH>
          <wp:positionV relativeFrom="paragraph">
            <wp:posOffset>-309880</wp:posOffset>
          </wp:positionV>
          <wp:extent cx="725805" cy="71755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5805" cy="717550"/>
                  </a:xfrm>
                  <a:prstGeom prst="rect">
                    <a:avLst/>
                  </a:prstGeom>
                </pic:spPr>
              </pic:pic>
            </a:graphicData>
          </a:graphic>
          <wp14:sizeRelH relativeFrom="page">
            <wp14:pctWidth>0</wp14:pctWidth>
          </wp14:sizeRelH>
          <wp14:sizeRelV relativeFrom="page">
            <wp14:pctHeight>0</wp14:pctHeight>
          </wp14:sizeRelV>
        </wp:anchor>
      </w:drawing>
    </w: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819" w:rsidP="00975819" w14:paraId="3E1DDC0D" w14:textId="77777777">
    <w:pPr>
      <w:pStyle w:val="Header"/>
      <w:jc w:val="right"/>
    </w:pPr>
  </w:p>
  <w:p w:rsidR="00122FA1" w:rsidP="00975819" w14:paraId="1B2C4351" w14:textId="14666981">
    <w:pPr>
      <w:pStyle w:val="Header"/>
      <w:jc w:val="right"/>
    </w:pPr>
    <w:r>
      <w:rPr>
        <w:noProof/>
        <w:lang w:eastAsia="lv-LV"/>
      </w:rPr>
      <w:drawing>
        <wp:anchor distT="0" distB="0" distL="114300" distR="114300" simplePos="0" relativeHeight="251658240" behindDoc="1" locked="0" layoutInCell="1" allowOverlap="1">
          <wp:simplePos x="0" y="0"/>
          <wp:positionH relativeFrom="margin">
            <wp:posOffset>0</wp:posOffset>
          </wp:positionH>
          <wp:positionV relativeFrom="paragraph">
            <wp:posOffset>26670</wp:posOffset>
          </wp:positionV>
          <wp:extent cx="857250" cy="381000"/>
          <wp:effectExtent l="0" t="0" r="0" b="0"/>
          <wp:wrapThrough wrapText="bothSides">
            <wp:wrapPolygon>
              <wp:start x="0" y="0"/>
              <wp:lineTo x="0" y="20520"/>
              <wp:lineTo x="21120" y="20520"/>
              <wp:lineTo x="21120" y="0"/>
              <wp:lineTo x="0" y="0"/>
            </wp:wrapPolygon>
          </wp:wrapThrough>
          <wp:docPr id="13"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Austris\Desktop\ast-ultimate-assets-pack-for-letter\veidlapa-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r>
      <w:rPr>
        <w:noProof/>
      </w:rPr>
      <w:drawing>
        <wp:inline distT="0" distB="0" distL="0" distR="0">
          <wp:extent cx="3829050" cy="447675"/>
          <wp:effectExtent l="0" t="0" r="0" b="9525"/>
          <wp:docPr id="163798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88624" name="Picture 1"/>
                  <pic:cNvPicPr>
                    <a:picLocks noChangeAspect="1"/>
                  </pic:cNvPicPr>
                </pic:nvPicPr>
                <pic:blipFill>
                  <a:blip xmlns:r="http://schemas.openxmlformats.org/officeDocument/2006/relationships" r:embed="rId2"/>
                  <a:stretch>
                    <a:fillRect/>
                  </a:stretch>
                </pic:blipFill>
                <pic:spPr>
                  <a:xfrm>
                    <a:off x="0" y="0"/>
                    <a:ext cx="3829050" cy="447675"/>
                  </a:xfrm>
                  <a:prstGeom prst="rect">
                    <a:avLst/>
                  </a:prstGeom>
                </pic:spPr>
              </pic:pic>
            </a:graphicData>
          </a:graphic>
        </wp:inline>
      </w:drawing>
    </w:r>
  </w:p>
  <w:p w:rsidR="00122FA1" w14:paraId="1B2C43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32CFE"/>
    <w:multiLevelType w:val="multilevel"/>
    <w:tmpl w:val="B9C8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076B2A"/>
    <w:multiLevelType w:val="multilevel"/>
    <w:tmpl w:val="F12E2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778661C"/>
    <w:multiLevelType w:val="multilevel"/>
    <w:tmpl w:val="F4D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BA696D"/>
    <w:multiLevelType w:val="multilevel"/>
    <w:tmpl w:val="B4F49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4FF33CC"/>
    <w:multiLevelType w:val="hybridMultilevel"/>
    <w:tmpl w:val="BBE6F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0026104">
    <w:abstractNumId w:val="3"/>
  </w:num>
  <w:num w:numId="2" w16cid:durableId="1034649228">
    <w:abstractNumId w:val="1"/>
  </w:num>
  <w:num w:numId="3" w16cid:durableId="482891587">
    <w:abstractNumId w:val="4"/>
  </w:num>
  <w:num w:numId="4" w16cid:durableId="747263505">
    <w:abstractNumId w:val="2"/>
  </w:num>
  <w:num w:numId="5" w16cid:durableId="104806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9"/>
    <w:rsid w:val="00061AC5"/>
    <w:rsid w:val="00072F72"/>
    <w:rsid w:val="000933FC"/>
    <w:rsid w:val="000A3A0A"/>
    <w:rsid w:val="000C1F49"/>
    <w:rsid w:val="000F1EB2"/>
    <w:rsid w:val="000F495A"/>
    <w:rsid w:val="000F7C06"/>
    <w:rsid w:val="00122FA1"/>
    <w:rsid w:val="00134B2B"/>
    <w:rsid w:val="001419F0"/>
    <w:rsid w:val="00186038"/>
    <w:rsid w:val="0019300F"/>
    <w:rsid w:val="001A357E"/>
    <w:rsid w:val="001B71DF"/>
    <w:rsid w:val="00257686"/>
    <w:rsid w:val="0028094A"/>
    <w:rsid w:val="002853E5"/>
    <w:rsid w:val="002933B6"/>
    <w:rsid w:val="00296246"/>
    <w:rsid w:val="002D6840"/>
    <w:rsid w:val="002E38C2"/>
    <w:rsid w:val="00344CA4"/>
    <w:rsid w:val="00347C5E"/>
    <w:rsid w:val="003B183A"/>
    <w:rsid w:val="003F0D3D"/>
    <w:rsid w:val="003F1098"/>
    <w:rsid w:val="00402285"/>
    <w:rsid w:val="00456702"/>
    <w:rsid w:val="004569DB"/>
    <w:rsid w:val="00491227"/>
    <w:rsid w:val="00496EC9"/>
    <w:rsid w:val="004A2789"/>
    <w:rsid w:val="004B5FB9"/>
    <w:rsid w:val="004D0B75"/>
    <w:rsid w:val="005168A8"/>
    <w:rsid w:val="0053590D"/>
    <w:rsid w:val="00590C50"/>
    <w:rsid w:val="00593DB3"/>
    <w:rsid w:val="00661266"/>
    <w:rsid w:val="00680094"/>
    <w:rsid w:val="00697C0B"/>
    <w:rsid w:val="006A674D"/>
    <w:rsid w:val="006E5456"/>
    <w:rsid w:val="006F0730"/>
    <w:rsid w:val="00700E9D"/>
    <w:rsid w:val="00710625"/>
    <w:rsid w:val="0071701B"/>
    <w:rsid w:val="00736403"/>
    <w:rsid w:val="00772C36"/>
    <w:rsid w:val="007D1D37"/>
    <w:rsid w:val="0086748C"/>
    <w:rsid w:val="00895ADD"/>
    <w:rsid w:val="008A25C2"/>
    <w:rsid w:val="008C045A"/>
    <w:rsid w:val="008E0403"/>
    <w:rsid w:val="008E418B"/>
    <w:rsid w:val="008F6270"/>
    <w:rsid w:val="009129E7"/>
    <w:rsid w:val="00933C1D"/>
    <w:rsid w:val="0093660A"/>
    <w:rsid w:val="00940CAD"/>
    <w:rsid w:val="00975819"/>
    <w:rsid w:val="00981EE7"/>
    <w:rsid w:val="009B708F"/>
    <w:rsid w:val="00A16205"/>
    <w:rsid w:val="00A27D87"/>
    <w:rsid w:val="00A34983"/>
    <w:rsid w:val="00A41BEB"/>
    <w:rsid w:val="00A44AC9"/>
    <w:rsid w:val="00A61F84"/>
    <w:rsid w:val="00A90268"/>
    <w:rsid w:val="00AA0833"/>
    <w:rsid w:val="00AE0935"/>
    <w:rsid w:val="00B12680"/>
    <w:rsid w:val="00B1344F"/>
    <w:rsid w:val="00B478D0"/>
    <w:rsid w:val="00C4011F"/>
    <w:rsid w:val="00C63DF0"/>
    <w:rsid w:val="00CB59A3"/>
    <w:rsid w:val="00CC1723"/>
    <w:rsid w:val="00CD00D9"/>
    <w:rsid w:val="00CD7CF0"/>
    <w:rsid w:val="00D01692"/>
    <w:rsid w:val="00D06331"/>
    <w:rsid w:val="00D413BB"/>
    <w:rsid w:val="00D52DE5"/>
    <w:rsid w:val="00EF05EA"/>
    <w:rsid w:val="00F30C1C"/>
    <w:rsid w:val="00F56B80"/>
    <w:rsid w:val="00F94C42"/>
    <w:rsid w:val="00FA14F5"/>
    <w:rsid w:val="00FB6A70"/>
    <w:rsid w:val="00FD132D"/>
    <w:rsid w:val="00FF3CE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2C4334"/>
  <w15:docId w15:val="{31BB3D80-2D36-4903-A8F7-03173D81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A1620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16205"/>
  </w:style>
  <w:style w:type="paragraph" w:styleId="Footer">
    <w:name w:val="footer"/>
    <w:basedOn w:val="Normal"/>
    <w:link w:val="KjeneRakstz"/>
    <w:uiPriority w:val="99"/>
    <w:unhideWhenUsed/>
    <w:rsid w:val="00A1620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1DF"/>
    <w:rPr>
      <w:sz w:val="16"/>
      <w:szCs w:val="16"/>
    </w:rPr>
  </w:style>
  <w:style w:type="paragraph" w:styleId="CommentText">
    <w:name w:val="annotation text"/>
    <w:basedOn w:val="Normal"/>
    <w:link w:val="KomentratekstsRakstz"/>
    <w:uiPriority w:val="99"/>
    <w:unhideWhenUsed/>
    <w:rsid w:val="001B71DF"/>
    <w:pPr>
      <w:spacing w:line="240" w:lineRule="auto"/>
    </w:pPr>
    <w:rPr>
      <w:sz w:val="20"/>
      <w:szCs w:val="20"/>
    </w:rPr>
  </w:style>
  <w:style w:type="character" w:customStyle="1" w:styleId="KomentratekstsRakstz">
    <w:name w:val="Komentāra teksts Rakstz."/>
    <w:basedOn w:val="DefaultParagraphFont"/>
    <w:link w:val="CommentText"/>
    <w:uiPriority w:val="99"/>
    <w:rsid w:val="001B71DF"/>
    <w:rPr>
      <w:sz w:val="20"/>
      <w:szCs w:val="20"/>
    </w:rPr>
  </w:style>
  <w:style w:type="paragraph" w:styleId="CommentSubject">
    <w:name w:val="annotation subject"/>
    <w:basedOn w:val="CommentText"/>
    <w:next w:val="CommentText"/>
    <w:link w:val="KomentratmaRakstz"/>
    <w:uiPriority w:val="99"/>
    <w:semiHidden/>
    <w:unhideWhenUsed/>
    <w:rsid w:val="001B71DF"/>
    <w:rPr>
      <w:b/>
      <w:bCs/>
    </w:rPr>
  </w:style>
  <w:style w:type="character" w:customStyle="1" w:styleId="KomentratmaRakstz">
    <w:name w:val="Komentāra tēma Rakstz."/>
    <w:basedOn w:val="KomentratekstsRakstz"/>
    <w:link w:val="CommentSubject"/>
    <w:uiPriority w:val="99"/>
    <w:semiHidden/>
    <w:rsid w:val="001B71DF"/>
    <w:rPr>
      <w:b/>
      <w:bCs/>
      <w:sz w:val="20"/>
      <w:szCs w:val="20"/>
    </w:rPr>
  </w:style>
  <w:style w:type="paragraph" w:styleId="ListParagraph">
    <w:name w:val="List Paragraph"/>
    <w:aliases w:val="2,Buletai,Bullet Points,Bullet list,Dot pt,IFCL - List Paragraph,Indicator Text,List Paragraph Char Char Char,List Paragraph1,List Paragraph12,MAIN CONTENT,No Spacing1,Normal bullet 2,Numbered Para 1,OBC Bullet,Párrafo de lista,Strip"/>
    <w:basedOn w:val="Normal"/>
    <w:link w:val="SarakstarindkopaRakstz"/>
    <w:uiPriority w:val="34"/>
    <w:qFormat/>
    <w:rsid w:val="00F56B80"/>
    <w:pPr>
      <w:ind w:left="720"/>
      <w:contextualSpacing/>
    </w:pPr>
  </w:style>
  <w:style w:type="character" w:customStyle="1" w:styleId="SarakstarindkopaRakstz">
    <w:name w:val="Saraksta rindkopa Rakstz."/>
    <w:aliases w:val="2 Rakstz.,Buletai Rakstz.,Bullet Points Rakstz.,Bullet list Rakstz.,Dot pt Rakstz.,IFCL - List Paragraph Rakstz.,Indicator Text Rakstz.,List Paragraph Char Char Char Rakstz.,List Paragraph1 Rakstz.,List Paragraph12 Rakstz."/>
    <w:link w:val="ListParagraph"/>
    <w:uiPriority w:val="34"/>
    <w:qFormat/>
    <w:locked/>
    <w:rsid w:val="00F56B80"/>
  </w:style>
  <w:style w:type="character" w:styleId="Strong">
    <w:name w:val="Strong"/>
    <w:basedOn w:val="DefaultParagraphFont"/>
    <w:uiPriority w:val="22"/>
    <w:qFormat/>
    <w:rsid w:val="000933FC"/>
    <w:rPr>
      <w:b/>
      <w:bCs/>
    </w:rPr>
  </w:style>
  <w:style w:type="paragraph" w:styleId="NormalWeb">
    <w:name w:val="Normal (Web)"/>
    <w:basedOn w:val="Normal"/>
    <w:uiPriority w:val="99"/>
    <w:unhideWhenUsed/>
    <w:rsid w:val="000933F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WYAR2AH33KC7-1425052508-2879</_dlc_DocId>
    <_dlc_DocIdUrl xmlns="ff64906a-b291-4131-a49b-1223e4014b4c">
      <Url>https://astore.tso.lv/attv/ITDep/ISAD/_layouts/15/DocIdRedir.aspx?ID=WYAR2AH33KC7-1425052508-2879</Url>
      <Description>WYAR2AH33KC7-1425052508-2879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B92F3-969D-46A6-B521-F3301B5301BC}">
  <ds:schemaRefs>
    <ds:schemaRef ds:uri="http://schemas.microsoft.com/office/2006/metadata/properties"/>
    <ds:schemaRef ds:uri="http://schemas.microsoft.com/office/infopath/2007/PartnerControls"/>
    <ds:schemaRef ds:uri="ff64906a-b291-4131-a49b-1223e4014b4c"/>
  </ds:schemaRefs>
</ds:datastoreItem>
</file>

<file path=customXml/itemProps2.xml><?xml version="1.0" encoding="utf-8"?>
<ds:datastoreItem xmlns:ds="http://schemas.openxmlformats.org/officeDocument/2006/customXml" ds:itemID="{5E6808C6-45D9-4A5B-936A-549BE113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25316-DF4C-4974-8AF5-4602D0D2B738}">
  <ds:schemaRefs>
    <ds:schemaRef ds:uri="http://schemas.microsoft.com/sharepoint/events"/>
  </ds:schemaRefs>
</ds:datastoreItem>
</file>

<file path=customXml/itemProps4.xml><?xml version="1.0" encoding="utf-8"?>
<ds:datastoreItem xmlns:ds="http://schemas.openxmlformats.org/officeDocument/2006/customXml" ds:itemID="{C62DEBC7-D56F-4823-A4C9-4B6CBCE04D8A}">
  <ds:schemaRefs>
    <ds:schemaRef ds:uri="http://schemas.microsoft.com/sharepoint/v3/contenttype/forms"/>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8</Pages>
  <Words>3348</Words>
  <Characters>21267</Characters>
  <Application>Microsoft Office Word</Application>
  <DocSecurity>0</DocSecurity>
  <Lines>386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Jeļena Kozireva</dc:creator>
  <cp:lastModifiedBy>Kristīne Graudumniece</cp:lastModifiedBy>
  <cp:revision>11</cp:revision>
  <dcterms:created xsi:type="dcterms:W3CDTF">2024-01-08T12:46:00Z</dcterms:created>
  <dcterms:modified xsi:type="dcterms:W3CDTF">2026-05-22T11:12:00Z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0x010100D78C1CBE7C33D840872E4E139A2264C3</vt:lpwstr>
  </property>
  <property fmtid="{D5CDD505-2E9C-101B-9397-08002B2CF9AE}" pid="4" name="MSIP_Label_66cffd26-8a8e-4271-ae8c-0448cc98c6fa_ActionId">
    <vt:lpwstr>0f1baf80-2b66-4274-999b-2b3b90a73ae4</vt:lpwstr>
  </property>
  <property fmtid="{D5CDD505-2E9C-101B-9397-08002B2CF9AE}" pid="5" name="MSIP_Label_66cffd26-8a8e-4271-ae8c-0448cc98c6fa_ContentBits">
    <vt:lpwstr>0</vt:lpwstr>
  </property>
  <property fmtid="{D5CDD505-2E9C-101B-9397-08002B2CF9AE}" pid="6" name="MSIP_Label_66cffd26-8a8e-4271-ae8c-0448cc98c6fa_Enabled">
    <vt:lpwstr>true</vt:lpwstr>
  </property>
  <property fmtid="{D5CDD505-2E9C-101B-9397-08002B2CF9AE}" pid="7" name="MSIP_Label_66cffd26-8a8e-4271-ae8c-0448cc98c6fa_Method">
    <vt:lpwstr>Standard</vt:lpwstr>
  </property>
  <property fmtid="{D5CDD505-2E9C-101B-9397-08002B2CF9AE}" pid="8" name="MSIP_Label_66cffd26-8a8e-4271-ae8c-0448cc98c6fa_Name">
    <vt:lpwstr>AST dokumenti</vt:lpwstr>
  </property>
  <property fmtid="{D5CDD505-2E9C-101B-9397-08002B2CF9AE}" pid="9" name="MSIP_Label_66cffd26-8a8e-4271-ae8c-0448cc98c6fa_SetDate">
    <vt:lpwstr>2024-01-08T12:45:39Z</vt:lpwstr>
  </property>
  <property fmtid="{D5CDD505-2E9C-101B-9397-08002B2CF9AE}" pid="10" name="MSIP_Label_66cffd26-8a8e-4271-ae8c-0448cc98c6fa_SiteId">
    <vt:lpwstr>c4c0dd7c-1dfb-4088-9303-96b608da35b3</vt:lpwstr>
  </property>
  <property fmtid="{D5CDD505-2E9C-101B-9397-08002B2CF9AE}" pid="11" name="Order">
    <vt:r8>162200</vt:r8>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176426f8-05a6-4202-aeb0-4ef35be494e0</vt:lpwstr>
  </property>
</Properties>
</file>