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DCE2" w14:textId="77777777" w:rsidR="00AA34AD" w:rsidRPr="00386A39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Valsts digitālās attīstības aģentūra</w:t>
      </w:r>
    </w:p>
    <w:p w14:paraId="2A13A25E" w14:textId="77777777" w:rsidR="00AA34AD" w:rsidRPr="00386A39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Reģ</w:t>
      </w:r>
      <w:proofErr w:type="spellEnd"/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. Nr. 90001733697)</w:t>
      </w:r>
    </w:p>
    <w:p w14:paraId="4E48C8F0" w14:textId="77777777" w:rsidR="00AA34AD" w:rsidRPr="00386A39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Slēgt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</w:t>
      </w: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konkurs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</w:t>
      </w:r>
    </w:p>
    <w:p w14:paraId="59518264" w14:textId="77777777" w:rsidR="00AA34AD" w:rsidRPr="00386A39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</w:t>
      </w: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ākoņskaitļošanas</w:t>
      </w:r>
      <w:proofErr w:type="spellEnd"/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pakalpojumu piegād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</w:t>
      </w:r>
      <w:r w:rsidRPr="00386A3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Elektronisko iepirkumu sistēmas dalībniekiem dinamiskās iepirkumu sistēmas ietvaros” </w:t>
      </w:r>
    </w:p>
    <w:p w14:paraId="2704230D" w14:textId="77777777" w:rsidR="00AA34AD" w:rsidRPr="00386A39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(ID Nr. VDAA 2025/10/SK/CDIS-3)</w:t>
      </w:r>
    </w:p>
    <w:p w14:paraId="64C172B3" w14:textId="77777777" w:rsidR="00AA34AD" w:rsidRPr="002A2C0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A3A15" w14:textId="77777777" w:rsidR="00AA34AD" w:rsidRPr="002A2C0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C0D">
        <w:rPr>
          <w:rFonts w:ascii="Times New Roman" w:eastAsia="Times New Roman" w:hAnsi="Times New Roman" w:cs="Times New Roman"/>
          <w:b/>
          <w:sz w:val="24"/>
          <w:szCs w:val="24"/>
        </w:rPr>
        <w:t>IEPIRKUMA PROCEDŪRAS ZIŅOJUMS</w:t>
      </w:r>
    </w:p>
    <w:p w14:paraId="5C731789" w14:textId="77777777" w:rsidR="00AA34AD" w:rsidRPr="002A2C0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2C0D">
        <w:rPr>
          <w:rFonts w:ascii="Times New Roman" w:eastAsia="Times New Roman" w:hAnsi="Times New Roman"/>
          <w:i/>
          <w:sz w:val="24"/>
          <w:szCs w:val="24"/>
        </w:rPr>
        <w:t>(iepirkuma priekšmeta 1.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un </w:t>
      </w:r>
      <w:r w:rsidRPr="002A2C0D">
        <w:rPr>
          <w:rFonts w:ascii="Times New Roman" w:eastAsia="Times New Roman" w:hAnsi="Times New Roman"/>
          <w:i/>
          <w:sz w:val="24"/>
          <w:szCs w:val="24"/>
        </w:rPr>
        <w:t>2.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A2C0D">
        <w:rPr>
          <w:rFonts w:ascii="Times New Roman" w:eastAsia="Times New Roman" w:hAnsi="Times New Roman"/>
          <w:i/>
          <w:sz w:val="24"/>
          <w:szCs w:val="24"/>
        </w:rPr>
        <w:t>daļā)</w:t>
      </w:r>
    </w:p>
    <w:p w14:paraId="465ACFCA" w14:textId="77777777" w:rsidR="00AA34AD" w:rsidRPr="002A2C0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E25D3D" w14:textId="77777777" w:rsidR="00AA34AD" w:rsidRDefault="00AA34AD" w:rsidP="00AA34A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</w:pPr>
      <w:r w:rsidRPr="00386A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202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6</w:t>
      </w:r>
      <w:r w:rsidRPr="00386A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. gada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15</w:t>
      </w:r>
      <w:r w:rsidRPr="00386A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 xml:space="preserve">aprīlī </w:t>
      </w:r>
    </w:p>
    <w:p w14:paraId="1B1FB35F" w14:textId="77777777" w:rsidR="00AA34AD" w:rsidRDefault="00AA34AD" w:rsidP="00AA3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0FE8F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284" w:hanging="284"/>
        <w:jc w:val="both"/>
        <w:rPr>
          <w:b/>
          <w:noProof/>
        </w:rPr>
      </w:pPr>
      <w:r w:rsidRPr="00386A39">
        <w:rPr>
          <w:b/>
          <w:noProof/>
        </w:rPr>
        <w:t>Pasūtītāj</w:t>
      </w:r>
      <w:r>
        <w:rPr>
          <w:b/>
          <w:noProof/>
        </w:rPr>
        <w:t>s</w:t>
      </w:r>
      <w:r w:rsidRPr="00386A39">
        <w:rPr>
          <w:b/>
          <w:noProof/>
        </w:rPr>
        <w:t xml:space="preserve">: </w:t>
      </w:r>
      <w:r w:rsidRPr="00386A39">
        <w:rPr>
          <w:noProof/>
        </w:rPr>
        <w:t>Valsts digitālās attīstības aģentūra, Rīga, Alberta iela 10, LV-1010.</w:t>
      </w:r>
    </w:p>
    <w:p w14:paraId="34A26C85" w14:textId="77777777" w:rsidR="00AA34AD" w:rsidRPr="00386A39" w:rsidRDefault="00AA34AD" w:rsidP="00AA34AD">
      <w:pPr>
        <w:pStyle w:val="tv213"/>
        <w:shd w:val="clear" w:color="auto" w:fill="FFFFFF"/>
        <w:spacing w:before="0" w:beforeAutospacing="0" w:after="0" w:afterAutospacing="0"/>
        <w:ind w:left="284"/>
        <w:jc w:val="both"/>
        <w:rPr>
          <w:b/>
          <w:noProof/>
        </w:rPr>
      </w:pPr>
    </w:p>
    <w:p w14:paraId="562A0979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284" w:hanging="284"/>
        <w:jc w:val="both"/>
        <w:rPr>
          <w:b/>
          <w:noProof/>
        </w:rPr>
      </w:pPr>
      <w:r w:rsidRPr="00386A39">
        <w:rPr>
          <w:b/>
          <w:noProof/>
        </w:rPr>
        <w:t xml:space="preserve">Iepirkuma identifikācijas numurs: </w:t>
      </w:r>
      <w:r w:rsidRPr="00386A39">
        <w:rPr>
          <w:noProof/>
        </w:rPr>
        <w:t>VDAA 2025/10/SK/CDIS-3.</w:t>
      </w:r>
    </w:p>
    <w:p w14:paraId="25BA5B06" w14:textId="77777777" w:rsidR="00AA34AD" w:rsidRPr="00386A39" w:rsidRDefault="00AA34AD" w:rsidP="00AA34AD">
      <w:pPr>
        <w:pStyle w:val="tv213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14:paraId="7942B684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ind w:left="284" w:hanging="284"/>
        <w:jc w:val="both"/>
        <w:rPr>
          <w:b/>
          <w:noProof/>
        </w:rPr>
      </w:pPr>
      <w:r w:rsidRPr="00386A39">
        <w:rPr>
          <w:b/>
          <w:noProof/>
        </w:rPr>
        <w:t xml:space="preserve">Iepirkuma procedūras veids: </w:t>
      </w:r>
      <w:r w:rsidRPr="00386A39">
        <w:rPr>
          <w:noProof/>
        </w:rPr>
        <w:t>Slēgts konkurss.</w:t>
      </w:r>
    </w:p>
    <w:p w14:paraId="0F60CEC8" w14:textId="77777777" w:rsidR="00AA34AD" w:rsidRPr="00386A39" w:rsidRDefault="00AA34AD" w:rsidP="00AA34AD">
      <w:pPr>
        <w:pStyle w:val="tv213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14:paraId="0FE986A2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tabs>
          <w:tab w:val="left" w:pos="284"/>
          <w:tab w:val="left" w:pos="1134"/>
          <w:tab w:val="left" w:pos="1701"/>
          <w:tab w:val="left" w:pos="1985"/>
        </w:tabs>
        <w:spacing w:before="0" w:beforeAutospacing="0" w:after="0" w:afterAutospacing="0"/>
        <w:ind w:left="0" w:firstLine="0"/>
        <w:jc w:val="both"/>
        <w:rPr>
          <w:noProof/>
        </w:rPr>
      </w:pPr>
      <w:r w:rsidRPr="00386A39">
        <w:rPr>
          <w:b/>
          <w:noProof/>
        </w:rPr>
        <w:t xml:space="preserve">Iepirkuma līguma priekšmets: </w:t>
      </w:r>
      <w:r w:rsidRPr="00386A39">
        <w:rPr>
          <w:noProof/>
        </w:rPr>
        <w:t>“Mākoņskaitļošanas pakalpojumu piegāde Elektronisko iepirkumu sistēmas dalībniekiem dinamiskās iepirkumu sistēmas ietvaros”.</w:t>
      </w:r>
    </w:p>
    <w:p w14:paraId="0CDE9C44" w14:textId="77777777" w:rsidR="00AA34AD" w:rsidRPr="00386A39" w:rsidRDefault="00AA34AD" w:rsidP="00AA34AD">
      <w:pPr>
        <w:pStyle w:val="tv213"/>
        <w:shd w:val="clear" w:color="auto" w:fill="FFFFFF"/>
        <w:tabs>
          <w:tab w:val="left" w:pos="284"/>
          <w:tab w:val="left" w:pos="1134"/>
          <w:tab w:val="left" w:pos="1701"/>
          <w:tab w:val="left" w:pos="1985"/>
        </w:tabs>
        <w:spacing w:before="0" w:beforeAutospacing="0" w:after="0" w:afterAutospacing="0"/>
        <w:jc w:val="both"/>
        <w:rPr>
          <w:noProof/>
        </w:rPr>
      </w:pPr>
    </w:p>
    <w:p w14:paraId="531DA502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noProof/>
        </w:rPr>
      </w:pPr>
      <w:r w:rsidRPr="00386A39">
        <w:rPr>
          <w:b/>
          <w:noProof/>
        </w:rPr>
        <w:t xml:space="preserve">Datums, kad paziņojums par līgumu un iepriekšējais informatīvais paziņojums, ja tāds ir izmantots, publicēts Eiropas Savienības Oficiālajā Vēstnesī (ja attiecināms) un Iepirkumu uzraudzības biroja tīmekļvietnē: </w:t>
      </w:r>
    </w:p>
    <w:p w14:paraId="3350226E" w14:textId="77777777" w:rsidR="00AA34AD" w:rsidRPr="008F2B5C" w:rsidRDefault="00AA34AD" w:rsidP="00AA34AD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Iepriekšējais informatīvais paziņojums, ko izmanto tikai informācijai 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epirkumu uzraudzības biroja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(turpmāk – IUB)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un 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iropas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avienības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ficiālajā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ēstnesī</w:t>
      </w:r>
      <w:r w:rsidRPr="008F2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ESOV) </w:t>
      </w:r>
      <w:r w:rsidRPr="008F2B5C">
        <w:rPr>
          <w:rFonts w:ascii="Times New Roman" w:hAnsi="Times New Roman" w:cs="Times New Roman"/>
          <w:sz w:val="24"/>
          <w:szCs w:val="24"/>
        </w:rPr>
        <w:t xml:space="preserve">publicēts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2025.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gada 28. maijā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445B499" w14:textId="77777777" w:rsidR="00AA34AD" w:rsidRPr="00386A39" w:rsidRDefault="00AA34AD" w:rsidP="00AA34A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Paziņojumi par līgumu IUB un ESOV publicēti – IUB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2025. gada 22. decembrī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un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2026.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>gada 23.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 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>janvārī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ESOV 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2025. gada 23. decembrī 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un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2026.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>gada 23.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 </w:t>
      </w:r>
      <w:r w:rsidRPr="00C76F0E">
        <w:rPr>
          <w:rFonts w:ascii="Times New Roman" w:eastAsia="Times New Roman" w:hAnsi="Times New Roman" w:cs="Times New Roman"/>
          <w:noProof/>
          <w:sz w:val="24"/>
          <w:szCs w:val="24"/>
        </w:rPr>
        <w:t>janvārī</w:t>
      </w:r>
      <w:r w:rsidRPr="008F2B5C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12E14DF" w14:textId="77777777" w:rsidR="00AA34AD" w:rsidRPr="00386A39" w:rsidRDefault="00AA34AD" w:rsidP="00AA3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E366D4" w14:textId="77777777" w:rsidR="00AA34AD" w:rsidRPr="00386A39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noProof/>
        </w:rPr>
      </w:pPr>
      <w:r w:rsidRPr="00386A39">
        <w:rPr>
          <w:b/>
          <w:noProof/>
        </w:rPr>
        <w:t>Iepirkuma komisijas sastāvs un tās izveidošanas pamatojums, iepirkuma procedūras dokumentu sagatavotāji un pieaicinātie eksperti:</w:t>
      </w:r>
    </w:p>
    <w:p w14:paraId="51ECDF95" w14:textId="77777777" w:rsidR="00AA34AD" w:rsidRPr="00D126F8" w:rsidRDefault="00AA34AD" w:rsidP="00AA34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A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Iepirkuma komisijas, kas izveidota ar Valsts digitālās attīstības aģentūras 2025. gada 6. jūnija rīkojumu Nr. 1-1/25/33 “Par atsevišķas iepirkuma komisijas izveidošanu” </w:t>
      </w:r>
      <w:r w:rsidRPr="00D126F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un 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VDAA 2026. gada 1. aprīļa rīkojumu Nr.1-1/26/29 “Grozījumi Valsts digitālās attīstības aģentūras 2025. gada 6. jūnija rīkojumā Nr. 1-1/26/29 “Par atsevišķas iepirkuma komisijas izveidošanu”” </w:t>
      </w:r>
      <w:r w:rsidRPr="00D126F8">
        <w:rPr>
          <w:rFonts w:ascii="Times New Roman" w:eastAsia="Times New Roman" w:hAnsi="Times New Roman" w:cs="Times New Roman"/>
          <w:noProof/>
          <w:sz w:val="24"/>
          <w:szCs w:val="24"/>
        </w:rPr>
        <w:t>(turpmāk ‒ Komisija), sastāvs</w:t>
      </w:r>
      <w:r w:rsidRPr="00386A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komisijas vadītāj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Elita Kļaviņa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uzsākusi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 dalību komisijā </w:t>
      </w:r>
      <w:r>
        <w:rPr>
          <w:rFonts w:ascii="Times New Roman" w:hAnsi="Times New Roman" w:cs="Times New Roman"/>
          <w:bCs/>
          <w:sz w:val="24"/>
          <w:szCs w:val="24"/>
        </w:rPr>
        <w:t xml:space="preserve">kā komisijas priekšsēdētāja </w:t>
      </w:r>
      <w:r w:rsidRPr="00D126F8">
        <w:rPr>
          <w:rFonts w:ascii="Times New Roman" w:hAnsi="Times New Roman" w:cs="Times New Roman"/>
          <w:bCs/>
          <w:sz w:val="24"/>
          <w:szCs w:val="24"/>
        </w:rPr>
        <w:t>saskaņā ar VDAA 2026. gada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6F8">
        <w:rPr>
          <w:rFonts w:ascii="Times New Roman" w:hAnsi="Times New Roman" w:cs="Times New Roman"/>
          <w:bCs/>
          <w:sz w:val="24"/>
          <w:szCs w:val="24"/>
        </w:rPr>
        <w:t>aprīļa rīkojumu Nr. 1-1/26/29)</w:t>
      </w:r>
      <w:r>
        <w:rPr>
          <w:rFonts w:ascii="Times New Roman" w:hAnsi="Times New Roman" w:cs="Times New Roman"/>
          <w:bCs/>
          <w:sz w:val="24"/>
          <w:szCs w:val="24"/>
        </w:rPr>
        <w:t xml:space="preserve"> (komisijas vadītājs </w:t>
      </w:r>
      <w:r w:rsidRPr="00386A3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Oļegs Fiļipovičs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pārtraucis dalību komisijā saskaņā ar VDAA 2026. gada 1. aprīļa rīkojumu Nr. 1-1/26/29)</w:t>
      </w: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komisijas vadītāja vietnieks –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Andris Liepiņš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(uzsācis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 dalību komisijā saskaņā ar VDAA 2026. gada 1. aprīļa rīkojumu Nr. 1-1/26/29)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komisijas vadītāja vietnieks </w:t>
      </w:r>
      <w:r w:rsidRPr="00386A3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Arvis Širaks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pārtraucis dalību komisijā saskaņā ar VDAA 2026. gada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6F8">
        <w:rPr>
          <w:rFonts w:ascii="Times New Roman" w:hAnsi="Times New Roman" w:cs="Times New Roman"/>
          <w:bCs/>
          <w:sz w:val="24"/>
          <w:szCs w:val="24"/>
        </w:rPr>
        <w:t>aprīļa rīkojumu Nr. 1-1/26/29)</w:t>
      </w: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komisijas locekļi –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Artūrs Zemzars</w:t>
      </w:r>
      <w:r w:rsidRPr="00386A3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, Elita Kļaviņa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(pārtrau</w:t>
      </w:r>
      <w:r>
        <w:rPr>
          <w:rFonts w:ascii="Times New Roman" w:hAnsi="Times New Roman" w:cs="Times New Roman"/>
          <w:bCs/>
          <w:sz w:val="24"/>
          <w:szCs w:val="24"/>
        </w:rPr>
        <w:t>kusi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 dalību komisijā </w:t>
      </w:r>
      <w:r>
        <w:rPr>
          <w:rFonts w:ascii="Times New Roman" w:hAnsi="Times New Roman" w:cs="Times New Roman"/>
          <w:bCs/>
          <w:sz w:val="24"/>
          <w:szCs w:val="24"/>
        </w:rPr>
        <w:t xml:space="preserve">kā komisijas locekle </w:t>
      </w:r>
      <w:r w:rsidRPr="00D126F8">
        <w:rPr>
          <w:rFonts w:ascii="Times New Roman" w:hAnsi="Times New Roman" w:cs="Times New Roman"/>
          <w:bCs/>
          <w:sz w:val="24"/>
          <w:szCs w:val="24"/>
        </w:rPr>
        <w:t>saskaņā ar VDAA 2026. gada 1. aprīļa rīkojumu Nr.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6F8">
        <w:rPr>
          <w:rFonts w:ascii="Times New Roman" w:hAnsi="Times New Roman" w:cs="Times New Roman"/>
          <w:bCs/>
          <w:sz w:val="24"/>
          <w:szCs w:val="24"/>
        </w:rPr>
        <w:t>1-1/26/29)</w:t>
      </w:r>
      <w:r w:rsidRPr="00386A3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Mārtiņš Zvejnieks</w:t>
      </w:r>
      <w:r w:rsidRPr="00386A3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Raimonds Freimanis</w:t>
      </w:r>
      <w:r w:rsidRPr="009D7D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komisijas loceklis, kurš </w:t>
      </w:r>
      <w:r w:rsidRPr="009D7DB6">
        <w:rPr>
          <w:rFonts w:ascii="Times New Roman" w:eastAsia="Times New Roman" w:hAnsi="Times New Roman" w:cs="Times New Roman"/>
          <w:sz w:val="24"/>
          <w:szCs w:val="24"/>
          <w:lang w:eastAsia="en-US"/>
        </w:rPr>
        <w:t>pilda arī komisijas sekretāra pienākumus)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D7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Nauris Pundors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uzsācis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 dalību komisijā </w:t>
      </w:r>
      <w:r>
        <w:rPr>
          <w:rFonts w:ascii="Times New Roman" w:hAnsi="Times New Roman" w:cs="Times New Roman"/>
          <w:bCs/>
          <w:sz w:val="24"/>
          <w:szCs w:val="24"/>
        </w:rPr>
        <w:t xml:space="preserve">kā komisijas loceklis </w:t>
      </w:r>
      <w:r w:rsidRPr="00D126F8">
        <w:rPr>
          <w:rFonts w:ascii="Times New Roman" w:hAnsi="Times New Roman" w:cs="Times New Roman"/>
          <w:bCs/>
          <w:sz w:val="24"/>
          <w:szCs w:val="24"/>
        </w:rPr>
        <w:t>saskaņā ar VDAA 2026. gada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6F8">
        <w:rPr>
          <w:rFonts w:ascii="Times New Roman" w:hAnsi="Times New Roman" w:cs="Times New Roman"/>
          <w:bCs/>
          <w:sz w:val="24"/>
          <w:szCs w:val="24"/>
        </w:rPr>
        <w:t>aprīļa rīkojumu Nr. 1-1/26/29)</w:t>
      </w:r>
      <w:r>
        <w:rPr>
          <w:rFonts w:ascii="Times New Roman" w:hAnsi="Times New Roman" w:cs="Times New Roman"/>
          <w:bCs/>
          <w:sz w:val="24"/>
          <w:szCs w:val="24"/>
        </w:rPr>
        <w:t xml:space="preserve">, komisijas eksperts – </w:t>
      </w:r>
      <w:r w:rsidRPr="006165EF">
        <w:rPr>
          <w:rFonts w:ascii="Times New Roman" w:hAnsi="Times New Roman" w:cs="Times New Roman"/>
          <w:b/>
          <w:i/>
          <w:iCs/>
          <w:sz w:val="24"/>
          <w:szCs w:val="24"/>
        </w:rPr>
        <w:t>Toms Štālbergs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73600">
        <w:rPr>
          <w:rFonts w:ascii="Times New Roman" w:hAnsi="Times New Roman" w:cs="Times New Roman"/>
          <w:bCs/>
          <w:sz w:val="24"/>
          <w:szCs w:val="24"/>
        </w:rPr>
        <w:t>Viedās administrācijas un reģionālās attīstības ministrijas Informācijas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600">
        <w:rPr>
          <w:rFonts w:ascii="Times New Roman" w:hAnsi="Times New Roman" w:cs="Times New Roman"/>
          <w:bCs/>
          <w:sz w:val="24"/>
          <w:szCs w:val="24"/>
        </w:rPr>
        <w:t>un komunikācijas tehnoloģiju pārvaldības un arhitektūras nodaļas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600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vadītājs) </w:t>
      </w:r>
      <w:r w:rsidRPr="00D126F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uzsācis </w:t>
      </w:r>
      <w:r w:rsidRPr="00D126F8">
        <w:rPr>
          <w:rFonts w:ascii="Times New Roman" w:hAnsi="Times New Roman" w:cs="Times New Roman"/>
          <w:bCs/>
          <w:sz w:val="24"/>
          <w:szCs w:val="24"/>
        </w:rPr>
        <w:t xml:space="preserve">dalību komisijā </w:t>
      </w:r>
      <w:r>
        <w:rPr>
          <w:rFonts w:ascii="Times New Roman" w:hAnsi="Times New Roman" w:cs="Times New Roman"/>
          <w:bCs/>
          <w:sz w:val="24"/>
          <w:szCs w:val="24"/>
        </w:rPr>
        <w:t xml:space="preserve">kā eksperts </w:t>
      </w:r>
      <w:r w:rsidRPr="00D73600">
        <w:rPr>
          <w:rFonts w:ascii="Times New Roman" w:hAnsi="Times New Roman" w:cs="Times New Roman"/>
          <w:bCs/>
          <w:sz w:val="24"/>
          <w:szCs w:val="24"/>
          <w:u w:val="single"/>
        </w:rPr>
        <w:t>bez balsstiesībām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26F8">
        <w:rPr>
          <w:rFonts w:ascii="Times New Roman" w:hAnsi="Times New Roman" w:cs="Times New Roman"/>
          <w:bCs/>
          <w:sz w:val="24"/>
          <w:szCs w:val="24"/>
        </w:rPr>
        <w:t>saskaņā ar VDAA 2026. gada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6F8">
        <w:rPr>
          <w:rFonts w:ascii="Times New Roman" w:hAnsi="Times New Roman" w:cs="Times New Roman"/>
          <w:bCs/>
          <w:sz w:val="24"/>
          <w:szCs w:val="24"/>
        </w:rPr>
        <w:t>aprīļa rīkojumu Nr. 1-1/26/29)</w:t>
      </w:r>
      <w:r w:rsidRPr="00386A3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74A27AE" w14:textId="77777777" w:rsidR="00AA34AD" w:rsidRPr="00386A39" w:rsidRDefault="00AA34AD" w:rsidP="00AA34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E0FBCD" w14:textId="77777777" w:rsidR="00AA34AD" w:rsidRPr="00B223F7" w:rsidRDefault="00AA34AD" w:rsidP="00AA34AD">
      <w:pPr>
        <w:pStyle w:val="ListParagraph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9D7DB6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Pieteikumu iesniegšanas termiņš:</w:t>
      </w:r>
      <w:r w:rsidRPr="00386A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6A39">
        <w:rPr>
          <w:rFonts w:ascii="Times New Roman" w:eastAsia="Times New Roman" w:hAnsi="Times New Roman" w:cs="Times New Roman"/>
          <w:sz w:val="24"/>
          <w:szCs w:val="24"/>
        </w:rPr>
        <w:t>. gada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6A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februāris</w:t>
      </w:r>
      <w:r w:rsidRPr="00386A39">
        <w:rPr>
          <w:rFonts w:ascii="Times New Roman" w:eastAsia="Times New Roman" w:hAnsi="Times New Roman" w:cs="Times New Roman"/>
          <w:sz w:val="24"/>
          <w:szCs w:val="24"/>
        </w:rPr>
        <w:t xml:space="preserve"> plkst.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86A39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4C28CD26" w14:textId="77777777" w:rsidR="00AA34AD" w:rsidRDefault="00AA34AD" w:rsidP="00AA34AD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bCs/>
        </w:rPr>
      </w:pPr>
      <w:r w:rsidRPr="009B3230">
        <w:rPr>
          <w:b/>
          <w:bCs/>
        </w:rPr>
        <w:t xml:space="preserve">To piegādātāju nosaukumi, kuri pieteikušies uz kandidātu atlasi, un to pretendentu nosaukumi, kuri ir iesnieguši </w:t>
      </w:r>
      <w:r>
        <w:rPr>
          <w:b/>
          <w:bCs/>
        </w:rPr>
        <w:t xml:space="preserve">pieteikumus vai </w:t>
      </w:r>
      <w:r w:rsidRPr="009B3230">
        <w:rPr>
          <w:b/>
          <w:bCs/>
        </w:rPr>
        <w:t>piedāvājumus</w:t>
      </w:r>
      <w:r>
        <w:rPr>
          <w:b/>
          <w:bCs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18"/>
        <w:gridCol w:w="2698"/>
      </w:tblGrid>
      <w:tr w:rsidR="00AA34AD" w:rsidRPr="00A82693" w14:paraId="1CA63D50" w14:textId="77777777" w:rsidTr="00907167">
        <w:trPr>
          <w:trHeight w:val="324"/>
        </w:trPr>
        <w:tc>
          <w:tcPr>
            <w:tcW w:w="960" w:type="dxa"/>
            <w:noWrap/>
            <w:vAlign w:val="bottom"/>
            <w:hideMark/>
          </w:tcPr>
          <w:p w14:paraId="5453174D" w14:textId="77777777" w:rsidR="00AA34AD" w:rsidRPr="00712CF2" w:rsidRDefault="00AA34AD" w:rsidP="0090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12C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712C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.p.k</w:t>
            </w:r>
            <w:proofErr w:type="spellEnd"/>
            <w:r w:rsidRPr="00712C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118" w:type="dxa"/>
            <w:noWrap/>
            <w:vAlign w:val="bottom"/>
            <w:hideMark/>
          </w:tcPr>
          <w:p w14:paraId="12B1BF6A" w14:textId="77777777" w:rsidR="00AA34AD" w:rsidRPr="00A82693" w:rsidRDefault="00AA34AD" w:rsidP="0090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Kandidāts</w:t>
            </w:r>
          </w:p>
        </w:tc>
        <w:tc>
          <w:tcPr>
            <w:tcW w:w="2698" w:type="dxa"/>
            <w:noWrap/>
            <w:vAlign w:val="bottom"/>
            <w:hideMark/>
          </w:tcPr>
          <w:p w14:paraId="48090233" w14:textId="77777777" w:rsidR="00AA34AD" w:rsidRPr="00A82693" w:rsidRDefault="00AA34AD" w:rsidP="0090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Daļa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303A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kurā iesniegts pieteikums</w:t>
            </w:r>
          </w:p>
        </w:tc>
      </w:tr>
      <w:tr w:rsidR="00AA34AD" w:rsidRPr="00A82693" w14:paraId="24EDABCC" w14:textId="77777777" w:rsidTr="00907167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308AF749" w14:textId="77777777" w:rsidR="00AA34AD" w:rsidRPr="00A82693" w:rsidRDefault="00AA34AD" w:rsidP="0090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118" w:type="dxa"/>
            <w:noWrap/>
            <w:vAlign w:val="bottom"/>
            <w:hideMark/>
          </w:tcPr>
          <w:p w14:paraId="5E3D8176" w14:textId="77777777" w:rsidR="00AA34AD" w:rsidRPr="00A82693" w:rsidRDefault="00AA34AD" w:rsidP="0090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2698" w:type="dxa"/>
            <w:noWrap/>
            <w:vAlign w:val="bottom"/>
            <w:hideMark/>
          </w:tcPr>
          <w:p w14:paraId="789C72D1" w14:textId="77777777" w:rsidR="00AA34AD" w:rsidRPr="00A82693" w:rsidRDefault="00AA34AD" w:rsidP="0090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2.</w:t>
            </w:r>
          </w:p>
        </w:tc>
      </w:tr>
      <w:tr w:rsidR="00AA34AD" w:rsidRPr="00A82693" w14:paraId="78111679" w14:textId="77777777" w:rsidTr="00907167">
        <w:trPr>
          <w:trHeight w:val="312"/>
        </w:trPr>
        <w:tc>
          <w:tcPr>
            <w:tcW w:w="960" w:type="dxa"/>
            <w:noWrap/>
            <w:vAlign w:val="bottom"/>
            <w:hideMark/>
          </w:tcPr>
          <w:p w14:paraId="4CE46BED" w14:textId="77777777" w:rsidR="00AA34AD" w:rsidRPr="00A82693" w:rsidRDefault="00AA34AD" w:rsidP="0090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118" w:type="dxa"/>
            <w:noWrap/>
            <w:vAlign w:val="bottom"/>
            <w:hideMark/>
          </w:tcPr>
          <w:p w14:paraId="720D537D" w14:textId="77777777" w:rsidR="00AA34AD" w:rsidRPr="00A82693" w:rsidRDefault="00AA34AD" w:rsidP="00907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SIA “DATI Group”</w:t>
            </w:r>
          </w:p>
        </w:tc>
        <w:tc>
          <w:tcPr>
            <w:tcW w:w="2698" w:type="dxa"/>
            <w:noWrap/>
            <w:vAlign w:val="bottom"/>
            <w:hideMark/>
          </w:tcPr>
          <w:p w14:paraId="0448CDF0" w14:textId="77777777" w:rsidR="00AA34AD" w:rsidRPr="00A82693" w:rsidRDefault="00AA34AD" w:rsidP="0090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2693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2.</w:t>
            </w:r>
          </w:p>
        </w:tc>
      </w:tr>
    </w:tbl>
    <w:p w14:paraId="42981931" w14:textId="77777777" w:rsidR="00AA34AD" w:rsidRPr="009B3230" w:rsidRDefault="00AA34AD" w:rsidP="00AA34AD">
      <w:pPr>
        <w:pStyle w:val="tv21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00B42BE" w14:textId="77777777" w:rsidR="00AA34AD" w:rsidRPr="009D7DB6" w:rsidRDefault="00AA34AD" w:rsidP="00AA34AD">
      <w:pPr>
        <w:pStyle w:val="tv21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 w:rsidRPr="009B3230">
        <w:rPr>
          <w:b/>
          <w:bCs/>
        </w:rPr>
        <w:t>Pieteikumu un piedāvājumu atvēršanas vieta, datums un laiks:</w:t>
      </w:r>
      <w:r w:rsidRPr="009B3230">
        <w:t xml:space="preserve"> </w:t>
      </w:r>
      <w:r>
        <w:t xml:space="preserve">Elektronisko iepirkumu sistēmā </w:t>
      </w:r>
      <w:r w:rsidRPr="00B223F7">
        <w:t>2026. gada 23. februār</w:t>
      </w:r>
      <w:r>
        <w:t>ī</w:t>
      </w:r>
      <w:r w:rsidRPr="00B223F7">
        <w:t xml:space="preserve"> plkst.14</w:t>
      </w:r>
      <w:r>
        <w:t>.</w:t>
      </w:r>
      <w:r w:rsidRPr="00B223F7">
        <w:t>00</w:t>
      </w:r>
      <w:r w:rsidRPr="009B3230">
        <w:t>.</w:t>
      </w:r>
    </w:p>
    <w:p w14:paraId="2B0C59FA" w14:textId="77777777" w:rsidR="00AA34AD" w:rsidRPr="009B3230" w:rsidRDefault="00AA34AD" w:rsidP="00AA34AD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/>
        <w:ind w:left="284"/>
        <w:jc w:val="both"/>
        <w:rPr>
          <w:b/>
          <w:bCs/>
        </w:rPr>
      </w:pPr>
    </w:p>
    <w:p w14:paraId="13E49554" w14:textId="77777777" w:rsidR="00AA34AD" w:rsidRDefault="00AA34AD" w:rsidP="00AA34AD">
      <w:pPr>
        <w:pStyle w:val="tv21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b/>
          <w:bCs/>
        </w:rPr>
      </w:pPr>
      <w:r w:rsidRPr="009B3230">
        <w:rPr>
          <w:b/>
          <w:bCs/>
        </w:rPr>
        <w:t>T</w:t>
      </w:r>
      <w:r>
        <w:rPr>
          <w:b/>
          <w:bCs/>
        </w:rPr>
        <w:t>o kandidātu</w:t>
      </w:r>
      <w:r w:rsidRPr="009B3230">
        <w:rPr>
          <w:b/>
          <w:bCs/>
        </w:rPr>
        <w:t xml:space="preserve"> nosaukum</w:t>
      </w:r>
      <w:r>
        <w:rPr>
          <w:b/>
          <w:bCs/>
        </w:rPr>
        <w:t>i</w:t>
      </w:r>
      <w:r w:rsidRPr="009B3230">
        <w:rPr>
          <w:b/>
          <w:bCs/>
        </w:rPr>
        <w:t xml:space="preserve">, kur </w:t>
      </w:r>
      <w:r>
        <w:rPr>
          <w:b/>
          <w:bCs/>
        </w:rPr>
        <w:t>iekļauti dinamiskajā iepirkumu sistēmā</w:t>
      </w:r>
      <w:r w:rsidRPr="009B3230">
        <w:rPr>
          <w:b/>
          <w:bCs/>
        </w:rPr>
        <w:t>,</w:t>
      </w:r>
      <w:r>
        <w:rPr>
          <w:b/>
          <w:bCs/>
        </w:rPr>
        <w:t xml:space="preserve"> </w:t>
      </w:r>
      <w:r w:rsidRPr="009B3230">
        <w:rPr>
          <w:b/>
          <w:bCs/>
        </w:rPr>
        <w:t>kā arī p</w:t>
      </w:r>
      <w:r>
        <w:rPr>
          <w:b/>
          <w:bCs/>
        </w:rPr>
        <w:t>ieteikumu</w:t>
      </w:r>
      <w:r w:rsidRPr="009B3230">
        <w:rPr>
          <w:b/>
          <w:bCs/>
        </w:rPr>
        <w:t xml:space="preserve"> izvērtēšanas kopsavilkums un pie</w:t>
      </w:r>
      <w:r>
        <w:rPr>
          <w:b/>
          <w:bCs/>
        </w:rPr>
        <w:t xml:space="preserve">teikuma </w:t>
      </w:r>
      <w:r w:rsidRPr="009B3230">
        <w:rPr>
          <w:b/>
          <w:bCs/>
        </w:rPr>
        <w:t>izvēles pamatojums:</w:t>
      </w:r>
    </w:p>
    <w:p w14:paraId="43417242" w14:textId="77777777" w:rsidR="00AA34AD" w:rsidRDefault="00AA34AD" w:rsidP="00AA34AD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40C93767" w14:textId="77777777" w:rsidR="00AA34AD" w:rsidRDefault="00AA34AD" w:rsidP="00AA34AD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51CEF">
        <w:rPr>
          <w:rFonts w:ascii="Times New Roman" w:eastAsia="Times New Roman" w:hAnsi="Times New Roman"/>
          <w:bCs/>
          <w:sz w:val="24"/>
          <w:szCs w:val="24"/>
        </w:rPr>
        <w:t xml:space="preserve">Komisija </w:t>
      </w:r>
      <w:r>
        <w:rPr>
          <w:rFonts w:ascii="Times New Roman" w:eastAsia="Times New Roman" w:hAnsi="Times New Roman"/>
          <w:bCs/>
          <w:sz w:val="24"/>
          <w:szCs w:val="24"/>
        </w:rPr>
        <w:t>ir pieņēmusi šādus lēmumus par kandidātu iekļaušanu Dinamiskajā iepirkumu sistēmā (turpmāk – DIS)</w:t>
      </w:r>
      <w:r w:rsidRPr="00051CEF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025F33B4" w14:textId="77777777" w:rsidR="00AA34AD" w:rsidRPr="00051CEF" w:rsidRDefault="00AA34AD" w:rsidP="00AA34AD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4F263B" w14:textId="77777777" w:rsidR="00AA34AD" w:rsidRDefault="00AA34AD" w:rsidP="00AA34AD">
      <w:pPr>
        <w:keepNext/>
        <w:numPr>
          <w:ilvl w:val="1"/>
          <w:numId w:val="2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51CE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iekļaut</w:t>
      </w:r>
      <w:r w:rsidRPr="00051CEF">
        <w:rPr>
          <w:rFonts w:ascii="Times New Roman" w:eastAsia="Times New Roman" w:hAnsi="Times New Roman"/>
          <w:sz w:val="24"/>
          <w:szCs w:val="24"/>
        </w:rPr>
        <w:t xml:space="preserve"> DIS iepirkuma priekšmeta </w:t>
      </w:r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daļā</w:t>
      </w:r>
      <w:r w:rsidRPr="00B223F7">
        <w:rPr>
          <w:b/>
          <w:bCs/>
          <w:sz w:val="24"/>
          <w:szCs w:val="24"/>
        </w:rPr>
        <w:t xml:space="preserve"> </w:t>
      </w:r>
      <w:r w:rsidRPr="00B223F7">
        <w:rPr>
          <w:rFonts w:ascii="Times New Roman" w:hAnsi="Times New Roman"/>
          <w:b/>
          <w:bCs/>
          <w:sz w:val="24"/>
          <w:szCs w:val="24"/>
        </w:rPr>
        <w:t>“</w:t>
      </w:r>
      <w:r w:rsidRPr="00B223F7">
        <w:rPr>
          <w:rFonts w:ascii="Times New Roman" w:eastAsia="Times New Roman" w:hAnsi="Times New Roman"/>
          <w:b/>
          <w:bCs/>
          <w:sz w:val="24"/>
          <w:szCs w:val="24"/>
        </w:rPr>
        <w:t xml:space="preserve">Datu centru </w:t>
      </w:r>
      <w:proofErr w:type="spellStart"/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mākoņskaitļošanas</w:t>
      </w:r>
      <w:proofErr w:type="spellEnd"/>
      <w:r w:rsidRPr="00B223F7">
        <w:rPr>
          <w:rFonts w:ascii="Times New Roman" w:eastAsia="Times New Roman" w:hAnsi="Times New Roman"/>
          <w:b/>
          <w:bCs/>
          <w:sz w:val="24"/>
          <w:szCs w:val="24"/>
        </w:rPr>
        <w:t xml:space="preserve"> pakalpojumi”</w:t>
      </w:r>
      <w:r w:rsidRPr="00051CEF">
        <w:rPr>
          <w:rFonts w:ascii="Times New Roman" w:eastAsia="Times New Roman" w:hAnsi="Times New Roman"/>
          <w:sz w:val="24"/>
          <w:szCs w:val="24"/>
        </w:rPr>
        <w:t xml:space="preserve"> šādus kandidātus:</w:t>
      </w:r>
    </w:p>
    <w:p w14:paraId="0C7A74DD" w14:textId="77777777" w:rsidR="00AA34AD" w:rsidRPr="00C84661" w:rsidRDefault="00AA34AD" w:rsidP="00AA34AD">
      <w:pPr>
        <w:keepNext/>
        <w:tabs>
          <w:tab w:val="left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122"/>
        <w:gridCol w:w="4925"/>
      </w:tblGrid>
      <w:tr w:rsidR="00AA34AD" w:rsidRPr="00051CEF" w14:paraId="50EE3CE3" w14:textId="77777777" w:rsidTr="00907167">
        <w:tc>
          <w:tcPr>
            <w:tcW w:w="67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1FB15" w14:textId="77777777" w:rsidR="00AA34AD" w:rsidRPr="005B7B95" w:rsidRDefault="00AA34AD" w:rsidP="009071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3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7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daļa</w:t>
            </w:r>
          </w:p>
        </w:tc>
        <w:tc>
          <w:tcPr>
            <w:tcW w:w="41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A2255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Datu centru </w:t>
            </w:r>
            <w:proofErr w:type="spellStart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mākoņskaitļošanas</w:t>
            </w:r>
            <w:proofErr w:type="spellEnd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pakalpojumi</w:t>
            </w:r>
          </w:p>
          <w:p w14:paraId="6AB3D837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7A9ECF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SIA “</w:t>
            </w:r>
            <w:proofErr w:type="spellStart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Tet</w:t>
            </w:r>
            <w:proofErr w:type="spellEnd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”</w:t>
            </w:r>
            <w:r>
              <w:t xml:space="preserve">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40003052786)</w:t>
            </w:r>
          </w:p>
          <w:p w14:paraId="4B2B2318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SIA “D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ATI</w:t>
            </w: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Group”</w:t>
            </w:r>
            <w:r>
              <w:t xml:space="preserve">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40003115371)</w:t>
            </w:r>
          </w:p>
        </w:tc>
      </w:tr>
    </w:tbl>
    <w:p w14:paraId="5EA2C341" w14:textId="77777777" w:rsidR="00AA34AD" w:rsidRPr="00051CEF" w:rsidRDefault="00AA34AD" w:rsidP="00AA34AD">
      <w:pPr>
        <w:keepNext/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52978F2" w14:textId="77777777" w:rsidR="00AA34AD" w:rsidRDefault="00AA34AD" w:rsidP="00AA34AD">
      <w:pPr>
        <w:keepNext/>
        <w:numPr>
          <w:ilvl w:val="1"/>
          <w:numId w:val="2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51CEF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iekļaut</w:t>
      </w:r>
      <w:r w:rsidRPr="00051CEF">
        <w:rPr>
          <w:rFonts w:ascii="Times New Roman" w:eastAsia="Times New Roman" w:hAnsi="Times New Roman"/>
          <w:sz w:val="24"/>
          <w:szCs w:val="24"/>
        </w:rPr>
        <w:t xml:space="preserve"> DIS iepirkuma priekšmeta </w:t>
      </w:r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daļā “</w:t>
      </w:r>
      <w:proofErr w:type="spellStart"/>
      <w:r w:rsidRPr="00B223F7">
        <w:rPr>
          <w:rFonts w:ascii="Times New Roman" w:eastAsia="Times New Roman" w:hAnsi="Times New Roman"/>
          <w:b/>
          <w:bCs/>
          <w:sz w:val="24"/>
          <w:szCs w:val="24"/>
        </w:rPr>
        <w:t>Mākoņskaitļošanas</w:t>
      </w:r>
      <w:proofErr w:type="spellEnd"/>
      <w:r w:rsidRPr="00B223F7">
        <w:rPr>
          <w:rFonts w:ascii="Times New Roman" w:eastAsia="Times New Roman" w:hAnsi="Times New Roman"/>
          <w:b/>
          <w:bCs/>
          <w:sz w:val="24"/>
          <w:szCs w:val="24"/>
        </w:rPr>
        <w:t xml:space="preserve"> pakalpojumi”</w:t>
      </w:r>
      <w:r w:rsidRPr="00051CEF">
        <w:rPr>
          <w:rFonts w:ascii="Times New Roman" w:eastAsia="Times New Roman" w:hAnsi="Times New Roman"/>
          <w:sz w:val="24"/>
          <w:szCs w:val="24"/>
        </w:rPr>
        <w:t xml:space="preserve"> šādus kandidātus:</w:t>
      </w:r>
    </w:p>
    <w:p w14:paraId="431197B5" w14:textId="77777777" w:rsidR="00AA34AD" w:rsidRPr="00C84661" w:rsidRDefault="00AA34AD" w:rsidP="00AA34AD">
      <w:pPr>
        <w:keepNext/>
        <w:tabs>
          <w:tab w:val="left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122"/>
        <w:gridCol w:w="4925"/>
      </w:tblGrid>
      <w:tr w:rsidR="00AA34AD" w:rsidRPr="00051CEF" w14:paraId="09FE9A29" w14:textId="77777777" w:rsidTr="00907167">
        <w:tc>
          <w:tcPr>
            <w:tcW w:w="67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5D2A6" w14:textId="77777777" w:rsidR="00AA34AD" w:rsidRPr="005B7B95" w:rsidRDefault="00AA34AD" w:rsidP="00907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39" w:hanging="23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7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daļa</w:t>
            </w:r>
          </w:p>
        </w:tc>
        <w:tc>
          <w:tcPr>
            <w:tcW w:w="41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EE041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Mākoņskaitļošanas</w:t>
            </w:r>
            <w:proofErr w:type="spellEnd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pakalpojumi</w:t>
            </w:r>
          </w:p>
          <w:p w14:paraId="2B0DEF10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98FD4C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SIA “</w:t>
            </w:r>
            <w:proofErr w:type="spellStart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Tet</w:t>
            </w:r>
            <w:proofErr w:type="spellEnd"/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”</w:t>
            </w:r>
            <w:r>
              <w:t xml:space="preserve">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40003052786)</w:t>
            </w:r>
          </w:p>
          <w:p w14:paraId="183A2733" w14:textId="77777777" w:rsidR="00AA34AD" w:rsidRPr="008F2B5C" w:rsidRDefault="00AA34AD" w:rsidP="009071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SIA “D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ATI</w:t>
            </w:r>
            <w:r w:rsidRPr="008F2B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Group”</w:t>
            </w:r>
            <w:r>
              <w:t xml:space="preserve">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4544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40003115371)</w:t>
            </w:r>
          </w:p>
        </w:tc>
      </w:tr>
    </w:tbl>
    <w:p w14:paraId="076CC714" w14:textId="77777777" w:rsidR="00AA34AD" w:rsidRDefault="00AA34AD" w:rsidP="00AA34AD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1DF5DF" w14:textId="77777777" w:rsidR="00AA34AD" w:rsidRPr="005D409A" w:rsidRDefault="00AA34AD" w:rsidP="00AA34AD">
      <w:pPr>
        <w:keepNext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09A">
        <w:rPr>
          <w:rFonts w:ascii="Times New Roman" w:hAnsi="Times New Roman" w:cs="Times New Roman"/>
          <w:b/>
          <w:bCs/>
          <w:sz w:val="24"/>
          <w:szCs w:val="24"/>
        </w:rPr>
        <w:t>Atlases un kvalifikācijas atbilstības kopsavilkums:</w:t>
      </w:r>
    </w:p>
    <w:p w14:paraId="5F6E6146" w14:textId="77777777" w:rsidR="00AA34AD" w:rsidRPr="005D409A" w:rsidRDefault="00AA34AD" w:rsidP="00AA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9A">
        <w:rPr>
          <w:rFonts w:ascii="Times New Roman" w:hAnsi="Times New Roman" w:cs="Times New Roman"/>
          <w:sz w:val="24"/>
          <w:szCs w:val="24"/>
        </w:rPr>
        <w:t xml:space="preserve">Kandidātu atlases prasību 2.4. apakšpunktā un EIS e-konkursu apakšsistēmā šā konkursa sadaļā kandidātu minimālajām kvalifikācijas prasībām un prasībām par kandidāta kvalifikācijas apliecināšanai iesniedzamajiem dokumentiem </w:t>
      </w:r>
      <w:r>
        <w:rPr>
          <w:rFonts w:ascii="Times New Roman" w:hAnsi="Times New Roman" w:cs="Times New Roman"/>
          <w:sz w:val="24"/>
          <w:szCs w:val="24"/>
        </w:rPr>
        <w:t>noteikto</w:t>
      </w:r>
      <w:r w:rsidRPr="005D409A">
        <w:rPr>
          <w:rFonts w:ascii="Times New Roman" w:hAnsi="Times New Roman" w:cs="Times New Roman"/>
          <w:sz w:val="24"/>
          <w:szCs w:val="24"/>
        </w:rPr>
        <w:t xml:space="preserve"> prasību 3.1., 3.2. un 3.3. apakšpunktā </w:t>
      </w:r>
      <w:r>
        <w:rPr>
          <w:rFonts w:ascii="Times New Roman" w:hAnsi="Times New Roman" w:cs="Times New Roman"/>
          <w:sz w:val="24"/>
          <w:szCs w:val="24"/>
        </w:rPr>
        <w:t>minētajām</w:t>
      </w:r>
      <w:r w:rsidRPr="005D409A">
        <w:rPr>
          <w:rFonts w:ascii="Times New Roman" w:hAnsi="Times New Roman" w:cs="Times New Roman"/>
          <w:sz w:val="24"/>
          <w:szCs w:val="24"/>
        </w:rPr>
        <w:t xml:space="preserve"> prasībām atbilst </w:t>
      </w:r>
      <w:r w:rsidRPr="005D409A">
        <w:rPr>
          <w:rFonts w:ascii="Times New Roman" w:hAnsi="Times New Roman" w:cs="Times New Roman"/>
          <w:b/>
          <w:bCs/>
          <w:sz w:val="24"/>
          <w:szCs w:val="24"/>
        </w:rPr>
        <w:t>SIA “DATI Group”</w:t>
      </w:r>
      <w:r w:rsidRPr="005D409A">
        <w:rPr>
          <w:rFonts w:ascii="Times New Roman" w:hAnsi="Times New Roman" w:cs="Times New Roman"/>
          <w:sz w:val="24"/>
          <w:szCs w:val="24"/>
        </w:rPr>
        <w:t xml:space="preserve"> un </w:t>
      </w:r>
      <w:r w:rsidRPr="005D409A">
        <w:rPr>
          <w:rFonts w:ascii="Times New Roman" w:hAnsi="Times New Roman" w:cs="Times New Roman"/>
          <w:b/>
          <w:bCs/>
          <w:sz w:val="24"/>
          <w:szCs w:val="24"/>
        </w:rPr>
        <w:t>SIA “</w:t>
      </w:r>
      <w:proofErr w:type="spellStart"/>
      <w:r w:rsidRPr="005D409A">
        <w:rPr>
          <w:rFonts w:ascii="Times New Roman" w:hAnsi="Times New Roman" w:cs="Times New Roman"/>
          <w:b/>
          <w:bCs/>
          <w:sz w:val="24"/>
          <w:szCs w:val="24"/>
        </w:rPr>
        <w:t>Tet</w:t>
      </w:r>
      <w:proofErr w:type="spellEnd"/>
      <w:r w:rsidRPr="005D409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D409A">
        <w:rPr>
          <w:rFonts w:ascii="Times New Roman" w:hAnsi="Times New Roman" w:cs="Times New Roman"/>
          <w:sz w:val="24"/>
          <w:szCs w:val="24"/>
        </w:rPr>
        <w:t xml:space="preserve"> ‒ 1. un 2. daļā</w:t>
      </w:r>
    </w:p>
    <w:p w14:paraId="28969E9C" w14:textId="77777777" w:rsidR="00AA34AD" w:rsidRDefault="00AA34AD" w:rsidP="00AA34AD">
      <w:pPr>
        <w:spacing w:after="0" w:line="240" w:lineRule="auto"/>
        <w:jc w:val="both"/>
      </w:pPr>
    </w:p>
    <w:p w14:paraId="354F9AE4" w14:textId="77777777" w:rsidR="00AA34AD" w:rsidRPr="005D409A" w:rsidRDefault="00AA34AD" w:rsidP="00AA34AD">
      <w:pPr>
        <w:pStyle w:val="tv21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</w:pPr>
      <w:r>
        <w:rPr>
          <w:b/>
          <w:bCs/>
        </w:rPr>
        <w:t>Informācija par daļām, kuras izraudzītais piegādātājs plānojis nodot apakšuzņēmējam:</w:t>
      </w:r>
    </w:p>
    <w:p w14:paraId="49F5FCF6" w14:textId="77777777" w:rsidR="00AA34AD" w:rsidRPr="005D409A" w:rsidRDefault="00AA34AD" w:rsidP="00AA34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409A">
        <w:rPr>
          <w:rFonts w:ascii="Times New Roman" w:hAnsi="Times New Roman" w:cs="Times New Roman"/>
          <w:sz w:val="24"/>
          <w:szCs w:val="24"/>
        </w:rPr>
        <w:t xml:space="preserve">SIA “DATI Group”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Reģ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Nr. </w:t>
      </w:r>
      <w:r w:rsidRPr="00454424">
        <w:rPr>
          <w:rFonts w:ascii="Times New Roman" w:eastAsia="Times New Roman" w:hAnsi="Times New Roman"/>
          <w:color w:val="000000"/>
          <w:sz w:val="24"/>
          <w:szCs w:val="24"/>
        </w:rPr>
        <w:t>40003115371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5D409A">
        <w:rPr>
          <w:rFonts w:ascii="Times New Roman" w:hAnsi="Times New Roman" w:cs="Times New Roman"/>
          <w:sz w:val="24"/>
          <w:szCs w:val="24"/>
        </w:rPr>
        <w:t xml:space="preserve">iepirkuma priekšmeta </w:t>
      </w:r>
      <w:r w:rsidRPr="005B7B95">
        <w:rPr>
          <w:rFonts w:ascii="Times New Roman" w:hAnsi="Times New Roman" w:cs="Times New Roman"/>
          <w:sz w:val="24"/>
          <w:szCs w:val="24"/>
        </w:rPr>
        <w:t>1. un 2.daļā</w:t>
      </w:r>
      <w:r w:rsidRPr="005D409A">
        <w:rPr>
          <w:rFonts w:ascii="Times New Roman" w:hAnsi="Times New Roman" w:cs="Times New Roman"/>
          <w:sz w:val="24"/>
          <w:szCs w:val="24"/>
        </w:rPr>
        <w:t xml:space="preserve"> piesaistījusi apakšuzņēmēju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D409A">
        <w:rPr>
          <w:rFonts w:ascii="Times New Roman" w:hAnsi="Times New Roman" w:cs="Times New Roman"/>
          <w:sz w:val="24"/>
          <w:szCs w:val="24"/>
        </w:rPr>
        <w:t xml:space="preserve"> % no kopējā darbu apjoma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5B7B95">
        <w:rPr>
          <w:rFonts w:ascii="Times New Roman" w:hAnsi="Times New Roman" w:cs="Times New Roman"/>
          <w:sz w:val="24"/>
          <w:szCs w:val="24"/>
        </w:rPr>
        <w:t xml:space="preserve">atu centru </w:t>
      </w:r>
      <w:proofErr w:type="spellStart"/>
      <w:r w:rsidRPr="005B7B95">
        <w:rPr>
          <w:rFonts w:ascii="Times New Roman" w:hAnsi="Times New Roman" w:cs="Times New Roman"/>
          <w:sz w:val="24"/>
          <w:szCs w:val="24"/>
        </w:rPr>
        <w:t>mākoņskaitļošanas</w:t>
      </w:r>
      <w:proofErr w:type="spellEnd"/>
      <w:r w:rsidRPr="005B7B9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B7B95">
        <w:rPr>
          <w:rFonts w:ascii="Times New Roman" w:hAnsi="Times New Roman" w:cs="Times New Roman"/>
          <w:sz w:val="24"/>
          <w:szCs w:val="24"/>
        </w:rPr>
        <w:t>mākoņskaitļošanas</w:t>
      </w:r>
      <w:proofErr w:type="spellEnd"/>
      <w:r w:rsidRPr="005B7B95">
        <w:rPr>
          <w:rFonts w:ascii="Times New Roman" w:hAnsi="Times New Roman" w:cs="Times New Roman"/>
          <w:sz w:val="24"/>
          <w:szCs w:val="24"/>
        </w:rPr>
        <w:t xml:space="preserve"> pakalpojumu nodrošināšana saskaņā ar atsevišķi noslēgtu  apakšuzņēmuma līgumu konkrēta pakalpojuma līguma izpildes ietvarā</w:t>
      </w:r>
      <w:r w:rsidRPr="005D409A">
        <w:rPr>
          <w:rFonts w:ascii="Times New Roman" w:hAnsi="Times New Roman" w:cs="Times New Roman"/>
          <w:sz w:val="24"/>
          <w:szCs w:val="24"/>
        </w:rPr>
        <w:t>) – SIA “</w:t>
      </w:r>
      <w:proofErr w:type="spellStart"/>
      <w:r w:rsidRPr="005D409A">
        <w:rPr>
          <w:rFonts w:ascii="Times New Roman" w:hAnsi="Times New Roman" w:cs="Times New Roman"/>
          <w:sz w:val="24"/>
          <w:szCs w:val="24"/>
        </w:rPr>
        <w:t>Tet</w:t>
      </w:r>
      <w:proofErr w:type="spellEnd"/>
      <w:r w:rsidRPr="005D409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Reģ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Nr. </w:t>
      </w:r>
      <w:r w:rsidRPr="00454424">
        <w:rPr>
          <w:rFonts w:ascii="Times New Roman" w:eastAsia="Times New Roman" w:hAnsi="Times New Roman"/>
          <w:color w:val="000000"/>
          <w:sz w:val="24"/>
          <w:szCs w:val="24"/>
        </w:rPr>
        <w:t>40003052786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D409A">
        <w:rPr>
          <w:rFonts w:ascii="Times New Roman" w:hAnsi="Times New Roman" w:cs="Times New Roman"/>
          <w:sz w:val="24"/>
          <w:szCs w:val="24"/>
        </w:rPr>
        <w:t>.</w:t>
      </w:r>
    </w:p>
    <w:p w14:paraId="7CF644ED" w14:textId="77777777" w:rsidR="00AA34AD" w:rsidRDefault="00AA34AD" w:rsidP="00AA34AD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</w:p>
    <w:p w14:paraId="0EBF36F4" w14:textId="77777777" w:rsidR="00AA34AD" w:rsidRDefault="00AA34AD" w:rsidP="00AA34AD">
      <w:pPr>
        <w:pStyle w:val="tv21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Cita informācija:</w:t>
      </w:r>
    </w:p>
    <w:p w14:paraId="58ABF60C" w14:textId="77777777" w:rsidR="00AA34AD" w:rsidRPr="005D409A" w:rsidRDefault="00AA34AD" w:rsidP="00AA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9A">
        <w:rPr>
          <w:rFonts w:ascii="Times New Roman" w:hAnsi="Times New Roman" w:cs="Times New Roman"/>
          <w:sz w:val="24"/>
          <w:szCs w:val="24"/>
        </w:rPr>
        <w:t>Saskaņā ar konkursa Kandidātu atlases vispārīgo prasību 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apakšpunktā noteikto kandidāts, kurš ir atbilstošs visām iepirkuma procedūras dokumentos noteiktajām kvalifikācijas prasībām, tiks iekļauts DIS un tās darbības laikā tiks uzaicināts iesniegt piedāvājumu (izmantojot elektroniskos līdzekļus).</w:t>
      </w:r>
    </w:p>
    <w:p w14:paraId="580B082B" w14:textId="77777777" w:rsidR="00AA34AD" w:rsidRPr="00051CEF" w:rsidRDefault="00AA34AD" w:rsidP="00AA34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09A">
        <w:rPr>
          <w:rFonts w:ascii="Times New Roman" w:hAnsi="Times New Roman" w:cs="Times New Roman"/>
          <w:sz w:val="24"/>
          <w:szCs w:val="24"/>
        </w:rPr>
        <w:lastRenderedPageBreak/>
        <w:t>Saskaņā ar Ministru kabineta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gada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februāra noteikumu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107 “Iepirkuma procedūru un metu konkursu norises kārtība” 187.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punktu un DIS darbības noteikumu 6.7.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</w:rPr>
        <w:t>apakšpunktu</w:t>
      </w:r>
      <w:r>
        <w:t xml:space="preserve"> </w:t>
      </w:r>
      <w:r w:rsidRPr="005D409A">
        <w:rPr>
          <w:rFonts w:ascii="Times New Roman" w:hAnsi="Times New Roman" w:cs="Times New Roman"/>
          <w:sz w:val="24"/>
          <w:szCs w:val="24"/>
          <w:u w:val="single"/>
        </w:rPr>
        <w:t>jebkuram piegādātājam visā DIS darbības laikā pēc DIS izveidošanas</w:t>
      </w:r>
      <w:r w:rsidRPr="005D409A">
        <w:rPr>
          <w:rFonts w:ascii="Times New Roman" w:hAnsi="Times New Roman" w:cs="Times New Roman"/>
          <w:sz w:val="24"/>
          <w:szCs w:val="24"/>
        </w:rPr>
        <w:t xml:space="preserve"> </w:t>
      </w:r>
      <w:r w:rsidRPr="005D409A">
        <w:rPr>
          <w:rFonts w:ascii="Times New Roman" w:hAnsi="Times New Roman" w:cs="Times New Roman"/>
          <w:sz w:val="24"/>
          <w:szCs w:val="24"/>
          <w:u w:val="single"/>
        </w:rPr>
        <w:t>ir tiesības iesniegt DIS pieteikumu un tikt iekļautam sistēmā, ja tas atbilst noteiktajām kandidātu atlases prasībām</w:t>
      </w:r>
      <w:r w:rsidRPr="005D409A">
        <w:rPr>
          <w:rFonts w:ascii="Times New Roman" w:hAnsi="Times New Roman" w:cs="Times New Roman"/>
          <w:sz w:val="24"/>
          <w:szCs w:val="24"/>
        </w:rPr>
        <w:t>, proti, piegādātājs jebkurā laikā var pievienoties DIS, iesniedzot EIS e-konkursu apakšsistēmā korekti noformētu pieteikumu, kurš atbilst visām slēgtā konkursa dokumentos noteiktajām prasībām.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A34AD" w:rsidRPr="005C0BA1" w14:paraId="0E356C20" w14:textId="77777777" w:rsidTr="00907167">
        <w:tc>
          <w:tcPr>
            <w:tcW w:w="9639" w:type="dxa"/>
          </w:tcPr>
          <w:p w14:paraId="3A454358" w14:textId="77777777" w:rsidR="00AA34AD" w:rsidRPr="00454424" w:rsidRDefault="00AA34AD" w:rsidP="00907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4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______________________________________________________________________________Komisijas priekšsēdētāj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54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A34AD" w:rsidRPr="005C0BA1" w14:paraId="372FD7E4" w14:textId="77777777" w:rsidTr="00907167">
        <w:tc>
          <w:tcPr>
            <w:tcW w:w="9639" w:type="dxa"/>
          </w:tcPr>
          <w:p w14:paraId="3281C358" w14:textId="77777777" w:rsidR="00AA34AD" w:rsidRPr="00454424" w:rsidRDefault="00AA34AD" w:rsidP="009071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Elita Kļaviņa</w:t>
            </w:r>
            <w:r w:rsidRPr="00454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(paraksts*)</w:t>
            </w:r>
          </w:p>
        </w:tc>
      </w:tr>
      <w:tr w:rsidR="00AA34AD" w:rsidRPr="005C0BA1" w14:paraId="061AA96B" w14:textId="77777777" w:rsidTr="00907167">
        <w:tc>
          <w:tcPr>
            <w:tcW w:w="9639" w:type="dxa"/>
            <w:hideMark/>
          </w:tcPr>
          <w:p w14:paraId="417A2643" w14:textId="77777777" w:rsidR="00AA34AD" w:rsidRPr="00454424" w:rsidRDefault="00AA34AD" w:rsidP="009071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4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Komisijas loceklis:</w:t>
            </w:r>
          </w:p>
        </w:tc>
      </w:tr>
      <w:tr w:rsidR="00AA34AD" w:rsidRPr="005C0BA1" w14:paraId="467A03C9" w14:textId="77777777" w:rsidTr="00907167">
        <w:trPr>
          <w:trHeight w:val="349"/>
        </w:trPr>
        <w:tc>
          <w:tcPr>
            <w:tcW w:w="9639" w:type="dxa"/>
          </w:tcPr>
          <w:p w14:paraId="47E20F84" w14:textId="77777777" w:rsidR="00AA34AD" w:rsidRPr="00454424" w:rsidRDefault="00AA34AD" w:rsidP="0090716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Artūrs Zemzars</w:t>
            </w:r>
            <w:r w:rsidRPr="00454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(paraksts*)</w:t>
            </w:r>
          </w:p>
        </w:tc>
      </w:tr>
    </w:tbl>
    <w:p w14:paraId="51EFFEC6" w14:textId="77777777" w:rsidR="00AA34A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0DDA14" w14:textId="77777777" w:rsidR="00AA34AD" w:rsidRDefault="00AA34AD" w:rsidP="00AA3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741D89" w14:textId="77777777" w:rsidR="00AA34AD" w:rsidRPr="00386A39" w:rsidRDefault="00AA34AD" w:rsidP="00AA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86A39">
        <w:rPr>
          <w:rFonts w:ascii="Times New Roman" w:eastAsia="Times New Roman" w:hAnsi="Times New Roman" w:cs="Times New Roman"/>
          <w:sz w:val="20"/>
          <w:szCs w:val="20"/>
          <w:lang w:eastAsia="en-US"/>
        </w:rPr>
        <w:t>*DOKUMENTS IR PARAKSTĪTS AR DROŠU ELEKTRONISKO PARAKSTU UN SATUR LAIKA ZĪMOGU</w:t>
      </w:r>
    </w:p>
    <w:p w14:paraId="6E9DFCBD" w14:textId="77777777" w:rsidR="00AA34AD" w:rsidRPr="002A2C0D" w:rsidRDefault="00AA34AD" w:rsidP="00AA34AD">
      <w:pPr>
        <w:pStyle w:val="tv213"/>
        <w:shd w:val="clear" w:color="auto" w:fill="FFFFFF"/>
        <w:spacing w:before="0" w:beforeAutospacing="0" w:after="0" w:afterAutospacing="0"/>
        <w:ind w:left="600"/>
        <w:jc w:val="center"/>
        <w:rPr>
          <w:rFonts w:ascii="Arial" w:hAnsi="Arial" w:cs="Arial"/>
          <w:color w:val="414142"/>
        </w:rPr>
      </w:pPr>
    </w:p>
    <w:p w14:paraId="3DF5D50C" w14:textId="77777777" w:rsidR="00AA34AD" w:rsidRPr="002A2C0D" w:rsidRDefault="00AA34AD" w:rsidP="00AA34AD">
      <w:pPr>
        <w:spacing w:line="240" w:lineRule="auto"/>
        <w:rPr>
          <w:sz w:val="24"/>
          <w:szCs w:val="24"/>
        </w:rPr>
      </w:pPr>
    </w:p>
    <w:p w14:paraId="759622E2" w14:textId="77777777" w:rsidR="00E47D80" w:rsidRDefault="00E47D80"/>
    <w:sectPr w:rsidR="00E47D80" w:rsidSect="00AA34AD">
      <w:pgSz w:w="12240" w:h="15840"/>
      <w:pgMar w:top="1134" w:right="75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8BB"/>
    <w:multiLevelType w:val="hybridMultilevel"/>
    <w:tmpl w:val="903AA2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679AF"/>
    <w:multiLevelType w:val="multilevel"/>
    <w:tmpl w:val="35B6FB8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E601C7"/>
    <w:multiLevelType w:val="hybridMultilevel"/>
    <w:tmpl w:val="C62075B0"/>
    <w:lvl w:ilvl="0" w:tplc="70C827D0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91806930">
    <w:abstractNumId w:val="2"/>
  </w:num>
  <w:num w:numId="2" w16cid:durableId="1089428557">
    <w:abstractNumId w:val="1"/>
  </w:num>
  <w:num w:numId="3" w16cid:durableId="15348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AD"/>
    <w:rsid w:val="001467C2"/>
    <w:rsid w:val="00AA34AD"/>
    <w:rsid w:val="00DE11D3"/>
    <w:rsid w:val="00E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48DB"/>
  <w15:chartTrackingRefBased/>
  <w15:docId w15:val="{B94DD07E-B3EB-4903-9535-A21F8066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D"/>
    <w:rPr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4AD"/>
    <w:rPr>
      <w:b/>
      <w:bCs/>
      <w:smallCaps/>
      <w:color w:val="0F4761" w:themeColor="accent1" w:themeShade="BF"/>
      <w:spacing w:val="5"/>
    </w:rPr>
  </w:style>
  <w:style w:type="paragraph" w:customStyle="1" w:styleId="tv213">
    <w:name w:val="tv213"/>
    <w:basedOn w:val="Normal"/>
    <w:rsid w:val="00AA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3928</Words>
  <Characters>2239</Characters>
  <Application>Microsoft Office Word</Application>
  <DocSecurity>0</DocSecurity>
  <Lines>18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Zemzars</dc:creator>
  <cp:keywords/>
  <dc:description/>
  <cp:lastModifiedBy>Artūrs Zemzars</cp:lastModifiedBy>
  <cp:revision>1</cp:revision>
  <dcterms:created xsi:type="dcterms:W3CDTF">2026-04-17T06:56:00Z</dcterms:created>
  <dcterms:modified xsi:type="dcterms:W3CDTF">2026-04-17T06:58:00Z</dcterms:modified>
</cp:coreProperties>
</file>