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SNP/26/2.8.1/175</w:t>
      </w:r>
    </w:p>
    <w:p w:rsidR="00716EF4" w:rsidP="00716EF4" w14:paraId="01DB9A2B" w14:textId="77777777">
      <w:pPr>
        <w:keepNext/>
        <w:spacing w:line="276" w:lineRule="auto"/>
        <w:outlineLvl w:val="1"/>
        <w:rPr>
          <w:b/>
          <w:bCs/>
          <w:lang w:val="lv-LV"/>
        </w:rPr>
      </w:pPr>
    </w:p>
    <w:p w:rsidR="00716EF4" w:rsidP="0008398D" w14:paraId="60B60663" w14:textId="77777777">
      <w:pPr>
        <w:jc w:val="right"/>
        <w:rPr>
          <w:b/>
          <w:bCs/>
          <w:lang w:val="lv-LV"/>
        </w:rPr>
      </w:pPr>
      <w:r>
        <w:rPr>
          <w:b/>
          <w:bCs/>
          <w:noProof/>
          <w:lang w:val="lv-LV"/>
        </w:rPr>
        <w:t>Pretendentiem atklātā konkursā</w:t>
      </w:r>
    </w:p>
    <w:p w:rsidR="00A40AD0" w:rsidRPr="00A40AD0" w:rsidP="0008398D" w14:paraId="13FE1C67" w14:textId="77777777">
      <w:pPr>
        <w:keepNext/>
        <w:jc w:val="right"/>
        <w:outlineLvl w:val="1"/>
        <w:rPr>
          <w:b/>
          <w:bCs/>
          <w:lang w:val="lv-LV" w:eastAsia="lv-LV"/>
        </w:rPr>
      </w:pPr>
      <w:r w:rsidRPr="00A40AD0">
        <w:rPr>
          <w:b/>
          <w:bCs/>
          <w:lang w:val="lv-LV"/>
        </w:rPr>
        <w:t xml:space="preserve"> </w:t>
      </w:r>
      <w:r w:rsidRPr="00A40AD0">
        <w:rPr>
          <w:b/>
          <w:bCs/>
          <w:lang w:val="lv-LV" w:eastAsia="lv-LV"/>
        </w:rPr>
        <w:t>“Apkures katlu piegāde un nomaiņa Grundzāles pagasta pārvaldes ēkai”,</w:t>
      </w:r>
    </w:p>
    <w:p w:rsidR="00716EF4" w:rsidRPr="00A40AD0" w:rsidP="0008398D" w14:paraId="421FE899" w14:textId="059A8572">
      <w:pPr>
        <w:keepNext/>
        <w:jc w:val="right"/>
        <w:outlineLvl w:val="1"/>
        <w:rPr>
          <w:b/>
          <w:bCs/>
          <w:lang w:val="lv-LV" w:eastAsia="lv-LV"/>
        </w:rPr>
      </w:pPr>
      <w:r w:rsidRPr="00A40AD0">
        <w:rPr>
          <w:b/>
          <w:bCs/>
          <w:lang w:val="lv-LV" w:eastAsia="lv-LV"/>
        </w:rPr>
        <w:t xml:space="preserve"> ID NR. SNP/2026/8/AK</w:t>
      </w:r>
    </w:p>
    <w:p w:rsidR="00716EF4" w:rsidP="00716EF4" w14:paraId="5D2AFDE3" w14:textId="77777777">
      <w:pPr>
        <w:keepNext/>
        <w:spacing w:line="276" w:lineRule="auto"/>
        <w:jc w:val="right"/>
        <w:outlineLvl w:val="1"/>
        <w:rPr>
          <w:lang w:val="lv-LV"/>
        </w:rPr>
      </w:pPr>
    </w:p>
    <w:p w:rsidR="00716EF4" w:rsidP="00716EF4" w14:paraId="555AD22B" w14:textId="77777777">
      <w:pPr>
        <w:keepNext/>
        <w:spacing w:line="276" w:lineRule="auto"/>
        <w:outlineLvl w:val="1"/>
        <w:rPr>
          <w:lang w:val="lv-LV" w:eastAsia="lv-LV"/>
        </w:rPr>
      </w:pPr>
    </w:p>
    <w:p w:rsidR="00716EF4" w:rsidRPr="0092444F" w:rsidP="0008398D" w14:paraId="183D9A42" w14:textId="77777777">
      <w:pPr>
        <w:keepNext/>
        <w:jc w:val="both"/>
        <w:outlineLvl w:val="1"/>
        <w:rPr>
          <w:b/>
          <w:bCs/>
          <w:lang w:val="lv-LV" w:eastAsia="lv-LV"/>
        </w:rPr>
      </w:pPr>
      <w:r w:rsidRPr="0092444F">
        <w:rPr>
          <w:b/>
          <w:bCs/>
          <w:noProof/>
          <w:lang w:val="lv-LV" w:eastAsia="lv-LV"/>
        </w:rPr>
        <w:t>Paziņojums par pieņemto lēmumu atklātā konkursā “Apkures katlu piegāde un nomaiņa Grundzāles pagasta pārvaldes ēkai”, ID NR. SNP/2026/8/AK</w:t>
      </w:r>
    </w:p>
    <w:p w:rsidR="00716EF4" w:rsidP="00716EF4" w14:paraId="0E539944" w14:textId="77777777">
      <w:pPr>
        <w:pStyle w:val="NoSpacing"/>
        <w:jc w:val="center"/>
        <w:rPr>
          <w:rFonts w:ascii="Times New Roman" w:hAnsi="Times New Roman"/>
          <w:sz w:val="24"/>
          <w:szCs w:val="24"/>
        </w:rPr>
      </w:pPr>
    </w:p>
    <w:p w:rsidR="00A40AD0" w:rsidRPr="00A40AD0" w:rsidP="00A40AD0" w14:paraId="138C3439" w14:textId="77777777">
      <w:pPr>
        <w:spacing w:line="276" w:lineRule="auto"/>
        <w:ind w:firstLine="709"/>
        <w:jc w:val="both"/>
        <w:rPr>
          <w:lang w:val="lv-LV"/>
        </w:rPr>
      </w:pPr>
      <w:r>
        <w:tab/>
      </w:r>
      <w:r w:rsidRPr="00A40AD0">
        <w:rPr>
          <w:lang w:val="lv-LV"/>
        </w:rPr>
        <w:t>Atklātā konkursā “Apkures katlu piegāde un nomaiņa Grundzāles pagasta pārvaldes ēkai”, ID NR. SNP/2026/8/AK, (turpmāk – Iepirkums) piedāvājumu iesniedza:</w:t>
      </w:r>
    </w:p>
    <w:tbl>
      <w:tblPr>
        <w:tblStyle w:val="Reatabula2"/>
        <w:tblW w:w="5000" w:type="pct"/>
        <w:tblLook w:val="04A0"/>
      </w:tblPr>
      <w:tblGrid>
        <w:gridCol w:w="1939"/>
        <w:gridCol w:w="2332"/>
        <w:gridCol w:w="2365"/>
        <w:gridCol w:w="2425"/>
      </w:tblGrid>
      <w:tr w14:paraId="2BB3139C" w14:textId="77777777" w:rsidTr="00A40AD0">
        <w:tblPrEx>
          <w:tblW w:w="5000" w:type="pct"/>
          <w:tblLook w:val="04A0"/>
        </w:tblPrEx>
        <w:tc>
          <w:tcPr>
            <w:tcW w:w="1070" w:type="pct"/>
            <w:vMerge w:val="restart"/>
            <w:tcBorders>
              <w:top w:val="single" w:sz="4" w:space="0" w:color="auto"/>
              <w:left w:val="single" w:sz="4" w:space="0" w:color="auto"/>
              <w:right w:val="single" w:sz="4" w:space="0" w:color="auto"/>
            </w:tcBorders>
            <w:shd w:val="clear" w:color="auto" w:fill="C5E0B3"/>
            <w:vAlign w:val="center"/>
          </w:tcPr>
          <w:p w:rsidR="00A40AD0" w:rsidRPr="00A40AD0" w:rsidP="00A40AD0" w14:paraId="04BC1D04" w14:textId="77777777">
            <w:pPr>
              <w:jc w:val="center"/>
              <w:rPr>
                <w:b/>
                <w:bCs/>
                <w:lang w:val="lv-LV"/>
              </w:rPr>
            </w:pPr>
            <w:r w:rsidRPr="00A40AD0">
              <w:rPr>
                <w:b/>
                <w:bCs/>
                <w:lang w:val="lv-LV"/>
              </w:rPr>
              <w:t>Pretendents</w:t>
            </w:r>
          </w:p>
        </w:tc>
        <w:tc>
          <w:tcPr>
            <w:tcW w:w="1287" w:type="pct"/>
            <w:tcBorders>
              <w:top w:val="single" w:sz="4" w:space="0" w:color="auto"/>
              <w:left w:val="single" w:sz="4" w:space="0" w:color="auto"/>
              <w:bottom w:val="single" w:sz="4" w:space="0" w:color="auto"/>
              <w:right w:val="single" w:sz="4" w:space="0" w:color="auto"/>
            </w:tcBorders>
            <w:shd w:val="clear" w:color="auto" w:fill="C5E0B3"/>
            <w:vAlign w:val="center"/>
          </w:tcPr>
          <w:p w:rsidR="00A40AD0" w:rsidRPr="00A40AD0" w:rsidP="00A40AD0" w14:paraId="3FB1DFAB" w14:textId="77777777">
            <w:pPr>
              <w:jc w:val="center"/>
              <w:rPr>
                <w:b/>
                <w:lang w:val="lv-LV"/>
              </w:rPr>
            </w:pPr>
            <w:r w:rsidRPr="00A40AD0">
              <w:rPr>
                <w:b/>
                <w:lang w:val="lv-LV"/>
              </w:rPr>
              <w:t>1.daļa “Apkures katlu nomaiņa 1.kārta”</w:t>
            </w:r>
          </w:p>
        </w:tc>
        <w:tc>
          <w:tcPr>
            <w:tcW w:w="1305" w:type="pct"/>
            <w:tcBorders>
              <w:top w:val="single" w:sz="4" w:space="0" w:color="auto"/>
              <w:left w:val="single" w:sz="4" w:space="0" w:color="auto"/>
              <w:bottom w:val="single" w:sz="4" w:space="0" w:color="auto"/>
              <w:right w:val="single" w:sz="4" w:space="0" w:color="auto"/>
            </w:tcBorders>
            <w:shd w:val="clear" w:color="auto" w:fill="C5E0B3"/>
            <w:vAlign w:val="center"/>
          </w:tcPr>
          <w:p w:rsidR="00A40AD0" w:rsidRPr="00A40AD0" w:rsidP="00A40AD0" w14:paraId="25DE8C53" w14:textId="77777777">
            <w:pPr>
              <w:jc w:val="center"/>
              <w:rPr>
                <w:b/>
                <w:lang w:val="lv-LV"/>
              </w:rPr>
            </w:pPr>
            <w:r w:rsidRPr="00A40AD0">
              <w:rPr>
                <w:b/>
                <w:lang w:val="lv-LV"/>
              </w:rPr>
              <w:t>2.daļa “Apkures katlu nomaiņa 2.kārta”</w:t>
            </w:r>
          </w:p>
        </w:tc>
        <w:tc>
          <w:tcPr>
            <w:tcW w:w="1338" w:type="pct"/>
            <w:vMerge w:val="restart"/>
            <w:tcBorders>
              <w:top w:val="single" w:sz="4" w:space="0" w:color="auto"/>
              <w:left w:val="single" w:sz="4" w:space="0" w:color="auto"/>
              <w:right w:val="single" w:sz="4" w:space="0" w:color="auto"/>
            </w:tcBorders>
            <w:shd w:val="clear" w:color="auto" w:fill="C5E0B3"/>
            <w:vAlign w:val="center"/>
          </w:tcPr>
          <w:p w:rsidR="00A40AD0" w:rsidRPr="00A40AD0" w:rsidP="00A40AD0" w14:paraId="65BA0086" w14:textId="77777777">
            <w:pPr>
              <w:jc w:val="center"/>
              <w:rPr>
                <w:b/>
                <w:lang w:val="lv-LV"/>
              </w:rPr>
            </w:pPr>
            <w:r w:rsidRPr="00A40AD0">
              <w:rPr>
                <w:b/>
                <w:lang w:val="lv-LV"/>
              </w:rPr>
              <w:t>Finanšu piedāvājums kopā par abām daļā, euro bez PVN</w:t>
            </w:r>
          </w:p>
        </w:tc>
      </w:tr>
      <w:tr w14:paraId="1A4DD0D3" w14:textId="77777777" w:rsidTr="00A40AD0">
        <w:tblPrEx>
          <w:tblW w:w="5000" w:type="pct"/>
          <w:tblLook w:val="04A0"/>
        </w:tblPrEx>
        <w:tc>
          <w:tcPr>
            <w:tcW w:w="1070" w:type="pct"/>
            <w:vMerge/>
            <w:tcBorders>
              <w:left w:val="single" w:sz="4" w:space="0" w:color="auto"/>
              <w:bottom w:val="single" w:sz="4" w:space="0" w:color="auto"/>
              <w:right w:val="single" w:sz="4" w:space="0" w:color="auto"/>
            </w:tcBorders>
            <w:shd w:val="pct10" w:color="auto" w:fill="auto"/>
            <w:vAlign w:val="center"/>
            <w:hideMark/>
          </w:tcPr>
          <w:p w:rsidR="00A40AD0" w:rsidRPr="00A40AD0" w:rsidP="00A40AD0" w14:paraId="100415FA" w14:textId="77777777">
            <w:pPr>
              <w:ind w:left="426"/>
              <w:jc w:val="center"/>
              <w:rPr>
                <w:b/>
                <w:bCs/>
                <w:lang w:val="lv-LV"/>
              </w:rPr>
            </w:pPr>
          </w:p>
        </w:tc>
        <w:tc>
          <w:tcPr>
            <w:tcW w:w="128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A40AD0" w:rsidRPr="00A40AD0" w:rsidP="00A40AD0" w14:paraId="07CBC42E" w14:textId="77777777">
            <w:pPr>
              <w:jc w:val="center"/>
              <w:rPr>
                <w:b/>
                <w:bCs/>
                <w:lang w:val="lv-LV"/>
              </w:rPr>
            </w:pPr>
            <w:r w:rsidRPr="00A40AD0">
              <w:rPr>
                <w:b/>
                <w:lang w:val="lv-LV"/>
              </w:rPr>
              <w:t>Finanšu piedāvājums, euro bez PVN</w:t>
            </w:r>
          </w:p>
        </w:tc>
        <w:tc>
          <w:tcPr>
            <w:tcW w:w="1305" w:type="pct"/>
            <w:tcBorders>
              <w:top w:val="single" w:sz="4" w:space="0" w:color="auto"/>
              <w:left w:val="single" w:sz="4" w:space="0" w:color="auto"/>
              <w:bottom w:val="single" w:sz="4" w:space="0" w:color="auto"/>
              <w:right w:val="single" w:sz="4" w:space="0" w:color="auto"/>
            </w:tcBorders>
            <w:shd w:val="clear" w:color="auto" w:fill="C5E0B3"/>
            <w:vAlign w:val="center"/>
          </w:tcPr>
          <w:p w:rsidR="00A40AD0" w:rsidRPr="00A40AD0" w:rsidP="00A40AD0" w14:paraId="2F31E092" w14:textId="77777777">
            <w:pPr>
              <w:jc w:val="center"/>
              <w:rPr>
                <w:b/>
                <w:lang w:val="lv-LV"/>
              </w:rPr>
            </w:pPr>
            <w:r w:rsidRPr="00A40AD0">
              <w:rPr>
                <w:b/>
                <w:lang w:val="lv-LV"/>
              </w:rPr>
              <w:t>Finanšu piedāvājums, euro bez PVN</w:t>
            </w:r>
          </w:p>
        </w:tc>
        <w:tc>
          <w:tcPr>
            <w:tcW w:w="1338" w:type="pct"/>
            <w:vMerge/>
            <w:tcBorders>
              <w:left w:val="single" w:sz="4" w:space="0" w:color="auto"/>
              <w:bottom w:val="single" w:sz="4" w:space="0" w:color="auto"/>
              <w:right w:val="single" w:sz="4" w:space="0" w:color="auto"/>
            </w:tcBorders>
            <w:shd w:val="pct10" w:color="auto" w:fill="auto"/>
            <w:vAlign w:val="center"/>
          </w:tcPr>
          <w:p w:rsidR="00A40AD0" w:rsidRPr="00A40AD0" w:rsidP="00A40AD0" w14:paraId="2780FBEF" w14:textId="77777777">
            <w:pPr>
              <w:jc w:val="center"/>
              <w:rPr>
                <w:b/>
                <w:lang w:val="lv-LV"/>
              </w:rPr>
            </w:pPr>
          </w:p>
        </w:tc>
      </w:tr>
      <w:tr w14:paraId="1FB0786E" w14:textId="77777777" w:rsidTr="00BF6912">
        <w:tblPrEx>
          <w:tblW w:w="5000" w:type="pct"/>
          <w:tblLook w:val="04A0"/>
        </w:tblPrEx>
        <w:tc>
          <w:tcPr>
            <w:tcW w:w="1070" w:type="pct"/>
            <w:tcBorders>
              <w:top w:val="single" w:sz="4" w:space="0" w:color="auto"/>
              <w:left w:val="single" w:sz="4" w:space="0" w:color="auto"/>
              <w:bottom w:val="single" w:sz="4" w:space="0" w:color="auto"/>
              <w:right w:val="single" w:sz="4" w:space="0" w:color="auto"/>
            </w:tcBorders>
            <w:vAlign w:val="center"/>
            <w:hideMark/>
          </w:tcPr>
          <w:p w:rsidR="00A40AD0" w:rsidRPr="00A40AD0" w:rsidP="00A40AD0" w14:paraId="3650EFB1" w14:textId="77777777">
            <w:pPr>
              <w:jc w:val="center"/>
              <w:rPr>
                <w:bCs/>
                <w:lang w:val="lv-LV"/>
              </w:rPr>
            </w:pPr>
            <w:r w:rsidRPr="00A40AD0">
              <w:rPr>
                <w:lang w:val="lv-LV"/>
              </w:rPr>
              <w:t>“FAN” Firma SIA</w:t>
            </w:r>
          </w:p>
        </w:tc>
        <w:tc>
          <w:tcPr>
            <w:tcW w:w="1287"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5A082640" w14:textId="77777777">
            <w:pPr>
              <w:jc w:val="center"/>
              <w:rPr>
                <w:lang w:val="lv-LV"/>
              </w:rPr>
            </w:pPr>
            <w:r w:rsidRPr="00A40AD0">
              <w:rPr>
                <w:lang w:val="lv-LV"/>
              </w:rPr>
              <w:t>74790,75</w:t>
            </w:r>
          </w:p>
        </w:tc>
        <w:tc>
          <w:tcPr>
            <w:tcW w:w="1305"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05B053FF" w14:textId="77777777">
            <w:pPr>
              <w:jc w:val="center"/>
              <w:rPr>
                <w:lang w:val="lv-LV"/>
              </w:rPr>
            </w:pPr>
            <w:r w:rsidRPr="00A40AD0">
              <w:rPr>
                <w:lang w:val="lv-LV"/>
              </w:rPr>
              <w:t>44399,04</w:t>
            </w:r>
          </w:p>
        </w:tc>
        <w:tc>
          <w:tcPr>
            <w:tcW w:w="1338"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589322F2" w14:textId="77777777">
            <w:pPr>
              <w:jc w:val="center"/>
              <w:rPr>
                <w:lang w:val="lv-LV"/>
              </w:rPr>
            </w:pPr>
            <w:r w:rsidRPr="00A40AD0">
              <w:rPr>
                <w:lang w:val="lv-LV"/>
              </w:rPr>
              <w:t>119 189,79</w:t>
            </w:r>
          </w:p>
        </w:tc>
      </w:tr>
      <w:tr w14:paraId="3D75C8B6" w14:textId="77777777" w:rsidTr="00BF6912">
        <w:tblPrEx>
          <w:tblW w:w="5000" w:type="pct"/>
          <w:tblLook w:val="04A0"/>
        </w:tblPrEx>
        <w:tc>
          <w:tcPr>
            <w:tcW w:w="1070" w:type="pct"/>
            <w:tcBorders>
              <w:top w:val="single" w:sz="4" w:space="0" w:color="auto"/>
              <w:left w:val="single" w:sz="4" w:space="0" w:color="auto"/>
              <w:bottom w:val="single" w:sz="4" w:space="0" w:color="auto"/>
              <w:right w:val="single" w:sz="4" w:space="0" w:color="auto"/>
            </w:tcBorders>
            <w:vAlign w:val="center"/>
            <w:hideMark/>
          </w:tcPr>
          <w:p w:rsidR="00A40AD0" w:rsidRPr="00A40AD0" w:rsidP="00A40AD0" w14:paraId="5008D79F" w14:textId="77777777">
            <w:pPr>
              <w:jc w:val="center"/>
              <w:rPr>
                <w:bCs/>
                <w:lang w:val="lv-LV"/>
              </w:rPr>
            </w:pPr>
            <w:r w:rsidRPr="00A40AD0">
              <w:rPr>
                <w:lang w:val="lv-LV"/>
              </w:rPr>
              <w:t>“SANART” SIA</w:t>
            </w:r>
          </w:p>
        </w:tc>
        <w:tc>
          <w:tcPr>
            <w:tcW w:w="1287"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7E44C96C" w14:textId="77777777">
            <w:pPr>
              <w:jc w:val="center"/>
              <w:rPr>
                <w:lang w:val="lv-LV"/>
              </w:rPr>
            </w:pPr>
            <w:r w:rsidRPr="00A40AD0">
              <w:rPr>
                <w:lang w:val="lv-LV"/>
              </w:rPr>
              <w:t>116287,47</w:t>
            </w:r>
          </w:p>
        </w:tc>
        <w:tc>
          <w:tcPr>
            <w:tcW w:w="1305"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2FF02C32" w14:textId="77777777">
            <w:pPr>
              <w:jc w:val="center"/>
              <w:rPr>
                <w:lang w:val="lv-LV"/>
              </w:rPr>
            </w:pPr>
            <w:r w:rsidRPr="00A40AD0">
              <w:rPr>
                <w:lang w:val="lv-LV"/>
              </w:rPr>
              <w:t>59996,70</w:t>
            </w:r>
          </w:p>
        </w:tc>
        <w:tc>
          <w:tcPr>
            <w:tcW w:w="1338"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2BDC4CA9" w14:textId="77777777">
            <w:pPr>
              <w:jc w:val="center"/>
              <w:rPr>
                <w:lang w:val="lv-LV"/>
              </w:rPr>
            </w:pPr>
            <w:r w:rsidRPr="00A40AD0">
              <w:rPr>
                <w:lang w:val="lv-LV"/>
              </w:rPr>
              <w:t>176 284,17</w:t>
            </w:r>
          </w:p>
        </w:tc>
      </w:tr>
      <w:tr w14:paraId="4B2B7D35" w14:textId="77777777" w:rsidTr="00BF6912">
        <w:tblPrEx>
          <w:tblW w:w="5000" w:type="pct"/>
          <w:tblLook w:val="04A0"/>
        </w:tblPrEx>
        <w:tc>
          <w:tcPr>
            <w:tcW w:w="1070" w:type="pct"/>
            <w:tcBorders>
              <w:top w:val="single" w:sz="4" w:space="0" w:color="auto"/>
              <w:left w:val="single" w:sz="4" w:space="0" w:color="auto"/>
              <w:bottom w:val="single" w:sz="4" w:space="0" w:color="auto"/>
              <w:right w:val="single" w:sz="4" w:space="0" w:color="auto"/>
            </w:tcBorders>
            <w:vAlign w:val="center"/>
            <w:hideMark/>
          </w:tcPr>
          <w:p w:rsidR="00A40AD0" w:rsidRPr="00A40AD0" w:rsidP="00A40AD0" w14:paraId="6AA1B55F" w14:textId="77777777">
            <w:pPr>
              <w:jc w:val="center"/>
              <w:rPr>
                <w:bCs/>
                <w:lang w:val="lv-LV"/>
              </w:rPr>
            </w:pPr>
            <w:r w:rsidRPr="00A40AD0">
              <w:rPr>
                <w:lang w:val="lv-LV"/>
              </w:rPr>
              <w:t>SIA “Apkure IM”</w:t>
            </w:r>
          </w:p>
        </w:tc>
        <w:tc>
          <w:tcPr>
            <w:tcW w:w="1287"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58B7F3BF" w14:textId="77777777">
            <w:pPr>
              <w:jc w:val="center"/>
              <w:rPr>
                <w:lang w:val="lv-LV"/>
              </w:rPr>
            </w:pPr>
            <w:r w:rsidRPr="00A40AD0">
              <w:rPr>
                <w:lang w:val="lv-LV"/>
              </w:rPr>
              <w:t>68052,86</w:t>
            </w:r>
          </w:p>
        </w:tc>
        <w:tc>
          <w:tcPr>
            <w:tcW w:w="1305"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240ED85B" w14:textId="77777777">
            <w:pPr>
              <w:jc w:val="center"/>
              <w:rPr>
                <w:lang w:val="lv-LV"/>
              </w:rPr>
            </w:pPr>
            <w:r w:rsidRPr="00A40AD0">
              <w:rPr>
                <w:lang w:val="lv-LV"/>
              </w:rPr>
              <w:t>42734,00</w:t>
            </w:r>
          </w:p>
        </w:tc>
        <w:tc>
          <w:tcPr>
            <w:tcW w:w="1338" w:type="pct"/>
            <w:tcBorders>
              <w:top w:val="single" w:sz="4" w:space="0" w:color="auto"/>
              <w:left w:val="single" w:sz="4" w:space="0" w:color="auto"/>
              <w:bottom w:val="single" w:sz="4" w:space="0" w:color="auto"/>
              <w:right w:val="single" w:sz="4" w:space="0" w:color="auto"/>
            </w:tcBorders>
            <w:vAlign w:val="center"/>
          </w:tcPr>
          <w:p w:rsidR="00A40AD0" w:rsidRPr="00A40AD0" w:rsidP="00A40AD0" w14:paraId="688ED919" w14:textId="77777777">
            <w:pPr>
              <w:jc w:val="center"/>
              <w:rPr>
                <w:lang w:val="lv-LV"/>
              </w:rPr>
            </w:pPr>
            <w:r w:rsidRPr="00A40AD0">
              <w:rPr>
                <w:lang w:val="lv-LV"/>
              </w:rPr>
              <w:t>110 786,86</w:t>
            </w:r>
          </w:p>
        </w:tc>
      </w:tr>
    </w:tbl>
    <w:p w:rsidR="00A40AD0" w:rsidRPr="00A40AD0" w:rsidP="0008398D" w14:paraId="5E6F2E06" w14:textId="684271F7">
      <w:pPr>
        <w:tabs>
          <w:tab w:val="left" w:pos="567"/>
        </w:tabs>
        <w:suppressAutoHyphens/>
        <w:jc w:val="both"/>
        <w:rPr>
          <w:shd w:val="clear" w:color="auto" w:fill="FFFFFF"/>
          <w:lang w:val="lv-LV" w:eastAsia="zh-CN"/>
        </w:rPr>
      </w:pPr>
      <w:r w:rsidRPr="00A40AD0">
        <w:rPr>
          <w:shd w:val="clear" w:color="auto" w:fill="FFFFFF"/>
          <w:lang w:val="lv-LV" w:eastAsia="zh-CN"/>
        </w:rPr>
        <w:tab/>
        <w:t xml:space="preserve"> </w:t>
      </w:r>
      <w:r w:rsidRPr="00A40AD0">
        <w:rPr>
          <w:shd w:val="clear" w:color="auto" w:fill="FFFFFF"/>
          <w:lang w:val="lv-LV" w:eastAsia="zh-CN"/>
        </w:rPr>
        <w:tab/>
        <w:t>Atbilstoši Publisko iepirkumu likumam un Iepirkuma nolikuma V.PIEDĀVĀJUMU VĒRTĒŠANA UN IZVĒLES KRITĒRIJI sadaļai, Publisko iepirkumu komisija (turpmāk – Komisija) veic</w:t>
      </w:r>
      <w:r>
        <w:rPr>
          <w:shd w:val="clear" w:color="auto" w:fill="FFFFFF"/>
          <w:lang w:val="lv-LV" w:eastAsia="zh-CN"/>
        </w:rPr>
        <w:t>a</w:t>
      </w:r>
      <w:r w:rsidRPr="00A40AD0">
        <w:rPr>
          <w:shd w:val="clear" w:color="auto" w:fill="FFFFFF"/>
          <w:lang w:val="lv-LV" w:eastAsia="zh-CN"/>
        </w:rPr>
        <w:t xml:space="preserve"> pretendentu iesniegto piedāvājumu vērtēšanu slēgtā sēdē. Komisija konstatē</w:t>
      </w:r>
      <w:r>
        <w:rPr>
          <w:shd w:val="clear" w:color="auto" w:fill="FFFFFF"/>
          <w:lang w:val="lv-LV" w:eastAsia="zh-CN"/>
        </w:rPr>
        <w:t>ja</w:t>
      </w:r>
      <w:r w:rsidRPr="00A40AD0">
        <w:rPr>
          <w:shd w:val="clear" w:color="auto" w:fill="FFFFFF"/>
          <w:lang w:val="lv-LV" w:eastAsia="zh-CN"/>
        </w:rPr>
        <w:t>, ka:</w:t>
      </w:r>
    </w:p>
    <w:p w:rsidR="00A40AD0" w:rsidRPr="00A40AD0" w:rsidP="00A40AD0" w14:paraId="6A4578DD" w14:textId="239DEC84">
      <w:pPr>
        <w:numPr>
          <w:ilvl w:val="0"/>
          <w:numId w:val="1"/>
        </w:numPr>
        <w:suppressAutoHyphens/>
        <w:spacing w:line="276" w:lineRule="auto"/>
        <w:ind w:left="426"/>
        <w:jc w:val="both"/>
        <w:rPr>
          <w:rFonts w:ascii="Calibri" w:hAnsi="Calibri"/>
          <w:sz w:val="22"/>
          <w:szCs w:val="22"/>
          <w:shd w:val="clear" w:color="auto" w:fill="FFFFFF"/>
          <w:lang w:val="lv-LV" w:eastAsia="zh-CN"/>
        </w:rPr>
      </w:pPr>
      <w:bookmarkStart w:id="0" w:name="_Hlk225347361"/>
      <w:r w:rsidRPr="00A40AD0">
        <w:rPr>
          <w:b/>
          <w:bCs/>
          <w:shd w:val="clear" w:color="auto" w:fill="FFFFFF"/>
          <w:lang w:val="lv-LV" w:eastAsia="zh-CN"/>
        </w:rPr>
        <w:t>Firma SIA “FAN”, reģistrācijas numurs</w:t>
      </w:r>
      <w:r w:rsidRPr="00A40AD0">
        <w:rPr>
          <w:rFonts w:ascii="Calibri" w:hAnsi="Calibri"/>
          <w:sz w:val="22"/>
          <w:szCs w:val="22"/>
          <w:lang w:val="lv-LV" w:eastAsia="lv-LV"/>
        </w:rPr>
        <w:t xml:space="preserve"> </w:t>
      </w:r>
      <w:bookmarkEnd w:id="0"/>
      <w:r w:rsidRPr="00A40AD0">
        <w:rPr>
          <w:b/>
          <w:bCs/>
          <w:shd w:val="clear" w:color="auto" w:fill="FFFFFF"/>
          <w:lang w:val="lv-LV" w:eastAsia="zh-CN"/>
        </w:rPr>
        <w:t>40003099626,</w:t>
      </w:r>
      <w:r w:rsidRPr="00A40AD0">
        <w:rPr>
          <w:shd w:val="clear" w:color="auto" w:fill="FFFFFF"/>
          <w:lang w:val="lv-LV" w:eastAsia="zh-CN"/>
        </w:rPr>
        <w:t xml:space="preserve"> piedāvājums </w:t>
      </w:r>
      <w:r w:rsidRPr="00A40AD0">
        <w:rPr>
          <w:u w:val="single"/>
          <w:shd w:val="clear" w:color="auto" w:fill="FFFFFF"/>
          <w:lang w:val="lv-LV" w:eastAsia="zh-CN"/>
        </w:rPr>
        <w:t>daļēji atbilst</w:t>
      </w:r>
      <w:r w:rsidRPr="00A40AD0">
        <w:rPr>
          <w:shd w:val="clear" w:color="auto" w:fill="FFFFFF"/>
          <w:lang w:val="lv-LV" w:eastAsia="zh-CN"/>
        </w:rPr>
        <w:t xml:space="preserve"> Iepirkuma prasībām un aritmētiskās kļūdas finanšu piedāvājumā netika konstatētas. </w:t>
      </w:r>
    </w:p>
    <w:p w:rsidR="00A40AD0" w:rsidRPr="00A40AD0" w:rsidP="00A40AD0" w14:paraId="063AAA94" w14:textId="28A2479B">
      <w:pPr>
        <w:numPr>
          <w:ilvl w:val="0"/>
          <w:numId w:val="1"/>
        </w:numPr>
        <w:suppressAutoHyphens/>
        <w:spacing w:line="276" w:lineRule="auto"/>
        <w:ind w:left="426"/>
        <w:jc w:val="both"/>
        <w:rPr>
          <w:rFonts w:ascii="Calibri" w:hAnsi="Calibri"/>
          <w:sz w:val="22"/>
          <w:szCs w:val="22"/>
          <w:shd w:val="clear" w:color="auto" w:fill="FFFFFF"/>
          <w:lang w:val="lv-LV" w:eastAsia="zh-CN"/>
        </w:rPr>
      </w:pPr>
      <w:r w:rsidRPr="00A40AD0">
        <w:rPr>
          <w:b/>
          <w:bCs/>
          <w:shd w:val="clear" w:color="auto" w:fill="FFFFFF"/>
          <w:lang w:val="lv-LV" w:eastAsia="zh-CN"/>
        </w:rPr>
        <w:t>Sabiedrība ar ierobežotu atbildību “SANART”, reģistrācijas numurs 44103043748</w:t>
      </w:r>
      <w:r w:rsidRPr="00A40AD0">
        <w:rPr>
          <w:shd w:val="clear" w:color="auto" w:fill="FFFFFF"/>
          <w:lang w:val="lv-LV" w:eastAsia="zh-CN"/>
        </w:rPr>
        <w:t xml:space="preserve">, piedāvājums </w:t>
      </w:r>
      <w:r w:rsidRPr="00A40AD0">
        <w:rPr>
          <w:u w:val="single"/>
          <w:shd w:val="clear" w:color="auto" w:fill="FFFFFF"/>
          <w:lang w:val="lv-LV" w:eastAsia="zh-CN"/>
        </w:rPr>
        <w:t>atbilst</w:t>
      </w:r>
      <w:r w:rsidRPr="00A40AD0">
        <w:rPr>
          <w:shd w:val="clear" w:color="auto" w:fill="FFFFFF"/>
          <w:lang w:val="lv-LV" w:eastAsia="zh-CN"/>
        </w:rPr>
        <w:t xml:space="preserve"> Iepirkuma prasībām un aritmētiskās kļūdas finanšu piedāvājumā netik</w:t>
      </w:r>
      <w:r>
        <w:rPr>
          <w:shd w:val="clear" w:color="auto" w:fill="FFFFFF"/>
          <w:lang w:val="lv-LV" w:eastAsia="zh-CN"/>
        </w:rPr>
        <w:t>a</w:t>
      </w:r>
      <w:r w:rsidRPr="00A40AD0">
        <w:rPr>
          <w:shd w:val="clear" w:color="auto" w:fill="FFFFFF"/>
          <w:lang w:val="lv-LV" w:eastAsia="zh-CN"/>
        </w:rPr>
        <w:t xml:space="preserve"> konstatētas. Piedāvātajam būvprojekta vadītājam četri objekti.</w:t>
      </w:r>
    </w:p>
    <w:p w:rsidR="00A40AD0" w:rsidRPr="00A40AD0" w:rsidP="00A40AD0" w14:paraId="13AE9FA6" w14:textId="7C873806">
      <w:pPr>
        <w:numPr>
          <w:ilvl w:val="0"/>
          <w:numId w:val="1"/>
        </w:numPr>
        <w:suppressAutoHyphens/>
        <w:spacing w:line="276" w:lineRule="auto"/>
        <w:ind w:left="426"/>
        <w:jc w:val="both"/>
        <w:rPr>
          <w:shd w:val="clear" w:color="auto" w:fill="FFFFFF"/>
          <w:lang w:val="lv-LV" w:eastAsia="zh-CN"/>
        </w:rPr>
      </w:pPr>
      <w:r w:rsidRPr="00A40AD0">
        <w:rPr>
          <w:b/>
          <w:bCs/>
          <w:shd w:val="clear" w:color="auto" w:fill="FFFFFF"/>
          <w:lang w:val="lv-LV" w:eastAsia="zh-CN"/>
        </w:rPr>
        <w:t>SIA “Apkure IM”, reģistrācijas numurs 40203435871,</w:t>
      </w:r>
      <w:r w:rsidRPr="00A40AD0">
        <w:rPr>
          <w:shd w:val="clear" w:color="auto" w:fill="FFFFFF"/>
          <w:lang w:val="lv-LV" w:eastAsia="zh-CN"/>
        </w:rPr>
        <w:t xml:space="preserve"> piedāvājums </w:t>
      </w:r>
      <w:r w:rsidRPr="00A40AD0">
        <w:rPr>
          <w:u w:val="single"/>
          <w:shd w:val="clear" w:color="auto" w:fill="FFFFFF"/>
          <w:lang w:val="lv-LV" w:eastAsia="zh-CN"/>
        </w:rPr>
        <w:t>daļēji atbilst</w:t>
      </w:r>
      <w:r w:rsidRPr="00A40AD0">
        <w:rPr>
          <w:shd w:val="clear" w:color="auto" w:fill="FFFFFF"/>
          <w:lang w:val="lv-LV" w:eastAsia="zh-CN"/>
        </w:rPr>
        <w:t xml:space="preserve"> Iepirkuma prasībām un aritmētiskās kļūdas finanšu piedāvājumā netika konstatētas. </w:t>
      </w:r>
    </w:p>
    <w:p w:rsidR="00A40AD0" w:rsidP="00A40AD0" w14:paraId="57CDC57F" w14:textId="77777777">
      <w:pPr>
        <w:suppressAutoHyphens/>
        <w:ind w:left="66"/>
        <w:jc w:val="both"/>
        <w:rPr>
          <w:lang w:val="lv-LV"/>
        </w:rPr>
      </w:pPr>
      <w:r w:rsidRPr="00A40AD0">
        <w:rPr>
          <w:shd w:val="clear" w:color="auto" w:fill="FFFFFF"/>
          <w:lang w:val="lv-LV" w:eastAsia="zh-CN"/>
        </w:rPr>
        <w:t>Atbilstoši Iepirkuma nolikuma 33.3.2.punktam, ja Komisija konstatē, piedāvājumā ietvertā informācija ir neskaidra vai nepilnīga, Komisija pieprasa, lai iesniedz skaidrojumu vai papildina minēto informāciju.</w:t>
      </w:r>
      <w:r>
        <w:rPr>
          <w:shd w:val="clear" w:color="auto" w:fill="FFFFFF"/>
          <w:lang w:val="lv-LV" w:eastAsia="zh-CN"/>
        </w:rPr>
        <w:t xml:space="preserve"> </w:t>
      </w:r>
      <w:r w:rsidRPr="00A40AD0">
        <w:rPr>
          <w:lang w:val="lv-LV"/>
        </w:rPr>
        <w:t xml:space="preserve">Komisija lūdza iesniegt skaidrojumu par uzrādīto pieredzei SIA </w:t>
      </w:r>
      <w:r w:rsidRPr="00A40AD0">
        <w:rPr>
          <w:lang w:val="lv-LV"/>
        </w:rPr>
        <w:t>Firma “FAN” un SIA “Apkure IM”. Pretendenti iesniedza skaidrojumu par uzrādīto pieredzi noteiktajā termiņā.</w:t>
      </w:r>
    </w:p>
    <w:p w:rsidR="00A40AD0" w:rsidRPr="00A40AD0" w:rsidP="00A40AD0" w14:paraId="33709645" w14:textId="6C457309">
      <w:pPr>
        <w:suppressAutoHyphens/>
        <w:ind w:left="66" w:firstLine="654"/>
        <w:jc w:val="both"/>
        <w:rPr>
          <w:lang w:val="lv-LV"/>
        </w:rPr>
      </w:pPr>
      <w:r w:rsidRPr="00A40AD0">
        <w:rPr>
          <w:lang w:val="lv-LV"/>
        </w:rPr>
        <w:t>Atbilstoši Publisko iepirkumu likumam un Iepirkuma nolikuma V.PIEDĀVĀJUMU VĒRTĒŠANA UN IZVĒLES KRITĒRIJI sadaļai, Publisko iepirkumu komisija (turpmāk – Komisija) veic</w:t>
      </w:r>
      <w:r>
        <w:rPr>
          <w:lang w:val="lv-LV"/>
        </w:rPr>
        <w:t>a</w:t>
      </w:r>
      <w:r w:rsidRPr="00A40AD0">
        <w:rPr>
          <w:lang w:val="lv-LV"/>
        </w:rPr>
        <w:t xml:space="preserve"> pretendentu iesniegto piedāvājumu vērtēšanu slēgtā sēdē. Komisija konstatē</w:t>
      </w:r>
      <w:r>
        <w:rPr>
          <w:lang w:val="lv-LV"/>
        </w:rPr>
        <w:t>ja</w:t>
      </w:r>
      <w:r w:rsidRPr="00A40AD0">
        <w:rPr>
          <w:lang w:val="lv-LV"/>
        </w:rPr>
        <w:t>, ka:</w:t>
      </w:r>
    </w:p>
    <w:p w:rsidR="00A40AD0" w:rsidRPr="00A40AD0" w:rsidP="00A40AD0" w14:paraId="0141A252" w14:textId="3F5B0499">
      <w:pPr>
        <w:numPr>
          <w:ilvl w:val="0"/>
          <w:numId w:val="1"/>
        </w:numPr>
        <w:suppressAutoHyphens/>
        <w:ind w:left="426"/>
        <w:jc w:val="both"/>
        <w:rPr>
          <w:rFonts w:ascii="Calibri" w:hAnsi="Calibri"/>
          <w:sz w:val="22"/>
          <w:szCs w:val="22"/>
          <w:shd w:val="clear" w:color="auto" w:fill="FFFFFF"/>
          <w:lang w:val="lv-LV" w:eastAsia="zh-CN"/>
        </w:rPr>
      </w:pPr>
      <w:r w:rsidRPr="00A40AD0">
        <w:rPr>
          <w:b/>
          <w:bCs/>
          <w:shd w:val="clear" w:color="auto" w:fill="FFFFFF"/>
          <w:lang w:val="lv-LV" w:eastAsia="zh-CN"/>
        </w:rPr>
        <w:t>Firma SIA “FAN”, reģistrācijas numurs</w:t>
      </w:r>
      <w:r w:rsidRPr="00A40AD0">
        <w:rPr>
          <w:rFonts w:ascii="Calibri" w:hAnsi="Calibri"/>
          <w:sz w:val="22"/>
          <w:szCs w:val="22"/>
          <w:lang w:val="lv-LV" w:eastAsia="lv-LV"/>
        </w:rPr>
        <w:t xml:space="preserve"> </w:t>
      </w:r>
      <w:r w:rsidRPr="00A40AD0">
        <w:rPr>
          <w:b/>
          <w:bCs/>
          <w:shd w:val="clear" w:color="auto" w:fill="FFFFFF"/>
          <w:lang w:val="lv-LV" w:eastAsia="zh-CN"/>
        </w:rPr>
        <w:t>40003099626,</w:t>
      </w:r>
      <w:r w:rsidRPr="00A40AD0">
        <w:rPr>
          <w:shd w:val="clear" w:color="auto" w:fill="FFFFFF"/>
          <w:lang w:val="lv-LV" w:eastAsia="zh-CN"/>
        </w:rPr>
        <w:t xml:space="preserve"> piedāvājums </w:t>
      </w:r>
      <w:r w:rsidRPr="00A40AD0">
        <w:rPr>
          <w:b/>
          <w:bCs/>
          <w:u w:val="single"/>
          <w:shd w:val="clear" w:color="auto" w:fill="FFFFFF"/>
          <w:lang w:val="lv-LV" w:eastAsia="zh-CN"/>
        </w:rPr>
        <w:t>atbilst</w:t>
      </w:r>
      <w:r w:rsidRPr="00A40AD0">
        <w:rPr>
          <w:shd w:val="clear" w:color="auto" w:fill="FFFFFF"/>
          <w:lang w:val="lv-LV" w:eastAsia="zh-CN"/>
        </w:rPr>
        <w:t xml:space="preserve"> Iepirkuma prasībām. Piedāvātajam būvprojekta vadītājam ir viens atbilstošs objekts.</w:t>
      </w:r>
    </w:p>
    <w:p w:rsidR="00A40AD0" w:rsidRPr="00A40AD0" w:rsidP="00A40AD0" w14:paraId="4DFCE1AE" w14:textId="77777777">
      <w:pPr>
        <w:numPr>
          <w:ilvl w:val="0"/>
          <w:numId w:val="1"/>
        </w:numPr>
        <w:suppressAutoHyphens/>
        <w:ind w:left="426"/>
        <w:jc w:val="both"/>
        <w:rPr>
          <w:rFonts w:ascii="Calibri" w:hAnsi="Calibri"/>
          <w:sz w:val="22"/>
          <w:szCs w:val="22"/>
          <w:shd w:val="clear" w:color="auto" w:fill="FFFFFF"/>
          <w:lang w:val="lv-LV" w:eastAsia="zh-CN"/>
        </w:rPr>
      </w:pPr>
      <w:r w:rsidRPr="00A40AD0">
        <w:rPr>
          <w:b/>
          <w:bCs/>
          <w:shd w:val="clear" w:color="auto" w:fill="FFFFFF"/>
          <w:lang w:val="lv-LV" w:eastAsia="zh-CN"/>
        </w:rPr>
        <w:t>Sabiedrība ar ierobežotu atbildību “SANART”, reģistrācijas numurs 44103043748</w:t>
      </w:r>
      <w:r w:rsidRPr="00A40AD0">
        <w:rPr>
          <w:shd w:val="clear" w:color="auto" w:fill="FFFFFF"/>
          <w:lang w:val="lv-LV" w:eastAsia="zh-CN"/>
        </w:rPr>
        <w:t xml:space="preserve">, piedāvājums </w:t>
      </w:r>
      <w:r w:rsidRPr="00A40AD0">
        <w:rPr>
          <w:b/>
          <w:bCs/>
          <w:u w:val="single"/>
          <w:shd w:val="clear" w:color="auto" w:fill="FFFFFF"/>
          <w:lang w:val="lv-LV" w:eastAsia="zh-CN"/>
        </w:rPr>
        <w:t>atbilst</w:t>
      </w:r>
      <w:r w:rsidRPr="00A40AD0">
        <w:rPr>
          <w:shd w:val="clear" w:color="auto" w:fill="FFFFFF"/>
          <w:lang w:val="lv-LV" w:eastAsia="zh-CN"/>
        </w:rPr>
        <w:t xml:space="preserve"> Iepirkuma prasībām. Piedāvātajam būvprojekta vadītājam četri objekti.</w:t>
      </w:r>
    </w:p>
    <w:p w:rsidR="00A40AD0" w:rsidRPr="00A40AD0" w:rsidP="00A40AD0" w14:paraId="796AAB66" w14:textId="77777777">
      <w:pPr>
        <w:numPr>
          <w:ilvl w:val="0"/>
          <w:numId w:val="1"/>
        </w:numPr>
        <w:suppressAutoHyphens/>
        <w:ind w:left="426"/>
        <w:jc w:val="both"/>
        <w:rPr>
          <w:shd w:val="clear" w:color="auto" w:fill="FFFFFF"/>
          <w:lang w:val="lv-LV" w:eastAsia="zh-CN"/>
        </w:rPr>
      </w:pPr>
      <w:r w:rsidRPr="00A40AD0">
        <w:rPr>
          <w:b/>
          <w:bCs/>
          <w:shd w:val="clear" w:color="auto" w:fill="FFFFFF"/>
          <w:lang w:val="lv-LV" w:eastAsia="zh-CN"/>
        </w:rPr>
        <w:t>SIA “Apkure IM”, reģistrācijas numurs 40203435871,</w:t>
      </w:r>
      <w:r w:rsidRPr="00A40AD0">
        <w:rPr>
          <w:shd w:val="clear" w:color="auto" w:fill="FFFFFF"/>
          <w:lang w:val="lv-LV" w:eastAsia="zh-CN"/>
        </w:rPr>
        <w:t xml:space="preserve"> piedāvājums </w:t>
      </w:r>
      <w:r w:rsidRPr="00A40AD0">
        <w:rPr>
          <w:b/>
          <w:bCs/>
          <w:u w:val="single"/>
          <w:shd w:val="clear" w:color="auto" w:fill="FFFFFF"/>
          <w:lang w:val="lv-LV" w:eastAsia="zh-CN"/>
        </w:rPr>
        <w:t>atbilst</w:t>
      </w:r>
      <w:r w:rsidRPr="00A40AD0">
        <w:rPr>
          <w:shd w:val="clear" w:color="auto" w:fill="FFFFFF"/>
          <w:lang w:val="lv-LV" w:eastAsia="zh-CN"/>
        </w:rPr>
        <w:t xml:space="preserve"> Iepirkuma prasībām.</w:t>
      </w:r>
      <w:r w:rsidRPr="00A40AD0">
        <w:rPr>
          <w:rFonts w:ascii="Calibri" w:hAnsi="Calibri"/>
          <w:sz w:val="22"/>
          <w:szCs w:val="22"/>
          <w:lang w:val="lv-LV" w:eastAsia="lv-LV"/>
        </w:rPr>
        <w:t xml:space="preserve"> </w:t>
      </w:r>
      <w:r w:rsidRPr="00A40AD0">
        <w:rPr>
          <w:shd w:val="clear" w:color="auto" w:fill="FFFFFF"/>
          <w:lang w:val="lv-LV" w:eastAsia="zh-CN"/>
        </w:rPr>
        <w:t>Piedāvātajam būvprojekta vadītājam četri objekti.</w:t>
      </w:r>
    </w:p>
    <w:p w:rsidR="00A40AD0" w:rsidRPr="00A40AD0" w:rsidP="00A40AD0" w14:paraId="0C3E4F89" w14:textId="77777777">
      <w:pPr>
        <w:ind w:firstLine="709"/>
        <w:jc w:val="both"/>
        <w:rPr>
          <w:lang w:val="lv-LV"/>
        </w:rPr>
      </w:pPr>
      <w:r w:rsidRPr="00A40AD0">
        <w:rPr>
          <w:lang w:val="lv-LV"/>
        </w:rPr>
        <w:t>Atbilstoši Iepirkuma nolikuma 2.12. punktam, piedāvājuma izvēles kritērijs  ir saimnieciski visizdevīgākais piedāvājums, ņemot noteiktos vērtēšanas kritērijus. Piedāvājumi, kas tika virzīti uz saimnieciski izdevīgākā piedāvājuma vērtēšanu:</w:t>
      </w:r>
    </w:p>
    <w:tbl>
      <w:tblPr>
        <w:tblW w:w="9067" w:type="dxa"/>
        <w:tblLayout w:type="fixed"/>
        <w:tblLook w:val="0000"/>
      </w:tblPr>
      <w:tblGrid>
        <w:gridCol w:w="3681"/>
        <w:gridCol w:w="3260"/>
        <w:gridCol w:w="2126"/>
      </w:tblGrid>
      <w:tr w14:paraId="0C70AB18" w14:textId="77777777" w:rsidTr="00A40AD0">
        <w:tblPrEx>
          <w:tblW w:w="9067" w:type="dxa"/>
          <w:tblLayout w:type="fixed"/>
          <w:tblLook w:val="0000"/>
        </w:tblPrEx>
        <w:trPr>
          <w:trHeight w:val="416"/>
        </w:trPr>
        <w:tc>
          <w:tcPr>
            <w:tcW w:w="3681"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4D7DE866" w14:textId="77777777">
            <w:pPr>
              <w:suppressAutoHyphens/>
              <w:contextualSpacing/>
              <w:jc w:val="center"/>
              <w:rPr>
                <w:b/>
                <w:lang w:val="lv-LV" w:eastAsia="zh-CN"/>
              </w:rPr>
            </w:pPr>
            <w:r w:rsidRPr="00A40AD0">
              <w:rPr>
                <w:b/>
                <w:bCs/>
                <w:lang w:val="lv-LV" w:eastAsia="zh-CN"/>
              </w:rPr>
              <w:t>Pretendents</w:t>
            </w:r>
          </w:p>
        </w:tc>
        <w:tc>
          <w:tcPr>
            <w:tcW w:w="3260"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724982A5" w14:textId="77777777">
            <w:pPr>
              <w:suppressAutoHyphens/>
              <w:contextualSpacing/>
              <w:jc w:val="center"/>
              <w:rPr>
                <w:b/>
                <w:lang w:val="lv-LV" w:eastAsia="zh-CN"/>
              </w:rPr>
            </w:pPr>
            <w:r w:rsidRPr="00A40AD0">
              <w:rPr>
                <w:b/>
                <w:bCs/>
                <w:lang w:val="lv-LV" w:eastAsia="lv-LV"/>
              </w:rPr>
              <w:t xml:space="preserve">Finanšu piedāvājums, EUR bez PVN, </w:t>
            </w:r>
            <w:r w:rsidRPr="00A40AD0">
              <w:rPr>
                <w:i/>
                <w:iCs/>
                <w:lang w:val="lv-LV" w:eastAsia="lv-LV"/>
              </w:rPr>
              <w:t>(abas daļas)</w:t>
            </w:r>
          </w:p>
        </w:tc>
        <w:tc>
          <w:tcPr>
            <w:tcW w:w="2126"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0925DBDF" w14:textId="77777777">
            <w:pPr>
              <w:suppressAutoHyphens/>
              <w:contextualSpacing/>
              <w:jc w:val="center"/>
              <w:rPr>
                <w:b/>
                <w:lang w:val="lv-LV" w:eastAsia="zh-CN"/>
              </w:rPr>
            </w:pPr>
            <w:r w:rsidRPr="00A40AD0">
              <w:rPr>
                <w:b/>
                <w:bCs/>
                <w:lang w:val="lv-LV" w:eastAsia="lv-LV"/>
              </w:rPr>
              <w:t>Būvprojekta vadītāja pieredze</w:t>
            </w:r>
          </w:p>
        </w:tc>
      </w:tr>
      <w:tr w14:paraId="702450F0" w14:textId="77777777" w:rsidTr="00A40AD0">
        <w:tblPrEx>
          <w:tblW w:w="9067" w:type="dxa"/>
          <w:tblLayout w:type="fixed"/>
          <w:tblLook w:val="0000"/>
        </w:tblPrEx>
        <w:trPr>
          <w:trHeight w:val="122"/>
        </w:trPr>
        <w:tc>
          <w:tcPr>
            <w:tcW w:w="3681"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59606A38" w14:textId="77777777">
            <w:pPr>
              <w:contextualSpacing/>
              <w:jc w:val="center"/>
              <w:rPr>
                <w:shd w:val="clear" w:color="auto" w:fill="FFFFFF"/>
                <w:lang w:val="lv-LV" w:eastAsia="zh-CN"/>
              </w:rPr>
            </w:pPr>
            <w:r w:rsidRPr="00A40AD0">
              <w:rPr>
                <w:shd w:val="clear" w:color="auto" w:fill="FFFFFF"/>
                <w:lang w:val="lv-LV" w:eastAsia="zh-CN"/>
              </w:rPr>
              <w:t>“FAN” Firma SIA</w:t>
            </w:r>
          </w:p>
        </w:tc>
        <w:tc>
          <w:tcPr>
            <w:tcW w:w="3260"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62D7D084" w14:textId="77777777">
            <w:pPr>
              <w:contextualSpacing/>
              <w:jc w:val="center"/>
              <w:rPr>
                <w:lang w:val="lv-LV"/>
              </w:rPr>
            </w:pPr>
            <w:r w:rsidRPr="00A40AD0">
              <w:rPr>
                <w:lang w:val="lv-LV"/>
              </w:rPr>
              <w:t>119 189,79</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0C67408E" w14:textId="77777777">
            <w:pPr>
              <w:suppressAutoHyphens/>
              <w:contextualSpacing/>
              <w:jc w:val="center"/>
              <w:rPr>
                <w:lang w:val="lv-LV" w:eastAsia="zh-CN"/>
              </w:rPr>
            </w:pPr>
            <w:r w:rsidRPr="00A40AD0">
              <w:rPr>
                <w:lang w:val="lv-LV" w:eastAsia="zh-CN"/>
              </w:rPr>
              <w:t>1</w:t>
            </w:r>
          </w:p>
        </w:tc>
      </w:tr>
      <w:tr w14:paraId="17AE724B" w14:textId="77777777" w:rsidTr="00A40AD0">
        <w:tblPrEx>
          <w:tblW w:w="9067" w:type="dxa"/>
          <w:tblLayout w:type="fixed"/>
          <w:tblLook w:val="0000"/>
        </w:tblPrEx>
        <w:trPr>
          <w:trHeight w:val="122"/>
        </w:trPr>
        <w:tc>
          <w:tcPr>
            <w:tcW w:w="3681"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3C4200B9" w14:textId="77777777">
            <w:pPr>
              <w:contextualSpacing/>
              <w:jc w:val="center"/>
              <w:rPr>
                <w:lang w:val="lv-LV"/>
              </w:rPr>
            </w:pPr>
            <w:r w:rsidRPr="00A40AD0">
              <w:rPr>
                <w:shd w:val="clear" w:color="auto" w:fill="FFFFFF"/>
                <w:lang w:val="lv-LV" w:eastAsia="zh-CN"/>
              </w:rPr>
              <w:t>Sabiedrība ar ierobežotu atbildību “SANART”</w:t>
            </w:r>
          </w:p>
        </w:tc>
        <w:tc>
          <w:tcPr>
            <w:tcW w:w="3260"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4B2284A9" w14:textId="77777777">
            <w:pPr>
              <w:contextualSpacing/>
              <w:jc w:val="center"/>
              <w:rPr>
                <w:lang w:val="lv-LV"/>
              </w:rPr>
            </w:pPr>
            <w:r w:rsidRPr="00A40AD0">
              <w:rPr>
                <w:lang w:val="lv-LV"/>
              </w:rPr>
              <w:t>176284,17</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06481DDE" w14:textId="77777777">
            <w:pPr>
              <w:suppressAutoHyphens/>
              <w:contextualSpacing/>
              <w:jc w:val="center"/>
              <w:rPr>
                <w:lang w:val="lv-LV" w:eastAsia="zh-CN"/>
              </w:rPr>
            </w:pPr>
            <w:r w:rsidRPr="00A40AD0">
              <w:rPr>
                <w:lang w:val="lv-LV" w:eastAsia="zh-CN"/>
              </w:rPr>
              <w:t>4</w:t>
            </w:r>
          </w:p>
        </w:tc>
      </w:tr>
      <w:tr w14:paraId="3F5906E9" w14:textId="77777777" w:rsidTr="00A40AD0">
        <w:tblPrEx>
          <w:tblW w:w="9067" w:type="dxa"/>
          <w:tblLayout w:type="fixed"/>
          <w:tblLook w:val="0000"/>
        </w:tblPrEx>
        <w:trPr>
          <w:trHeight w:val="122"/>
        </w:trPr>
        <w:tc>
          <w:tcPr>
            <w:tcW w:w="3681"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1A6353E8" w14:textId="77777777">
            <w:pPr>
              <w:contextualSpacing/>
              <w:jc w:val="center"/>
              <w:rPr>
                <w:lang w:val="lv-LV"/>
              </w:rPr>
            </w:pPr>
            <w:r w:rsidRPr="00A40AD0">
              <w:rPr>
                <w:shd w:val="clear" w:color="auto" w:fill="FFFFFF"/>
                <w:lang w:val="lv-LV" w:eastAsia="zh-CN"/>
              </w:rPr>
              <w:t>SIA “Apkure IM”</w:t>
            </w:r>
          </w:p>
        </w:tc>
        <w:tc>
          <w:tcPr>
            <w:tcW w:w="3260"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6F96A8A5" w14:textId="77777777">
            <w:pPr>
              <w:contextualSpacing/>
              <w:jc w:val="center"/>
              <w:rPr>
                <w:lang w:val="lv-LV"/>
              </w:rPr>
            </w:pPr>
            <w:r w:rsidRPr="00A40AD0">
              <w:rPr>
                <w:lang w:val="lv-LV"/>
              </w:rPr>
              <w:t>110786,86</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01D0B915" w14:textId="77777777">
            <w:pPr>
              <w:suppressAutoHyphens/>
              <w:contextualSpacing/>
              <w:jc w:val="center"/>
              <w:rPr>
                <w:lang w:val="lv-LV" w:eastAsia="zh-CN"/>
              </w:rPr>
            </w:pPr>
            <w:r w:rsidRPr="00A40AD0">
              <w:rPr>
                <w:lang w:val="lv-LV" w:eastAsia="zh-CN"/>
              </w:rPr>
              <w:t>4</w:t>
            </w:r>
          </w:p>
        </w:tc>
      </w:tr>
    </w:tbl>
    <w:p w:rsidR="00A40AD0" w:rsidRPr="00A40AD0" w:rsidP="00A40AD0" w14:paraId="556AFFE6" w14:textId="77777777">
      <w:pPr>
        <w:spacing w:line="276" w:lineRule="auto"/>
        <w:jc w:val="both"/>
        <w:rPr>
          <w:lang w:val="lv-LV"/>
        </w:rPr>
      </w:pPr>
      <w:r w:rsidRPr="00A40AD0">
        <w:rPr>
          <w:lang w:val="lv-LV"/>
        </w:rPr>
        <w:t>Iegūtās skaitliskās vērtības pēc komisijas locekļu individuālās vērtēšanas:</w:t>
      </w:r>
    </w:p>
    <w:tbl>
      <w:tblPr>
        <w:tblW w:w="9067" w:type="dxa"/>
        <w:tblLayout w:type="fixed"/>
        <w:tblLook w:val="0000"/>
      </w:tblPr>
      <w:tblGrid>
        <w:gridCol w:w="3256"/>
        <w:gridCol w:w="2126"/>
        <w:gridCol w:w="1843"/>
        <w:gridCol w:w="1842"/>
      </w:tblGrid>
      <w:tr w14:paraId="14DA0E48" w14:textId="77777777" w:rsidTr="00A40AD0">
        <w:tblPrEx>
          <w:tblW w:w="9067" w:type="dxa"/>
          <w:tblLayout w:type="fixed"/>
          <w:tblLook w:val="0000"/>
        </w:tblPrEx>
        <w:trPr>
          <w:trHeight w:val="834"/>
        </w:trPr>
        <w:tc>
          <w:tcPr>
            <w:tcW w:w="3256"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04E7F094" w14:textId="77777777">
            <w:pPr>
              <w:suppressAutoHyphens/>
              <w:contextualSpacing/>
              <w:jc w:val="center"/>
              <w:rPr>
                <w:b/>
                <w:lang w:val="lv-LV" w:eastAsia="zh-CN"/>
              </w:rPr>
            </w:pPr>
            <w:r w:rsidRPr="00A40AD0">
              <w:rPr>
                <w:b/>
                <w:bCs/>
                <w:lang w:val="lv-LV" w:eastAsia="zh-CN"/>
              </w:rPr>
              <w:t>Pretendents</w:t>
            </w:r>
          </w:p>
        </w:tc>
        <w:tc>
          <w:tcPr>
            <w:tcW w:w="2126"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5104FEF5" w14:textId="77777777">
            <w:pPr>
              <w:suppressAutoHyphens/>
              <w:contextualSpacing/>
              <w:jc w:val="center"/>
              <w:rPr>
                <w:lang w:val="lv-LV" w:eastAsia="lv-LV"/>
              </w:rPr>
            </w:pPr>
            <w:r w:rsidRPr="00A40AD0">
              <w:rPr>
                <w:b/>
                <w:bCs/>
                <w:lang w:val="lv-LV" w:eastAsia="lv-LV"/>
              </w:rPr>
              <w:t>Finanšu piedāvājums, EUR bez PVN</w:t>
            </w:r>
          </w:p>
          <w:p w:rsidR="00A40AD0" w:rsidRPr="00A40AD0" w:rsidP="00A40AD0" w14:paraId="47B5E8C0" w14:textId="77777777">
            <w:pPr>
              <w:suppressAutoHyphens/>
              <w:contextualSpacing/>
              <w:jc w:val="center"/>
              <w:rPr>
                <w:b/>
                <w:lang w:val="lv-LV" w:eastAsia="zh-CN"/>
              </w:rPr>
            </w:pPr>
            <w:r w:rsidRPr="00A40AD0">
              <w:rPr>
                <w:i/>
                <w:iCs/>
                <w:lang w:val="lv-LV" w:eastAsia="lv-LV"/>
              </w:rPr>
              <w:t>(abas daļas)</w:t>
            </w:r>
          </w:p>
        </w:tc>
        <w:tc>
          <w:tcPr>
            <w:tcW w:w="1843"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28AEEF3C" w14:textId="77777777">
            <w:pPr>
              <w:suppressAutoHyphens/>
              <w:contextualSpacing/>
              <w:jc w:val="center"/>
              <w:rPr>
                <w:b/>
                <w:lang w:val="lv-LV" w:eastAsia="zh-CN"/>
              </w:rPr>
            </w:pPr>
            <w:r w:rsidRPr="00A40AD0">
              <w:rPr>
                <w:b/>
                <w:bCs/>
                <w:lang w:val="lv-LV" w:eastAsia="lv-LV"/>
              </w:rPr>
              <w:t>Būvprojekta vadītāja pieredze</w:t>
            </w:r>
          </w:p>
        </w:tc>
        <w:tc>
          <w:tcPr>
            <w:tcW w:w="1842"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A40AD0" w:rsidRPr="00A40AD0" w:rsidP="00A40AD0" w14:paraId="5A1C9056" w14:textId="77777777">
            <w:pPr>
              <w:suppressAutoHyphens/>
              <w:contextualSpacing/>
              <w:jc w:val="center"/>
              <w:rPr>
                <w:b/>
                <w:bCs/>
                <w:lang w:val="lv-LV" w:eastAsia="lv-LV"/>
              </w:rPr>
            </w:pPr>
            <w:r w:rsidRPr="00A40AD0">
              <w:rPr>
                <w:b/>
                <w:bCs/>
                <w:lang w:val="lv-LV" w:eastAsia="lv-LV"/>
              </w:rPr>
              <w:t>Kopējais iegūtais punktu skaits</w:t>
            </w:r>
          </w:p>
        </w:tc>
      </w:tr>
      <w:tr w14:paraId="0C7FABF4" w14:textId="77777777" w:rsidTr="00A40AD0">
        <w:tblPrEx>
          <w:tblW w:w="9067" w:type="dxa"/>
          <w:tblLayout w:type="fixed"/>
          <w:tblLook w:val="0000"/>
        </w:tblPrEx>
        <w:trPr>
          <w:trHeight w:val="122"/>
        </w:trPr>
        <w:tc>
          <w:tcPr>
            <w:tcW w:w="325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0C62AE3C" w14:textId="77777777">
            <w:pPr>
              <w:contextualSpacing/>
              <w:jc w:val="center"/>
              <w:rPr>
                <w:b/>
                <w:bCs/>
                <w:shd w:val="clear" w:color="auto" w:fill="FFFFFF"/>
                <w:lang w:val="lv-LV" w:eastAsia="zh-CN"/>
              </w:rPr>
            </w:pPr>
            <w:r w:rsidRPr="00A40AD0">
              <w:rPr>
                <w:b/>
                <w:bCs/>
                <w:shd w:val="clear" w:color="auto" w:fill="FFFFFF"/>
                <w:lang w:val="lv-LV" w:eastAsia="zh-CN"/>
              </w:rPr>
              <w:t>“FAN” Firma SIA</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40C2F19D" w14:textId="77777777">
            <w:pPr>
              <w:contextualSpacing/>
              <w:jc w:val="center"/>
              <w:rPr>
                <w:lang w:val="lv-LV"/>
              </w:rPr>
            </w:pPr>
            <w:r w:rsidRPr="00A40AD0">
              <w:rPr>
                <w:lang w:val="lv-LV"/>
              </w:rPr>
              <w:t>65,06</w:t>
            </w:r>
          </w:p>
        </w:tc>
        <w:tc>
          <w:tcPr>
            <w:tcW w:w="1843"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11BBE842" w14:textId="77777777">
            <w:pPr>
              <w:suppressAutoHyphens/>
              <w:contextualSpacing/>
              <w:jc w:val="center"/>
              <w:rPr>
                <w:lang w:val="lv-LV" w:eastAsia="zh-CN"/>
              </w:rPr>
            </w:pPr>
            <w:r w:rsidRPr="00A40AD0">
              <w:rPr>
                <w:lang w:val="lv-LV" w:eastAsia="zh-CN"/>
              </w:rPr>
              <w:t>0</w:t>
            </w:r>
          </w:p>
        </w:tc>
        <w:tc>
          <w:tcPr>
            <w:tcW w:w="1842"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70C9E5BE" w14:textId="77777777">
            <w:pPr>
              <w:suppressAutoHyphens/>
              <w:contextualSpacing/>
              <w:jc w:val="center"/>
              <w:rPr>
                <w:lang w:val="lv-LV" w:eastAsia="zh-CN"/>
              </w:rPr>
            </w:pPr>
            <w:r w:rsidRPr="00A40AD0">
              <w:rPr>
                <w:lang w:val="lv-LV" w:eastAsia="zh-CN"/>
              </w:rPr>
              <w:t>65,06</w:t>
            </w:r>
          </w:p>
        </w:tc>
      </w:tr>
      <w:tr w14:paraId="2C6FB63C" w14:textId="77777777" w:rsidTr="00A40AD0">
        <w:tblPrEx>
          <w:tblW w:w="9067" w:type="dxa"/>
          <w:tblLayout w:type="fixed"/>
          <w:tblLook w:val="0000"/>
        </w:tblPrEx>
        <w:trPr>
          <w:trHeight w:val="122"/>
        </w:trPr>
        <w:tc>
          <w:tcPr>
            <w:tcW w:w="325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18F461EC" w14:textId="77777777">
            <w:pPr>
              <w:contextualSpacing/>
              <w:jc w:val="center"/>
              <w:rPr>
                <w:lang w:val="lv-LV"/>
              </w:rPr>
            </w:pPr>
            <w:r w:rsidRPr="00A40AD0">
              <w:rPr>
                <w:b/>
                <w:bCs/>
                <w:shd w:val="clear" w:color="auto" w:fill="FFFFFF"/>
                <w:lang w:val="lv-LV" w:eastAsia="zh-CN"/>
              </w:rPr>
              <w:t>Sabiedrība ar ierobežotu atbildību “SANART”</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725D49A3" w14:textId="77777777">
            <w:pPr>
              <w:contextualSpacing/>
              <w:jc w:val="center"/>
              <w:rPr>
                <w:lang w:val="lv-LV"/>
              </w:rPr>
            </w:pPr>
            <w:r w:rsidRPr="00A40AD0">
              <w:rPr>
                <w:lang w:val="lv-LV"/>
              </w:rPr>
              <w:t>43,99</w:t>
            </w:r>
          </w:p>
        </w:tc>
        <w:tc>
          <w:tcPr>
            <w:tcW w:w="1843"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7FDEE72D" w14:textId="77777777">
            <w:pPr>
              <w:suppressAutoHyphens/>
              <w:contextualSpacing/>
              <w:jc w:val="center"/>
              <w:rPr>
                <w:lang w:val="lv-LV" w:eastAsia="zh-CN"/>
              </w:rPr>
            </w:pPr>
            <w:r w:rsidRPr="00A40AD0">
              <w:rPr>
                <w:lang w:val="lv-LV" w:eastAsia="zh-CN"/>
              </w:rPr>
              <w:t>30</w:t>
            </w:r>
          </w:p>
        </w:tc>
        <w:tc>
          <w:tcPr>
            <w:tcW w:w="1842"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25579805" w14:textId="77777777">
            <w:pPr>
              <w:suppressAutoHyphens/>
              <w:contextualSpacing/>
              <w:jc w:val="center"/>
              <w:rPr>
                <w:lang w:val="lv-LV" w:eastAsia="zh-CN"/>
              </w:rPr>
            </w:pPr>
            <w:r w:rsidRPr="00A40AD0">
              <w:rPr>
                <w:lang w:val="lv-LV" w:eastAsia="zh-CN"/>
              </w:rPr>
              <w:t>73,99</w:t>
            </w:r>
          </w:p>
        </w:tc>
      </w:tr>
      <w:tr w14:paraId="44D4C5C7" w14:textId="77777777" w:rsidTr="00A40AD0">
        <w:tblPrEx>
          <w:tblW w:w="9067" w:type="dxa"/>
          <w:tblLayout w:type="fixed"/>
          <w:tblLook w:val="0000"/>
        </w:tblPrEx>
        <w:trPr>
          <w:trHeight w:val="122"/>
        </w:trPr>
        <w:tc>
          <w:tcPr>
            <w:tcW w:w="325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54AEDB09" w14:textId="77777777">
            <w:pPr>
              <w:contextualSpacing/>
              <w:jc w:val="center"/>
              <w:rPr>
                <w:lang w:val="lv-LV"/>
              </w:rPr>
            </w:pPr>
            <w:r w:rsidRPr="00A40AD0">
              <w:rPr>
                <w:b/>
                <w:bCs/>
                <w:shd w:val="clear" w:color="auto" w:fill="FFFFFF"/>
                <w:lang w:val="lv-LV" w:eastAsia="zh-CN"/>
              </w:rPr>
              <w:t>SIA “Apkure IM”</w:t>
            </w:r>
          </w:p>
        </w:tc>
        <w:tc>
          <w:tcPr>
            <w:tcW w:w="2126"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5315CDCC" w14:textId="77777777">
            <w:pPr>
              <w:contextualSpacing/>
              <w:jc w:val="center"/>
              <w:rPr>
                <w:lang w:val="lv-LV"/>
              </w:rPr>
            </w:pPr>
            <w:r w:rsidRPr="00A40AD0">
              <w:rPr>
                <w:lang w:val="lv-LV"/>
              </w:rPr>
              <w:t>70,00</w:t>
            </w:r>
          </w:p>
        </w:tc>
        <w:tc>
          <w:tcPr>
            <w:tcW w:w="1843"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0684E9AC" w14:textId="77777777">
            <w:pPr>
              <w:suppressAutoHyphens/>
              <w:contextualSpacing/>
              <w:jc w:val="center"/>
              <w:rPr>
                <w:lang w:val="lv-LV" w:eastAsia="zh-CN"/>
              </w:rPr>
            </w:pPr>
            <w:r w:rsidRPr="00A40AD0">
              <w:rPr>
                <w:lang w:val="lv-LV" w:eastAsia="zh-CN"/>
              </w:rPr>
              <w:t>30</w:t>
            </w:r>
          </w:p>
        </w:tc>
        <w:tc>
          <w:tcPr>
            <w:tcW w:w="1842" w:type="dxa"/>
            <w:tcBorders>
              <w:top w:val="single" w:sz="4" w:space="0" w:color="000000"/>
              <w:left w:val="single" w:sz="4" w:space="0" w:color="000000"/>
              <w:bottom w:val="single" w:sz="4" w:space="0" w:color="000000"/>
              <w:right w:val="single" w:sz="4" w:space="0" w:color="000000"/>
            </w:tcBorders>
            <w:vAlign w:val="center"/>
          </w:tcPr>
          <w:p w:rsidR="00A40AD0" w:rsidRPr="00A40AD0" w:rsidP="00A40AD0" w14:paraId="340527CD" w14:textId="77777777">
            <w:pPr>
              <w:suppressAutoHyphens/>
              <w:contextualSpacing/>
              <w:jc w:val="center"/>
              <w:rPr>
                <w:lang w:val="lv-LV" w:eastAsia="zh-CN"/>
              </w:rPr>
            </w:pPr>
            <w:r w:rsidRPr="00A40AD0">
              <w:rPr>
                <w:lang w:val="lv-LV" w:eastAsia="zh-CN"/>
              </w:rPr>
              <w:t>100,00</w:t>
            </w:r>
          </w:p>
        </w:tc>
      </w:tr>
    </w:tbl>
    <w:p w:rsidR="00A40AD0" w:rsidRPr="00A40AD0" w:rsidP="0008398D" w14:paraId="31B4491F" w14:textId="3BF2CE76">
      <w:pPr>
        <w:ind w:firstLine="720"/>
        <w:jc w:val="both"/>
        <w:rPr>
          <w:bCs/>
          <w:lang w:val="lv-LV"/>
        </w:rPr>
      </w:pPr>
      <w:r w:rsidRPr="00A40AD0">
        <w:rPr>
          <w:bCs/>
          <w:lang w:val="lv-LV"/>
        </w:rPr>
        <w:t>Komisija par saimnieciski izdevīgāko atz</w:t>
      </w:r>
      <w:r>
        <w:rPr>
          <w:bCs/>
          <w:lang w:val="lv-LV"/>
        </w:rPr>
        <w:t xml:space="preserve">ina </w:t>
      </w:r>
      <w:r w:rsidRPr="00A40AD0">
        <w:rPr>
          <w:bCs/>
          <w:lang w:val="lv-LV"/>
        </w:rPr>
        <w:t>SIA “Apkure IM”. Komisija par potenciālo uzvarētāju atz</w:t>
      </w:r>
      <w:r>
        <w:rPr>
          <w:bCs/>
          <w:lang w:val="lv-LV"/>
        </w:rPr>
        <w:t>ina</w:t>
      </w:r>
      <w:r w:rsidRPr="00A40AD0">
        <w:rPr>
          <w:bCs/>
          <w:lang w:val="lv-LV"/>
        </w:rPr>
        <w:t xml:space="preserve"> SIA “Apkure IM”, reģistrācijas numurs 40203435871. </w:t>
      </w:r>
    </w:p>
    <w:p w:rsidR="00A40AD0" w:rsidRPr="00A40AD0" w:rsidP="0008398D" w14:paraId="6C65FE54" w14:textId="011FB437">
      <w:pPr>
        <w:ind w:firstLine="720"/>
        <w:jc w:val="both"/>
        <w:rPr>
          <w:bCs/>
          <w:lang w:val="lv-LV"/>
        </w:rPr>
      </w:pPr>
      <w:r w:rsidRPr="00A40AD0">
        <w:rPr>
          <w:bCs/>
          <w:lang w:val="lv-LV"/>
        </w:rPr>
        <w:t>Komisija, pamatojoties uz Sankciju likuma 11.</w:t>
      </w:r>
      <w:r w:rsidRPr="00A40AD0">
        <w:rPr>
          <w:bCs/>
          <w:vertAlign w:val="superscript"/>
          <w:lang w:val="lv-LV"/>
        </w:rPr>
        <w:t>1</w:t>
      </w:r>
      <w:r w:rsidRPr="00A40AD0">
        <w:rPr>
          <w:bCs/>
          <w:lang w:val="lv-LV"/>
        </w:rPr>
        <w:t xml:space="preserve"> pantu, pārbaud</w:t>
      </w:r>
      <w:r>
        <w:rPr>
          <w:bCs/>
          <w:lang w:val="lv-LV"/>
        </w:rPr>
        <w:t>īja</w:t>
      </w:r>
      <w:r w:rsidRPr="00A40AD0">
        <w:rPr>
          <w:bCs/>
          <w:lang w:val="lv-LV"/>
        </w:rPr>
        <w:t xml:space="preserve"> vai uz pretendentu SIA “Apkure IM”, reģistrācijas numurs 40203435871,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21.maijā. Komisija konstatēja, ka sankcijas, pretendentam nav piemērotas.</w:t>
      </w:r>
    </w:p>
    <w:p w:rsidR="00A40AD0" w:rsidRPr="00A40AD0" w:rsidP="0008398D" w14:paraId="1FDAD514" w14:textId="17E0054F">
      <w:pPr>
        <w:ind w:firstLine="720"/>
        <w:jc w:val="both"/>
        <w:rPr>
          <w:bCs/>
          <w:lang w:val="lv-LV"/>
        </w:rPr>
      </w:pPr>
      <w:r w:rsidRPr="00A40AD0">
        <w:rPr>
          <w:bCs/>
          <w:lang w:val="lv-LV"/>
        </w:rPr>
        <w:t>Saskaņā ar Publisko iepirkumu likuma 42. panta izslēgšanas nosacījumiem un atbilstoši 2022.gada 20.decembra Ministru kabineta noteikumiem Nr.816 “Publisko elektronisko iepirkumu noteikumi”, Komisija pārbaudīja informāciju e-izziņu sistēmā- www.eis.gov.lv (uz piedāvājumu iesniegšanas termiņa pēdējo dienu 24.04.2026. un lēmuma par iespējamu līguma slēgšanas tiesību piešķiršanu pieņemšanas dienu 21.05.2026.) par potenciālo uzvarētāju SIA “Apkure IM”, reģistrācijas numurs 40203435871, konstatējot, ka uz pretendentu, attiecas Publisko iepirkumu likuma 42. panta otrās daļas 1., 2., 3., 4., 5., un 6.punkta izslēgšanas nosacījumi.</w:t>
      </w:r>
      <w:r w:rsidRPr="00A40AD0">
        <w:rPr>
          <w:bCs/>
          <w:i/>
          <w:iCs/>
          <w:lang w:val="lv-LV"/>
        </w:rPr>
        <w:t xml:space="preserve"> </w:t>
      </w:r>
    </w:p>
    <w:p w:rsidR="00A40AD0" w:rsidRPr="00A40AD0" w:rsidP="0008398D" w14:paraId="292D1DC9" w14:textId="7617131E">
      <w:pPr>
        <w:ind w:firstLine="720"/>
        <w:jc w:val="both"/>
        <w:rPr>
          <w:bCs/>
          <w:lang w:val="lv-LV"/>
        </w:rPr>
      </w:pPr>
      <w:r w:rsidRPr="00A40AD0">
        <w:rPr>
          <w:bCs/>
          <w:lang w:val="lv-LV"/>
        </w:rPr>
        <w:t xml:space="preserve">Par iepriekš neizpildītām līguma saistībām, Komisija par pretendentu SIA “Apkure IM”, reģistrācijas numurs 40203435871, veica pārbaudi Iepirkumu uzraudzības biroja līgumu reģistrā, konstatējot, ka neattiecas Publisko iepirkumu likuma 42.panta otrās daļas 10. punkta izslēgšanas nosacījums. </w:t>
      </w:r>
    </w:p>
    <w:p w:rsidR="00A40AD0" w:rsidRPr="00A40AD0" w:rsidP="0008398D" w14:paraId="42DC605E" w14:textId="7805FE35">
      <w:pPr>
        <w:jc w:val="both"/>
        <w:rPr>
          <w:bCs/>
          <w:color w:val="EE0000"/>
          <w:lang w:val="lv-LV"/>
        </w:rPr>
      </w:pPr>
      <w:r w:rsidRPr="00A40AD0">
        <w:rPr>
          <w:bCs/>
          <w:color w:val="EE0000"/>
          <w:lang w:val="lv-LV"/>
        </w:rPr>
        <w:t xml:space="preserve"> </w:t>
      </w:r>
      <w:r w:rsidRPr="00A40AD0">
        <w:rPr>
          <w:bCs/>
          <w:color w:val="EE0000"/>
          <w:lang w:val="lv-LV"/>
        </w:rPr>
        <w:tab/>
      </w:r>
      <w:r w:rsidRPr="00A40AD0">
        <w:rPr>
          <w:bCs/>
          <w:lang w:val="lv-LV"/>
        </w:rPr>
        <w:t xml:space="preserve">Par konkurences tiesību pārkāpumiem, attiecībā uz pretendentu SIA “Apkure IM”, reģistrācijas numurs 40203435871, Komisija veica pārbaudi Konkurences padomes interneta </w:t>
      </w:r>
      <w:r w:rsidRPr="00A40AD0">
        <w:rPr>
          <w:bCs/>
          <w:lang w:val="lv-LV"/>
        </w:rPr>
        <w:t xml:space="preserve">mājaslapā “Lēmumi” sadaļā, konstatējot, ka Publisko iepirkumu likuma 42.panta otrās daļas 7.punkts, neattiecas. </w:t>
      </w:r>
    </w:p>
    <w:p w:rsidR="00A40AD0" w:rsidRPr="00A40AD0" w:rsidP="0008398D" w14:paraId="1B69C068" w14:textId="351CBEE5">
      <w:pPr>
        <w:ind w:firstLine="720"/>
        <w:jc w:val="both"/>
        <w:rPr>
          <w:bCs/>
          <w:lang w:val="lv-LV"/>
        </w:rPr>
      </w:pPr>
      <w:r w:rsidRPr="00A40AD0">
        <w:rPr>
          <w:bCs/>
          <w:lang w:val="lv-LV"/>
        </w:rPr>
        <w:t>Komisija konstatēja, ka uz SIA “Apkure IM”, reģistrācijas numurs 40203435871, neattiecas Publisko iepirkuma likuma 42.panta otrās daļas 11.-14.punkta izslēgšanas nosacījumi.</w:t>
      </w:r>
    </w:p>
    <w:p w:rsidR="00A40AD0" w:rsidRPr="00A40AD0" w:rsidP="0008398D" w14:paraId="10DD5D6F" w14:textId="268DE7D1">
      <w:pPr>
        <w:ind w:firstLine="709"/>
        <w:jc w:val="both"/>
        <w:rPr>
          <w:b/>
          <w:lang w:val="lv-LV" w:eastAsia="zh-CN"/>
        </w:rPr>
      </w:pPr>
      <w:r w:rsidRPr="00A40AD0">
        <w:rPr>
          <w:lang w:val="lv-LV"/>
        </w:rPr>
        <w:t>Pēc Komisijas lūguma SIA “Apkure IM” iesniedza informāciju uzticamības atjaunošanai. Izskatot sniegto dokumentu kopu, Komisija secin</w:t>
      </w:r>
      <w:r>
        <w:rPr>
          <w:lang w:val="lv-LV"/>
        </w:rPr>
        <w:t>āja</w:t>
      </w:r>
      <w:r w:rsidRPr="00A40AD0">
        <w:rPr>
          <w:lang w:val="lv-LV"/>
        </w:rPr>
        <w:t xml:space="preserve">, ka pretendents veicis nepieciešamos pasākumus un atjauno uzticamību. Līdz ar to Komisija par uzvarētāju atzīst SIA “Apkure IM”, reģistrācijas numurs </w:t>
      </w:r>
      <w:r w:rsidRPr="00A40AD0">
        <w:rPr>
          <w:bCs/>
          <w:lang w:val="lv-LV" w:eastAsia="zh-CN"/>
        </w:rPr>
        <w:t>40203435871.</w:t>
      </w:r>
    </w:p>
    <w:p w:rsidR="00A40AD0" w:rsidRPr="00A40AD0" w:rsidP="0008398D" w14:paraId="17561ECE" w14:textId="0396A6FB">
      <w:pPr>
        <w:suppressAutoHyphens/>
        <w:autoSpaceDE w:val="0"/>
        <w:ind w:firstLine="567"/>
        <w:jc w:val="both"/>
        <w:rPr>
          <w:b/>
          <w:szCs w:val="22"/>
          <w:u w:val="single"/>
          <w:lang w:val="lv-LV" w:eastAsia="zh-CN"/>
        </w:rPr>
      </w:pPr>
      <w:r w:rsidRPr="00A40AD0">
        <w:rPr>
          <w:lang w:val="lv-LV" w:eastAsia="zh-CN"/>
        </w:rPr>
        <w:t xml:space="preserve">Pamatojoties uz Publisko iepirkumu likuma 26.panta pirmo daļu, vienbalsīgi balsojot “Par”, Publisko iepirkumu komisija atklātā konkursā “Apkures katlu piegāde un nomaiņa Grundzāles pagasta pārvaldes ēkai”, ID NR. SNP/2026/8/AK, </w:t>
      </w:r>
      <w:r w:rsidRPr="00A40AD0">
        <w:rPr>
          <w:b/>
          <w:u w:val="single"/>
          <w:lang w:val="lv-LV" w:eastAsia="zh-CN"/>
        </w:rPr>
        <w:t>NOL</w:t>
      </w:r>
      <w:r>
        <w:rPr>
          <w:b/>
          <w:u w:val="single"/>
          <w:lang w:val="lv-LV" w:eastAsia="zh-CN"/>
        </w:rPr>
        <w:t>ĒMA</w:t>
      </w:r>
      <w:r w:rsidRPr="00A40AD0">
        <w:rPr>
          <w:b/>
          <w:u w:val="single"/>
          <w:lang w:val="lv-LV" w:eastAsia="zh-CN"/>
        </w:rPr>
        <w:t>:</w:t>
      </w:r>
    </w:p>
    <w:p w:rsidR="00A40AD0" w:rsidRPr="00A40AD0" w:rsidP="0008398D" w14:paraId="5DE87025" w14:textId="3801F4E4">
      <w:pPr>
        <w:numPr>
          <w:ilvl w:val="0"/>
          <w:numId w:val="2"/>
        </w:numPr>
        <w:spacing w:after="200"/>
        <w:ind w:left="426"/>
        <w:contextualSpacing/>
        <w:jc w:val="both"/>
        <w:rPr>
          <w:color w:val="EE0000"/>
          <w:sz w:val="22"/>
          <w:szCs w:val="22"/>
          <w:lang w:val="lv-LV" w:eastAsia="lv-LV"/>
        </w:rPr>
      </w:pPr>
      <w:r w:rsidRPr="00A40AD0">
        <w:rPr>
          <w:b/>
          <w:lang w:val="lv-LV" w:eastAsia="zh-CN"/>
        </w:rPr>
        <w:t>1.daļā “Apkures katlu nomaiņa 1.kārta” par uzvarētāju atzīt un līguma slēgšanas tiesības piešķirt SIA “Apkure IM”, reģistrācijas numurs 40203435871, par piedāvāto līgumcenu 68052,86 euro (sešdesmit astoņi tūkstoši piecdesmit divi euro un 86 centi) bez PVN apmērā;</w:t>
      </w:r>
    </w:p>
    <w:p w:rsidR="00A40AD0" w:rsidRPr="00A40AD0" w:rsidP="0008398D" w14:paraId="392314D5" w14:textId="77777777">
      <w:pPr>
        <w:numPr>
          <w:ilvl w:val="0"/>
          <w:numId w:val="2"/>
        </w:numPr>
        <w:spacing w:after="200"/>
        <w:ind w:left="426"/>
        <w:contextualSpacing/>
        <w:jc w:val="both"/>
        <w:rPr>
          <w:color w:val="EE0000"/>
          <w:sz w:val="22"/>
          <w:szCs w:val="22"/>
          <w:lang w:val="lv-LV" w:eastAsia="lv-LV"/>
        </w:rPr>
      </w:pPr>
      <w:r w:rsidRPr="00A40AD0">
        <w:rPr>
          <w:b/>
          <w:lang w:val="lv-LV" w:eastAsia="zh-CN"/>
        </w:rPr>
        <w:t>pasūtītājs iepirkuma 1.daļā ir tiesīgs slēgt iepirkuma līgumu tikai pēc tam, kad ir saņemts apstiprinājums par pieejamo finansējumu darbu īstenošanai;</w:t>
      </w:r>
    </w:p>
    <w:p w:rsidR="00A40AD0" w:rsidRPr="00A40AD0" w:rsidP="0008398D" w14:paraId="11E2FD9B" w14:textId="3E1C9FFA">
      <w:pPr>
        <w:numPr>
          <w:ilvl w:val="0"/>
          <w:numId w:val="2"/>
        </w:numPr>
        <w:spacing w:after="200"/>
        <w:ind w:left="426"/>
        <w:contextualSpacing/>
        <w:jc w:val="both"/>
        <w:rPr>
          <w:color w:val="EE0000"/>
          <w:sz w:val="22"/>
          <w:szCs w:val="22"/>
          <w:lang w:val="lv-LV" w:eastAsia="lv-LV"/>
        </w:rPr>
      </w:pPr>
      <w:r w:rsidRPr="00A40AD0">
        <w:rPr>
          <w:b/>
          <w:lang w:val="lv-LV" w:eastAsia="zh-CN"/>
        </w:rPr>
        <w:t>2.daļā “Apkures katlu nomaiņa 2.kārta”</w:t>
      </w:r>
      <w:r w:rsidRPr="00A40AD0">
        <w:rPr>
          <w:rFonts w:ascii="Calibri" w:hAnsi="Calibri"/>
          <w:sz w:val="22"/>
          <w:szCs w:val="22"/>
          <w:lang w:val="lv-LV" w:eastAsia="lv-LV"/>
        </w:rPr>
        <w:t xml:space="preserve"> </w:t>
      </w:r>
      <w:r w:rsidRPr="00A40AD0">
        <w:rPr>
          <w:b/>
          <w:lang w:val="lv-LV" w:eastAsia="zh-CN"/>
        </w:rPr>
        <w:t>par uzvarētāju atzīt un līguma slēgšanas tiesības piešķirt SIA “Apkure IM”, reģistrācijas numurs 40203435871, par piedāvāto līgumcenu 42734,00 euro (četrdesmit divi tūkstoši septiņi simti trīsdesmit četri euro un 00 centi) bez PVN apmērā;</w:t>
      </w:r>
    </w:p>
    <w:p w:rsidR="00A40AD0" w:rsidRPr="00A40AD0" w:rsidP="0008398D" w14:paraId="4C27EF10" w14:textId="77777777">
      <w:pPr>
        <w:numPr>
          <w:ilvl w:val="0"/>
          <w:numId w:val="2"/>
        </w:numPr>
        <w:spacing w:after="200"/>
        <w:ind w:left="426"/>
        <w:contextualSpacing/>
        <w:jc w:val="both"/>
        <w:rPr>
          <w:color w:val="EE0000"/>
          <w:sz w:val="22"/>
          <w:szCs w:val="22"/>
          <w:lang w:val="lv-LV" w:eastAsia="lv-LV"/>
        </w:rPr>
      </w:pPr>
      <w:r w:rsidRPr="00A40AD0">
        <w:rPr>
          <w:b/>
          <w:lang w:val="lv-LV" w:eastAsia="zh-CN"/>
        </w:rPr>
        <w:t>pasūtītājs iepirkuma 2.daļā ir tiesīgs slēgt iepirkuma līgumu tikai pēc tam, kad ir saņemts apstiprinājums par pieejamo finansējumu darbu īstenošanai.</w:t>
      </w:r>
    </w:p>
    <w:p w:rsidR="00A40AD0" w:rsidRPr="00A40AD0" w:rsidP="00A40AD0" w14:paraId="1301F73A" w14:textId="77777777">
      <w:pPr>
        <w:contextualSpacing/>
        <w:jc w:val="both"/>
        <w:rPr>
          <w:i/>
          <w:lang w:val="lv-LV"/>
        </w:rPr>
      </w:pPr>
    </w:p>
    <w:p w:rsidR="00A40AD0" w:rsidRPr="00A40AD0" w:rsidP="00A40AD0" w14:paraId="4D761B59" w14:textId="77777777">
      <w:pPr>
        <w:ind w:firstLine="540"/>
        <w:jc w:val="both"/>
        <w:rPr>
          <w:lang w:val="lv-LV" w:eastAsia="lv-LV"/>
        </w:rPr>
      </w:pPr>
      <w:r w:rsidRPr="00A40AD0">
        <w:rPr>
          <w:lang w:val="lv-LV"/>
        </w:rPr>
        <w:t>Publisko iepirkumu komisijas lēmums stājies spēkā ar tā pieņemšanas brīdi. Tiesības iesniegt iesniegumu par iepirkuma procedūras pārkāpumiem vai pārsūdzēt Iepirkuma Uzraudzības Birojā, Smilšu iela 1, Rīgā, LV-1919, 10 (desmit) dienu laikā</w:t>
      </w:r>
      <w:r w:rsidRPr="00A40AD0">
        <w:rPr>
          <w:lang w:val="lv-LV" w:eastAsia="lv-LV"/>
        </w:rPr>
        <w:t xml:space="preserve"> pēc dienas, kad informācija nosūtīta elektroniski, izmantojot drošu elektronisko parakstu.  </w:t>
      </w:r>
    </w:p>
    <w:p w:rsidR="00716EF4" w:rsidP="00716EF4" w14:paraId="382B7D87" w14:textId="0C85A3CE">
      <w:pPr>
        <w:pStyle w:val="NoSpacing"/>
        <w:jc w:val="both"/>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A40AD0" w:rsidP="00716EF4" w14:paraId="70F5AE83" w14:textId="77777777">
      <w:pPr>
        <w:keepNext/>
        <w:spacing w:line="276" w:lineRule="auto"/>
        <w:jc w:val="both"/>
        <w:outlineLvl w:val="1"/>
        <w:rPr>
          <w:noProof/>
          <w:lang w:val="lv-LV"/>
        </w:rPr>
      </w:pPr>
      <w:r>
        <w:rPr>
          <w:noProof/>
          <w:lang w:val="lv-LV"/>
        </w:rPr>
        <w:t>Smiltenes novada pašvaldības</w:t>
      </w:r>
    </w:p>
    <w:p w:rsidR="00716EF4" w:rsidP="00716EF4" w14:paraId="2DE6B556" w14:textId="2EACA215">
      <w:pPr>
        <w:keepNext/>
        <w:spacing w:line="276" w:lineRule="auto"/>
        <w:jc w:val="both"/>
        <w:outlineLvl w:val="1"/>
        <w:rPr>
          <w:i/>
          <w:sz w:val="18"/>
          <w:szCs w:val="18"/>
          <w:lang w:val="lv-LV" w:eastAsia="lv-LV"/>
        </w:rPr>
      </w:pPr>
      <w:r>
        <w:rPr>
          <w:noProof/>
          <w:lang w:val="lv-LV"/>
        </w:rPr>
        <w:t>Publisko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E3F2774"/>
    <w:multiLevelType w:val="hybridMultilevel"/>
    <w:tmpl w:val="710A1CC2"/>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E7275EC"/>
    <w:multiLevelType w:val="hybridMultilevel"/>
    <w:tmpl w:val="491C411E"/>
    <w:lvl w:ilvl="0">
      <w:start w:val="1"/>
      <w:numFmt w:val="decimal"/>
      <w:lvlText w:val="%1."/>
      <w:lvlJc w:val="left"/>
      <w:pPr>
        <w:ind w:left="720" w:hanging="360"/>
      </w:pPr>
      <w:rPr>
        <w:rFonts w:hint="default"/>
        <w:b/>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1434125">
    <w:abstractNumId w:val="0"/>
  </w:num>
  <w:num w:numId="2" w16cid:durableId="150177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8398D"/>
    <w:rsid w:val="000A51E1"/>
    <w:rsid w:val="000C7DD5"/>
    <w:rsid w:val="000D68C9"/>
    <w:rsid w:val="000E7A3E"/>
    <w:rsid w:val="000F5234"/>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0AD0"/>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00ED"/>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customStyle="1" w:styleId="Reatabula2">
    <w:name w:val="Režģa tabula2"/>
    <w:basedOn w:val="TableNormal"/>
    <w:next w:val="TableGrid"/>
    <w:uiPriority w:val="39"/>
    <w:rsid w:val="00A4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4882</Words>
  <Characters>2783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Andersone Santa</cp:lastModifiedBy>
  <cp:revision>18</cp:revision>
  <dcterms:created xsi:type="dcterms:W3CDTF">2022-12-05T13:01:00Z</dcterms:created>
  <dcterms:modified xsi:type="dcterms:W3CDTF">2026-06-08T06:45:00Z</dcterms:modified>
</cp:coreProperties>
</file>