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2520" w14:textId="77777777" w:rsidR="00EB2F08" w:rsidRPr="00D25D76" w:rsidRDefault="00EB2F08" w:rsidP="00EB2F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Tiesu administrācijas iepirkuma</w:t>
      </w:r>
    </w:p>
    <w:p w14:paraId="22161CFC" w14:textId="1A1D34F1" w:rsidR="00EB2F08" w:rsidRPr="00D25D76" w:rsidRDefault="00EB2F08" w:rsidP="00EB2F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“</w:t>
      </w:r>
      <w:r w:rsidRPr="00EB2F08">
        <w:rPr>
          <w:rFonts w:ascii="Times New Roman" w:eastAsia="Times New Roman" w:hAnsi="Times New Roman" w:cs="Times New Roman"/>
          <w:b/>
          <w:kern w:val="0"/>
          <w14:ligatures w14:val="none"/>
        </w:rPr>
        <w:t>Pasākumu organizēšanas atbalsta pakalpojumi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”</w:t>
      </w:r>
    </w:p>
    <w:p w14:paraId="4562B9A7" w14:textId="19A54D90" w:rsidR="00EB2F08" w:rsidRPr="00D25D76" w:rsidRDefault="00EB2F08" w:rsidP="00EB2F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25D76">
        <w:rPr>
          <w:rFonts w:ascii="Times New Roman" w:eastAsia="Calibri" w:hAnsi="Times New Roman" w:cs="Times New Roman"/>
          <w:b/>
          <w:kern w:val="0"/>
          <w14:ligatures w14:val="none"/>
        </w:rPr>
        <w:t>TA202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D25D76">
        <w:rPr>
          <w:rFonts w:ascii="Times New Roman" w:eastAsia="Calibri" w:hAnsi="Times New Roman" w:cs="Times New Roman"/>
          <w:b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Pr="00D25D76">
        <w:rPr>
          <w:rFonts w:ascii="Times New Roman" w:eastAsia="Calibri" w:hAnsi="Times New Roman" w:cs="Times New Roman"/>
          <w:b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B</w:t>
      </w:r>
    </w:p>
    <w:p w14:paraId="777907CB" w14:textId="77777777" w:rsidR="00EB2F08" w:rsidRPr="00D25D76" w:rsidRDefault="00EB2F08" w:rsidP="00EB2F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2CE590" w14:textId="77777777" w:rsidR="00EB2F08" w:rsidRPr="00D25D76" w:rsidRDefault="00EB2F08" w:rsidP="00EB2F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IEPIRKUMA PROCEDŪRAS ZIŅOJUMS </w:t>
      </w:r>
    </w:p>
    <w:p w14:paraId="4A6FB807" w14:textId="77777777" w:rsidR="00EB2F08" w:rsidRPr="00D25D76" w:rsidRDefault="00EB2F08" w:rsidP="00EB2F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AF3C1FB" w14:textId="30D95772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Rīgā,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</w:t>
      </w:r>
      <w:r w:rsidR="00FF77D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8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5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6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. </w:t>
      </w:r>
    </w:p>
    <w:p w14:paraId="34658111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5153C92" w14:textId="77777777" w:rsidR="00EB2F08" w:rsidRPr="00D25D76" w:rsidRDefault="00EB2F08" w:rsidP="00EB2F08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Pasūtītājs: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Tiesu administrācija, Antonijas iela 6, Rīga, LV-1010, nodokļu maksātāja reģistrācijas Nr. LV90001672316.</w:t>
      </w:r>
    </w:p>
    <w:p w14:paraId="0AC18D40" w14:textId="2CD5C96E" w:rsidR="00EB2F08" w:rsidRPr="00D25D76" w:rsidRDefault="00EB2F08" w:rsidP="00EB2F08">
      <w:pPr>
        <w:numPr>
          <w:ilvl w:val="0"/>
          <w:numId w:val="1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Iepirkuma procedūras veids, nosaukums, identifikācijas numurs: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Iepirkumu procedūra, saskaņā ar Publisko iepirkumu likuma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10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 panta pirm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o 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daļu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“</w:t>
      </w:r>
      <w:r w:rsidRPr="00EB2F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Pasākumu organizēšanas atbalsta pakalpojumi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“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iepirkuma identifikācijas Nr. TA202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6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B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3E548C6B" w14:textId="2F30E422" w:rsidR="00EB2F08" w:rsidRPr="00D25D76" w:rsidRDefault="00EB2F08" w:rsidP="00EB2F08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Paziņojuma par līgumu publicēšanas </w:t>
      </w:r>
      <w:r w:rsidRPr="00D25D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lv-LV"/>
          <w14:ligatures w14:val="none"/>
        </w:rPr>
        <w:t>datums: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bookmarkStart w:id="0" w:name="_Hlk131084631"/>
      <w:r w:rsidR="00097954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5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03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6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. paziņojums 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publicēts Iepirkumu uzraudzības biroja mājas lapā</w:t>
      </w:r>
      <w:r w:rsidR="008C65B6" w:rsidRPr="008C65B6">
        <w:t xml:space="preserve"> </w:t>
      </w:r>
      <w:r w:rsidR="008C65B6" w:rsidRPr="000F2BB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https://eformsb.pvs.iub.gov.lv/show/81e58f16-53f5-4066-b61c-5251f2e76d02</w:t>
      </w:r>
      <w:r w:rsidRPr="000F2BB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; </w:t>
      </w:r>
      <w:r w:rsidR="008C65B6" w:rsidRPr="000F2BB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</w:t>
      </w:r>
      <w:r w:rsidR="000F2BB2" w:rsidRPr="000F2BB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</w:t>
      </w:r>
      <w:r w:rsidRPr="000F2BB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.03.2026. ESOV</w:t>
      </w:r>
      <w:r w:rsidRPr="000F2BB2">
        <w:rPr>
          <w:rFonts w:ascii="Times New Roman" w:hAnsi="Times New Roman" w:cs="Times New Roman"/>
        </w:rPr>
        <w:t xml:space="preserve"> </w:t>
      </w:r>
      <w:hyperlink r:id="rId7" w:history="1">
        <w:r w:rsidR="000F2BB2" w:rsidRPr="000F2BB2">
          <w:rPr>
            <w:rStyle w:val="Hipersaite"/>
            <w:rFonts w:ascii="Times New Roman" w:hAnsi="Times New Roman" w:cs="Times New Roman"/>
          </w:rPr>
          <w:t>https://ted.europa.eu/en/notice/-/detail/203480-2026</w:t>
        </w:r>
      </w:hyperlink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bookmarkEnd w:id="0"/>
    <w:p w14:paraId="4C9BB93D" w14:textId="7A9D2FF9" w:rsidR="00EB2F08" w:rsidRPr="00D25D76" w:rsidRDefault="00EB2F08" w:rsidP="00EB2F08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Iepriekšējais informatīvais paziņojums: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5513B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-</w:t>
      </w:r>
    </w:p>
    <w:p w14:paraId="0D1E473C" w14:textId="79D7DCDA" w:rsidR="00EB2F08" w:rsidRPr="00E67AE4" w:rsidRDefault="00EB2F08" w:rsidP="00EB2F08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bCs/>
          <w:kern w:val="0"/>
          <w:u w:val="single"/>
          <w:lang w:eastAsia="lv-LV"/>
          <w14:ligatures w14:val="none"/>
        </w:rPr>
        <w:t>Paziņojums par apspriedi: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DD20C2" w:rsidRPr="00DD20C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16.05.2025. Paziņojums publicēts Iepirkumu uzraudzības biroja tīmekļa vietnē https://eformsb.pvs.iub.gov.lv/show/75f09f7f-3161-4266-a7ce-b5a72c33a1c6 un Elektronisko iepirkumu sistēmā https://www.eis.gov.lv/EKEIS/Supplier/Procurement/147846 .</w:t>
      </w:r>
    </w:p>
    <w:p w14:paraId="004F1FD7" w14:textId="2BB372BA" w:rsidR="00F61BA9" w:rsidRPr="00F61BA9" w:rsidRDefault="00EB2F08" w:rsidP="00920207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</w:pPr>
      <w:r w:rsidRPr="00F61BA9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Iepirkumu komisijas izveides pamatojums un sastāvs, iepirkuma dokumenta sagatavotāji:</w:t>
      </w:r>
      <w:r w:rsidRPr="00F61BA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</w:t>
      </w:r>
      <w:r w:rsidR="00F61BA9" w:rsidRPr="00F61BA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Iepirkuma komisija izveidota saskaņā ar Publisko iepirkumu likuma 24. pantu un Tiesu administrācijas 2025. gada 19. maija rīkojumu Nr. 1-2/134 "Par iepirkuma komisijas izveidošanu"</w:t>
      </w:r>
      <w:r w:rsid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; </w:t>
      </w:r>
      <w:r w:rsidR="00F61BA9" w:rsidRPr="00F61BA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Tiesu administrācijas 2025. gada 13. jūnija rīkojumu Nr.1-2/160 "Par grozījumu Tiesu administrācijas 2025.gada 19. maija rīkojumā Nr.1-2/134 "Par iepirkuma komisijas izveidošanu""</w:t>
      </w:r>
      <w:r w:rsidR="00DC6CC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; </w:t>
      </w:r>
      <w:r w:rsidR="00435664" w:rsidRP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Tiesu administrācijas 2025. gada </w:t>
      </w:r>
      <w:r w:rsid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22</w:t>
      </w:r>
      <w:r w:rsidR="00435664" w:rsidRP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 </w:t>
      </w:r>
      <w:r w:rsid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decembr</w:t>
      </w:r>
      <w:r w:rsidR="00435664" w:rsidRP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 rīkojumu Nr.1-2/</w:t>
      </w:r>
      <w:r w:rsidR="002F7CA7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338</w:t>
      </w:r>
      <w:r w:rsidR="00435664" w:rsidRPr="0043566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"Par grozījumu Tiesu administrācijas 2025.gada 19. maija rīkojumā Nr.1-2/134 "Par iepirkuma komisijas izveidošanu"";</w:t>
      </w:r>
      <w:r w:rsidR="00D33BC3" w:rsidRPr="00D33BC3">
        <w:t xml:space="preserve"> </w:t>
      </w:r>
      <w:r w:rsidR="00D33BC3" w:rsidRPr="00D33BC3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Tiesu administrācijas 202</w:t>
      </w:r>
      <w:r w:rsidR="001C6D20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6</w:t>
      </w:r>
      <w:r w:rsidR="00D33BC3" w:rsidRPr="00D33BC3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 gada 1</w:t>
      </w:r>
      <w:r w:rsidR="001C6D20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0</w:t>
      </w:r>
      <w:r w:rsidR="00D33BC3" w:rsidRPr="00D33BC3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 </w:t>
      </w:r>
      <w:r w:rsidR="001C6D20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mart</w:t>
      </w:r>
      <w:r w:rsidR="00D33BC3" w:rsidRPr="00D33BC3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a rīkojumu Nr.1-2/60 "Par grozījumu Tiesu administrācijas 2025.gada 19. maija rīkojumā Nr.1-2/134 "Par iepirkuma komisijas izveidošanu""</w:t>
      </w:r>
      <w:r w:rsidR="001C6D20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</w:p>
    <w:p w14:paraId="229403AD" w14:textId="77777777" w:rsidR="00577E51" w:rsidRPr="00D046AA" w:rsidRDefault="00577E51" w:rsidP="00577E5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b/>
          <w:kern w:val="0"/>
          <w14:ligatures w14:val="none"/>
        </w:rPr>
        <w:t>komisijas priekšsēdētāja:</w:t>
      </w:r>
    </w:p>
    <w:p w14:paraId="235DB826" w14:textId="77777777" w:rsidR="00577E51" w:rsidRPr="00D046AA" w:rsidRDefault="00577E51" w:rsidP="00577E51">
      <w:pPr>
        <w:autoSpaceDE w:val="0"/>
        <w:autoSpaceDN w:val="0"/>
        <w:adjustRightInd w:val="0"/>
        <w:spacing w:after="0" w:line="276" w:lineRule="auto"/>
        <w:ind w:left="2693" w:hanging="2693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Dace Kazāka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  <w:t>Attīstības departamenta direktore;</w:t>
      </w:r>
    </w:p>
    <w:p w14:paraId="5D6E5B66" w14:textId="512A5BCA" w:rsidR="00577E51" w:rsidRPr="00D046AA" w:rsidRDefault="00577E51" w:rsidP="00577E51">
      <w:pPr>
        <w:tabs>
          <w:tab w:val="left" w:pos="3686"/>
        </w:tabs>
        <w:spacing w:after="0" w:line="276" w:lineRule="auto"/>
        <w:ind w:left="2694" w:hanging="2694"/>
        <w:jc w:val="both"/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  <w:t>komisijas priekšsēdētājas vietniece:</w:t>
      </w:r>
    </w:p>
    <w:p w14:paraId="6DB550D6" w14:textId="77777777" w:rsidR="00577E51" w:rsidRPr="00D046AA" w:rsidRDefault="00577E51" w:rsidP="00577E51">
      <w:pPr>
        <w:spacing w:after="0" w:line="276" w:lineRule="auto"/>
        <w:ind w:left="2693" w:hanging="2693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Alise Tensberga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</w:r>
      <w:r w:rsidRPr="00557A5F">
        <w:rPr>
          <w:rFonts w:ascii="Times New Roman" w:eastAsia="Calibri" w:hAnsi="Times New Roman" w:cs="Times New Roman"/>
          <w:noProof/>
          <w:kern w:val="0"/>
          <w14:ligatures w14:val="none"/>
        </w:rPr>
        <w:t>Finanšu un administratīvā departamenta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</w:t>
      </w:r>
      <w:r w:rsidRPr="00557A5F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Materiāltehniskās nodrošinājuma nodaļas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v</w:t>
      </w:r>
      <w:r w:rsidRPr="00557A5F">
        <w:rPr>
          <w:rFonts w:ascii="Times New Roman" w:eastAsia="Calibri" w:hAnsi="Times New Roman" w:cs="Times New Roman"/>
          <w:noProof/>
          <w:kern w:val="0"/>
          <w14:ligatures w14:val="none"/>
        </w:rPr>
        <w:t>adītāja vietniece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5FEB1A73" w14:textId="77777777" w:rsidR="00577E51" w:rsidRPr="00D046AA" w:rsidRDefault="00577E51" w:rsidP="00577E51">
      <w:pPr>
        <w:spacing w:after="0" w:line="276" w:lineRule="auto"/>
        <w:ind w:left="2693" w:hanging="2693"/>
        <w:jc w:val="both"/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</w:pPr>
      <w:r w:rsidRPr="00D046AA">
        <w:rPr>
          <w:rFonts w:ascii="Times New Roman" w:eastAsia="Times New Roman" w:hAnsi="Times New Roman" w:cs="Times New Roman"/>
          <w:b/>
          <w:noProof/>
          <w:kern w:val="0"/>
          <w:lang w:bidi="en-US"/>
          <w14:ligatures w14:val="none"/>
        </w:rPr>
        <w:t>komisijas locekļi:</w:t>
      </w:r>
    </w:p>
    <w:p w14:paraId="59629F98" w14:textId="77777777" w:rsidR="00577E51" w:rsidRPr="00D046AA" w:rsidRDefault="00577E51" w:rsidP="00577E51">
      <w:pPr>
        <w:autoSpaceDE w:val="0"/>
        <w:autoSpaceDN w:val="0"/>
        <w:adjustRightInd w:val="0"/>
        <w:spacing w:after="0" w:line="276" w:lineRule="auto"/>
        <w:ind w:left="2693" w:hanging="2693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14:ligatures w14:val="none"/>
        </w:rPr>
        <w:t>Inga Vavilova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  <w:t xml:space="preserve">Finanšu un administratīvā departamenta 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Budžeta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nodaļas </w:t>
      </w:r>
      <w:r w:rsidRPr="00557A5F">
        <w:rPr>
          <w:rFonts w:ascii="Times New Roman" w:eastAsia="Calibri" w:hAnsi="Times New Roman" w:cs="Times New Roman"/>
          <w:noProof/>
          <w:kern w:val="0"/>
          <w14:ligatures w14:val="none"/>
        </w:rPr>
        <w:t>galvenā ekonomiste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379160B0" w14:textId="77777777" w:rsidR="00577E51" w:rsidRPr="00D046AA" w:rsidRDefault="00577E51" w:rsidP="00577E51">
      <w:pPr>
        <w:autoSpaceDE w:val="0"/>
        <w:autoSpaceDN w:val="0"/>
        <w:adjustRightInd w:val="0"/>
        <w:spacing w:after="0" w:line="276" w:lineRule="auto"/>
        <w:ind w:left="2693" w:hanging="2693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Lelde Šlisere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  <w:t>Attīstības departamenta direktores vietniece;</w:t>
      </w:r>
    </w:p>
    <w:p w14:paraId="5F370AF0" w14:textId="031D008D" w:rsidR="00577E51" w:rsidRPr="00D046AA" w:rsidRDefault="00577E51" w:rsidP="00577E51">
      <w:pPr>
        <w:autoSpaceDE w:val="0"/>
        <w:autoSpaceDN w:val="0"/>
        <w:adjustRightInd w:val="0"/>
        <w:spacing w:after="0" w:line="276" w:lineRule="auto"/>
        <w:ind w:left="2693" w:hanging="2693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Kristaps Zēlavs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  <w:t>E-lietas programmas projektu vadītājs</w:t>
      </w:r>
      <w:r w:rsidR="001C3EBE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(līdz 10.03.2026.)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;</w:t>
      </w:r>
    </w:p>
    <w:p w14:paraId="5DAB9292" w14:textId="6472798F" w:rsidR="00577E51" w:rsidRPr="00D046AA" w:rsidRDefault="00577E51" w:rsidP="00577E51">
      <w:pPr>
        <w:tabs>
          <w:tab w:val="left" w:pos="3686"/>
        </w:tabs>
        <w:spacing w:after="0" w:line="276" w:lineRule="auto"/>
        <w:ind w:left="2694" w:hanging="2694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>Ilze Baranovska</w:t>
      </w:r>
      <w:r w:rsidRPr="00D046AA">
        <w:rPr>
          <w:rFonts w:ascii="Times New Roman" w:eastAsia="Calibri" w:hAnsi="Times New Roman" w:cs="Times New Roman"/>
          <w:noProof/>
          <w:kern w:val="0"/>
          <w14:ligatures w14:val="none"/>
        </w:rPr>
        <w:tab/>
        <w:t>ESF Plus pasākuma "Pieeja tiesiskumam" projekta vadības un īstenošanas komandas projekta vadītāja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(no 2025. gada 13. jūnija</w:t>
      </w:r>
      <w:r w:rsidR="009E1BE7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līdz 22.</w:t>
      </w:r>
      <w:r w:rsidR="00B42355">
        <w:rPr>
          <w:rFonts w:ascii="Times New Roman" w:eastAsia="Calibri" w:hAnsi="Times New Roman" w:cs="Times New Roman"/>
          <w:noProof/>
          <w:kern w:val="0"/>
          <w14:ligatures w14:val="none"/>
        </w:rPr>
        <w:t>12.2025.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>).</w:t>
      </w:r>
    </w:p>
    <w:p w14:paraId="08971580" w14:textId="77777777" w:rsidR="00EB2F08" w:rsidRPr="00D25D76" w:rsidRDefault="00EB2F08" w:rsidP="00EB2F08">
      <w:pPr>
        <w:autoSpaceDE w:val="0"/>
        <w:autoSpaceDN w:val="0"/>
        <w:adjustRightInd w:val="0"/>
        <w:spacing w:after="0" w:line="276" w:lineRule="auto"/>
        <w:ind w:left="3402" w:hanging="3402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7207604" w14:textId="78291C30" w:rsidR="00EB2F08" w:rsidRDefault="00EB2F08" w:rsidP="00EB2F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Dokumentu sagatavotāji: </w:t>
      </w:r>
      <w:r w:rsidR="00DD28A4" w:rsidRPr="00DD28A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ESF Plus pasākuma "Pieeja tiesiskumam" projekta vadības un īstenošanas komandas projekta vadītāja I. Baranovska, ESF Plus pasākuma "Pieeja tiesiskumam" projekta vadības un īstenošanas komandas projekta koordinatore J. Augstkalniete – Potaša, Attīstības departamenta direktores vietniece L. Šlisere, Finanšu un administratīvā departamenta Materiāltehniskās nodrošinājuma nodaļas vadītāja vietniece A. Tensberga un Personālvadības un juridiskā departamenta Juridiskās nodaļas juriskonsulte – iepirkumu speciāliste I. Skrodele, Personālvadības un juridiskā departamenta Juridiskās nodaļas juriskonsulte – iepirkumu speciāliste L. Stutāne.</w:t>
      </w:r>
    </w:p>
    <w:p w14:paraId="235C38DE" w14:textId="77777777" w:rsidR="00EB2F08" w:rsidRPr="00D25D76" w:rsidRDefault="00EB2F08" w:rsidP="00EB2F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3FE6615" w14:textId="77777777" w:rsidR="00EB2F08" w:rsidRPr="00D25D76" w:rsidRDefault="00EB2F08" w:rsidP="00EB2F08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lastRenderedPageBreak/>
        <w:t>Iepirkuma priekšmets un tā īss apraksts: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bookmarkStart w:id="1" w:name="bookmark32"/>
      <w:bookmarkStart w:id="2" w:name="bookmark35"/>
      <w:bookmarkStart w:id="3" w:name="bookmark36"/>
    </w:p>
    <w:p w14:paraId="719EE767" w14:textId="754D131E" w:rsidR="00EB2F08" w:rsidRPr="00D25D76" w:rsidRDefault="00EB2F08" w:rsidP="00EB2F08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</w:pPr>
      <w:r w:rsidRPr="00D25D76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Iepirkuma priekšmets</w:t>
      </w:r>
      <w:r w:rsidRPr="00BA5CA2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 xml:space="preserve"> ir</w:t>
      </w:r>
      <w:r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6D0F9A" w:rsidRPr="006D0F9A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pasākumu organizēšanas atbalsta pakalpojumi</w:t>
      </w:r>
      <w:r w:rsidR="002478F6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.</w:t>
      </w:r>
    </w:p>
    <w:p w14:paraId="782047F6" w14:textId="3792526D" w:rsidR="00EB2F08" w:rsidRPr="00D25D76" w:rsidRDefault="00EB2F08" w:rsidP="00EB2F08">
      <w:pPr>
        <w:numPr>
          <w:ilvl w:val="1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</w:pPr>
      <w:r w:rsidRPr="00D25D76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 xml:space="preserve">Iepirkums </w:t>
      </w:r>
      <w:r w:rsidR="002478F6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nav</w:t>
      </w:r>
      <w:r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 xml:space="preserve"> </w:t>
      </w:r>
      <w:r w:rsidRPr="00D25D76">
        <w:rPr>
          <w:rFonts w:ascii="Times New Roman" w:eastAsia="Courier New" w:hAnsi="Times New Roman" w:cs="Times New Roman"/>
          <w:kern w:val="0"/>
          <w:szCs w:val="24"/>
          <w:lang w:eastAsia="lv-LV"/>
          <w14:ligatures w14:val="none"/>
        </w:rPr>
        <w:t>sadalīts daļās.</w:t>
      </w:r>
    </w:p>
    <w:p w14:paraId="097597CA" w14:textId="77777777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7.3. Pretendents iesniedz piedāvājumu par visu iepirkuma priekšmetu kopumā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uz vienu vai abām daļām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7F4CD7C0" w14:textId="77777777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7.4. Pretendents nevar iesniegt piedāvājuma variantus.</w:t>
      </w:r>
    </w:p>
    <w:p w14:paraId="41FDE9DE" w14:textId="240259A5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7.5. Iepirkuma nomenklatūra: </w:t>
      </w:r>
      <w:r w:rsidR="00621E57" w:rsidRPr="00621E5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Galvenais CPV kods: 79952000-2 (Pasākumu organizēšanas pakalpojumi); papildu CPV kodi: 55120000-7 (Viesnīcu sanāksmju un konferenču organizēšanas pakalpojumi), 80520000-5 (Mācību telpas), 55300000-3 (Restorānu un ēdināšanas pakalpojumi), 79951000-5 (Semināru organizēšanas pakalpojumi), 51310000-8 (Radio, televīzijas, skaņas un videoiekārtu uzstādīšanas pakalpojumi), 79960000-1 (Fotografēšanas un saistītie palīgpakalpojumi), 79540000- 1 (Mutiskās tulkošanas pakalpojumi), 79530000-8 (Rakstiskās tulkošanas pakalpojumi).</w:t>
      </w:r>
    </w:p>
    <w:p w14:paraId="4501D313" w14:textId="5EF85B93" w:rsidR="00EB2F08" w:rsidRPr="00BA5CA2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Courier New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7.6. P</w:t>
      </w:r>
      <w:r w:rsidR="0056251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lānot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 līguma summa</w:t>
      </w:r>
      <w:r w:rsidRPr="00D25D76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 – </w:t>
      </w:r>
      <w:r w:rsidR="0056251E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250 000,00 EUR (divi simti piecdesmit tūkstoši </w:t>
      </w:r>
      <w:r w:rsidR="0056251E" w:rsidRPr="0056251E">
        <w:rPr>
          <w:rFonts w:ascii="Times New Roman" w:eastAsia="Courier New" w:hAnsi="Times New Roman" w:cs="Times New Roman"/>
          <w:i/>
          <w:iCs/>
          <w:kern w:val="0"/>
          <w:lang w:eastAsia="lv-LV"/>
          <w14:ligatures w14:val="none"/>
        </w:rPr>
        <w:t>euro</w:t>
      </w:r>
      <w:r w:rsidR="0056251E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 un 00 centi)</w:t>
      </w:r>
      <w:r w:rsidR="000103DF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>.</w:t>
      </w:r>
    </w:p>
    <w:p w14:paraId="720B492E" w14:textId="72AF0204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7.7. Līguma izpildes laiks – līdz</w:t>
      </w:r>
      <w:r w:rsidR="00C8188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līguma summas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F3D1C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sasniegšanai </w:t>
      </w:r>
      <w:r w:rsidR="00C81885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>un līdz līgumā noteikto saistību izpildei</w:t>
      </w:r>
      <w:r w:rsidR="00C81885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>,</w:t>
      </w:r>
      <w:r w:rsidR="00C81885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 xml:space="preserve"> </w:t>
      </w:r>
      <w:r w:rsidR="000F3D1C" w:rsidRPr="0056251E">
        <w:rPr>
          <w:rFonts w:ascii="Times New Roman" w:eastAsia="Courier New" w:hAnsi="Times New Roman" w:cs="Times New Roman"/>
          <w:kern w:val="0"/>
          <w:lang w:eastAsia="lv-LV"/>
          <w14:ligatures w14:val="none"/>
        </w:rPr>
        <w:t>bet ne ilgāk kā 3 (trīs) gadus no līguma spēkā stāšanās dienas, paredzot iespēju pagarināt līgumu</w:t>
      </w:r>
      <w:r w:rsidR="000103D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ja līguma summa nav sasniegta.</w:t>
      </w:r>
    </w:p>
    <w:p w14:paraId="36035C47" w14:textId="77777777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7.8. Līguma izpildes vieta Latvijas Republika.</w:t>
      </w:r>
    </w:p>
    <w:bookmarkEnd w:id="1"/>
    <w:bookmarkEnd w:id="2"/>
    <w:bookmarkEnd w:id="3"/>
    <w:p w14:paraId="39F7DF4B" w14:textId="2CB4D1FB" w:rsidR="00EB2F08" w:rsidRPr="00D25D76" w:rsidRDefault="00EB2F08" w:rsidP="00EB2F08">
      <w:p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</w: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8.</w:t>
      </w:r>
      <w:r w:rsidRPr="00D25D76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 </w:t>
      </w: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 xml:space="preserve">Piedāvājumu iesniegšanas vieta un termiņš, pretendenti, to piedāvātas cenas: </w:t>
      </w:r>
      <w:r w:rsidRPr="00D25D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Piedāvājuma iesniegšanas vieta - </w:t>
      </w:r>
      <w:hyperlink r:id="rId8" w:history="1">
        <w:r w:rsidRPr="00D25D76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ar-SA"/>
            <w14:ligatures w14:val="none"/>
          </w:rPr>
          <w:t>www.eis.gov.lv</w:t>
        </w:r>
      </w:hyperlink>
      <w:r w:rsidRPr="00D25D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. Pasūtītāja noteiktajā termiņā, tas ir līdz 202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 w:rsidRPr="00D25D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 gada </w:t>
      </w:r>
      <w:r w:rsidR="00C9647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15</w:t>
      </w:r>
      <w:r w:rsidRPr="00D25D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aprīļ</w:t>
      </w:r>
      <w:r w:rsidRPr="00D25D7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plkst. 11.00, piedāvājumus iesniedza šādi pretendenti, piedāvājot šādas cenas:</w:t>
      </w:r>
    </w:p>
    <w:p w14:paraId="42040609" w14:textId="77777777" w:rsidR="00A61BCA" w:rsidRPr="00E439C3" w:rsidRDefault="00A61BCA" w:rsidP="00A61BCA">
      <w:pPr>
        <w:tabs>
          <w:tab w:val="left" w:pos="0"/>
          <w:tab w:val="left" w:pos="426"/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tbl>
      <w:tblPr>
        <w:tblStyle w:val="Reatabula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5314"/>
        <w:gridCol w:w="4032"/>
      </w:tblGrid>
      <w:tr w:rsidR="00A61BCA" w:rsidRPr="00E439C3" w14:paraId="12598DF2" w14:textId="77777777" w:rsidTr="0056600C">
        <w:trPr>
          <w:trHeight w:val="143"/>
          <w:jc w:val="center"/>
        </w:trPr>
        <w:tc>
          <w:tcPr>
            <w:tcW w:w="2843" w:type="pct"/>
          </w:tcPr>
          <w:p w14:paraId="2F686947" w14:textId="77777777" w:rsidR="00A61BCA" w:rsidRPr="00E439C3" w:rsidRDefault="00A61BCA" w:rsidP="005660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439C3">
              <w:rPr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157" w:type="pct"/>
          </w:tcPr>
          <w:p w14:paraId="539B92BF" w14:textId="77777777" w:rsidR="00A61BCA" w:rsidRPr="00E439C3" w:rsidRDefault="00A61BCA" w:rsidP="0056600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439C3">
              <w:rPr>
                <w:b/>
                <w:sz w:val="22"/>
                <w:szCs w:val="22"/>
              </w:rPr>
              <w:t xml:space="preserve">Piedāvātā cena </w:t>
            </w:r>
            <w:r w:rsidRPr="00E439C3">
              <w:rPr>
                <w:b/>
                <w:i/>
                <w:iCs/>
                <w:sz w:val="22"/>
                <w:szCs w:val="22"/>
              </w:rPr>
              <w:t>euro</w:t>
            </w:r>
            <w:r w:rsidRPr="00E439C3">
              <w:rPr>
                <w:b/>
                <w:sz w:val="22"/>
                <w:szCs w:val="22"/>
              </w:rPr>
              <w:t xml:space="preserve"> bez PVN</w:t>
            </w:r>
          </w:p>
        </w:tc>
      </w:tr>
      <w:tr w:rsidR="00A61BCA" w:rsidRPr="00E439C3" w14:paraId="58E0E8BA" w14:textId="77777777" w:rsidTr="0056600C">
        <w:trPr>
          <w:trHeight w:val="260"/>
          <w:jc w:val="center"/>
        </w:trPr>
        <w:tc>
          <w:tcPr>
            <w:tcW w:w="2843" w:type="pct"/>
          </w:tcPr>
          <w:p w14:paraId="10A72740" w14:textId="77777777" w:rsidR="00A61BCA" w:rsidRPr="00E439C3" w:rsidRDefault="00A61BCA" w:rsidP="0056600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3K MANAGEMENT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77998DC6" w14:textId="614A73E2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11047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A61BCA" w:rsidRPr="00E439C3" w14:paraId="52D4BF72" w14:textId="77777777" w:rsidTr="0056600C">
        <w:trPr>
          <w:trHeight w:val="260"/>
          <w:jc w:val="center"/>
        </w:trPr>
        <w:tc>
          <w:tcPr>
            <w:tcW w:w="2843" w:type="pct"/>
          </w:tcPr>
          <w:p w14:paraId="474D14E4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Biznesam.lv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73274930" w14:textId="65FF5439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28070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83</w:t>
            </w:r>
          </w:p>
          <w:p w14:paraId="452FB8E3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3EBD2966" w14:textId="77777777" w:rsidTr="0056600C">
        <w:trPr>
          <w:trHeight w:val="260"/>
          <w:jc w:val="center"/>
        </w:trPr>
        <w:tc>
          <w:tcPr>
            <w:tcW w:w="2843" w:type="pct"/>
          </w:tcPr>
          <w:p w14:paraId="46C1503B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Comperio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pct"/>
          </w:tcPr>
          <w:p w14:paraId="012FBCC8" w14:textId="4040AEF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5371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1F69F3DD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722B60BB" w14:textId="77777777" w:rsidTr="0056600C">
        <w:trPr>
          <w:trHeight w:val="260"/>
          <w:jc w:val="center"/>
        </w:trPr>
        <w:tc>
          <w:tcPr>
            <w:tcW w:w="2843" w:type="pct"/>
          </w:tcPr>
          <w:p w14:paraId="79E9F14D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Goal Events Group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1EDB04D2" w14:textId="106DAFC8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3056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75</w:t>
            </w:r>
          </w:p>
          <w:p w14:paraId="5354AADA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4CA4E580" w14:textId="77777777" w:rsidTr="0056600C">
        <w:trPr>
          <w:trHeight w:val="260"/>
          <w:jc w:val="center"/>
        </w:trPr>
        <w:tc>
          <w:tcPr>
            <w:tcW w:w="2843" w:type="pct"/>
          </w:tcPr>
          <w:p w14:paraId="052AE996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Master Sales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5A4FD883" w14:textId="5175CFD8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3690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  <w:p w14:paraId="4431FC32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27E28DD7" w14:textId="77777777" w:rsidTr="0056600C">
        <w:trPr>
          <w:trHeight w:val="260"/>
          <w:jc w:val="center"/>
        </w:trPr>
        <w:tc>
          <w:tcPr>
            <w:tcW w:w="2843" w:type="pct"/>
          </w:tcPr>
          <w:p w14:paraId="6D054972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PR KVADRĀTS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7EDF9478" w14:textId="412502C9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13590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  <w:p w14:paraId="624FBBC0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5BC10F6F" w14:textId="77777777" w:rsidTr="0056600C">
        <w:trPr>
          <w:trHeight w:val="260"/>
          <w:jc w:val="center"/>
        </w:trPr>
        <w:tc>
          <w:tcPr>
            <w:tcW w:w="2843" w:type="pct"/>
          </w:tcPr>
          <w:p w14:paraId="396849D2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Sabiedrības informēšanas centrs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pct"/>
          </w:tcPr>
          <w:p w14:paraId="70E4D986" w14:textId="05F2341D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3883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58</w:t>
            </w:r>
          </w:p>
          <w:p w14:paraId="1679DA86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20F58E27" w14:textId="77777777" w:rsidTr="0056600C">
        <w:trPr>
          <w:trHeight w:val="260"/>
          <w:jc w:val="center"/>
        </w:trPr>
        <w:tc>
          <w:tcPr>
            <w:tcW w:w="2843" w:type="pct"/>
          </w:tcPr>
          <w:p w14:paraId="1879FD7A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Playoff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1AFDF73B" w14:textId="7047EF4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>EUR 4173</w:t>
            </w:r>
            <w:r w:rsidR="00C81334">
              <w:rPr>
                <w:sz w:val="22"/>
                <w:szCs w:val="22"/>
              </w:rPr>
              <w:t>,</w:t>
            </w:r>
            <w:r w:rsidRPr="00E439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1C0257F8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1BCA" w:rsidRPr="00E439C3" w14:paraId="4C70C62A" w14:textId="77777777" w:rsidTr="0056600C">
        <w:trPr>
          <w:trHeight w:val="260"/>
          <w:jc w:val="center"/>
        </w:trPr>
        <w:tc>
          <w:tcPr>
            <w:tcW w:w="2843" w:type="pct"/>
          </w:tcPr>
          <w:p w14:paraId="075B2578" w14:textId="77777777" w:rsidR="00A61BCA" w:rsidRPr="00E439C3" w:rsidRDefault="00A61BCA" w:rsidP="00566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VP Sales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un 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PEER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157" w:type="pct"/>
          </w:tcPr>
          <w:p w14:paraId="4EB92204" w14:textId="58D1F9B5" w:rsidR="00A61BCA" w:rsidRPr="002E38C5" w:rsidRDefault="00A61BCA" w:rsidP="0056600C">
            <w:pPr>
              <w:spacing w:line="276" w:lineRule="auto"/>
              <w:jc w:val="center"/>
              <w:rPr>
                <w:color w:val="EE0000"/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EUR </w:t>
            </w:r>
            <w:r w:rsidRPr="002E38C5">
              <w:rPr>
                <w:strike/>
                <w:sz w:val="22"/>
                <w:szCs w:val="22"/>
              </w:rPr>
              <w:t>5373.00</w:t>
            </w:r>
            <w:r w:rsidR="002E38C5">
              <w:rPr>
                <w:strike/>
                <w:sz w:val="22"/>
                <w:szCs w:val="22"/>
              </w:rPr>
              <w:t xml:space="preserve"> </w:t>
            </w:r>
            <w:r w:rsidR="002E38C5">
              <w:rPr>
                <w:color w:val="EE0000"/>
                <w:sz w:val="22"/>
                <w:szCs w:val="22"/>
              </w:rPr>
              <w:t>53</w:t>
            </w:r>
            <w:r w:rsidR="00C81334">
              <w:rPr>
                <w:color w:val="EE0000"/>
                <w:sz w:val="22"/>
                <w:szCs w:val="22"/>
              </w:rPr>
              <w:t>73,50</w:t>
            </w:r>
          </w:p>
          <w:p w14:paraId="2F5AE0DA" w14:textId="77777777" w:rsidR="00A61BCA" w:rsidRPr="00E439C3" w:rsidRDefault="00A61BCA" w:rsidP="0056600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04FD003" w14:textId="77777777" w:rsidR="00EB2F08" w:rsidRPr="00D25D76" w:rsidRDefault="00EB2F08" w:rsidP="00EB2F08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50EBCC4B" w14:textId="17DEEF8C" w:rsidR="00EB2F08" w:rsidRPr="00D25D76" w:rsidRDefault="00EB2F08" w:rsidP="00EB2F08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ar-SA"/>
          <w14:ligatures w14:val="none"/>
        </w:rPr>
        <w:t xml:space="preserve">Piedāvājumu atvēršanas vieta, datums </w:t>
      </w:r>
      <w:r w:rsidRPr="00D25D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ar-SA"/>
          <w14:ligatures w14:val="none"/>
        </w:rPr>
        <w:t xml:space="preserve">un laiks: 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6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gada </w:t>
      </w:r>
      <w:r w:rsidR="00BC1FA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15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aprīļa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plkst. 1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5</w:t>
      </w:r>
      <w:r w:rsidRPr="00D25D7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.00 piedāvājumu atvēršana notiek Elektronisko iepirkumu sistēmā.</w:t>
      </w:r>
    </w:p>
    <w:p w14:paraId="010944D9" w14:textId="77777777" w:rsidR="00EB2F08" w:rsidRDefault="00EB2F08" w:rsidP="00EB2F08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  <w:t>Saņemto pretendenta piedāvājumu vērtējums</w:t>
      </w:r>
    </w:p>
    <w:p w14:paraId="41A0C5ED" w14:textId="77777777" w:rsidR="00AB22F4" w:rsidRPr="00E439C3" w:rsidRDefault="00AB22F4" w:rsidP="00AB22F4">
      <w:pPr>
        <w:tabs>
          <w:tab w:val="left" w:pos="0"/>
          <w:tab w:val="left" w:pos="426"/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tbl>
      <w:tblPr>
        <w:tblStyle w:val="Reatabula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6090"/>
      </w:tblGrid>
      <w:tr w:rsidR="00B21CAB" w:rsidRPr="00E439C3" w14:paraId="6D4A587B" w14:textId="77777777" w:rsidTr="00AB22F4">
        <w:trPr>
          <w:trHeight w:val="143"/>
          <w:jc w:val="center"/>
        </w:trPr>
        <w:tc>
          <w:tcPr>
            <w:tcW w:w="1742" w:type="pct"/>
          </w:tcPr>
          <w:p w14:paraId="4FD5ECC3" w14:textId="7ADCC218" w:rsidR="00B21CAB" w:rsidRPr="00E439C3" w:rsidRDefault="00B21CAB" w:rsidP="00B21CA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439C3">
              <w:rPr>
                <w:b/>
                <w:bCs/>
                <w:sz w:val="22"/>
                <w:szCs w:val="22"/>
              </w:rPr>
              <w:t>Pretendent</w:t>
            </w:r>
            <w:r>
              <w:rPr>
                <w:b/>
                <w:bCs/>
                <w:sz w:val="22"/>
                <w:szCs w:val="22"/>
              </w:rPr>
              <w:t>a nosaukums</w:t>
            </w:r>
          </w:p>
        </w:tc>
        <w:tc>
          <w:tcPr>
            <w:tcW w:w="3258" w:type="pct"/>
          </w:tcPr>
          <w:p w14:paraId="5CE8E29C" w14:textId="08205195" w:rsidR="00B21CAB" w:rsidRPr="00B21CAB" w:rsidRDefault="00B21CAB" w:rsidP="00B21CA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B21CAB">
              <w:rPr>
                <w:b/>
                <w:sz w:val="22"/>
                <w:szCs w:val="22"/>
              </w:rPr>
              <w:t>Piedāvājuma vērtējums</w:t>
            </w:r>
          </w:p>
        </w:tc>
      </w:tr>
      <w:tr w:rsidR="00B21CAB" w:rsidRPr="00E439C3" w14:paraId="056FB4C8" w14:textId="77777777" w:rsidTr="00AB22F4">
        <w:trPr>
          <w:trHeight w:val="260"/>
          <w:jc w:val="center"/>
        </w:trPr>
        <w:tc>
          <w:tcPr>
            <w:tcW w:w="1742" w:type="pct"/>
          </w:tcPr>
          <w:p w14:paraId="58315068" w14:textId="77777777" w:rsidR="00B21CAB" w:rsidRPr="00E439C3" w:rsidRDefault="00B21CAB" w:rsidP="00B21CA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3K MANAGEMENT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04837D1B" w14:textId="77777777" w:rsidR="00B21CAB" w:rsidRDefault="0053241E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3241E">
              <w:rPr>
                <w:sz w:val="22"/>
                <w:szCs w:val="22"/>
              </w:rPr>
              <w:t>Piedāvājums iesniegts Pasūtītāja noteiktajā termiņā un vietā.</w:t>
            </w:r>
          </w:p>
          <w:p w14:paraId="76E68B02" w14:textId="138E8055" w:rsidR="00EC6D6B" w:rsidRPr="00B21CAB" w:rsidRDefault="00846894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 saimnieciski izdevīgākais piedāvājums, iegūstot </w:t>
            </w:r>
            <w:r w:rsidR="00312D1D" w:rsidRPr="00312D1D">
              <w:rPr>
                <w:b/>
                <w:bCs/>
                <w:sz w:val="22"/>
                <w:szCs w:val="22"/>
              </w:rPr>
              <w:t>63,76</w:t>
            </w:r>
            <w:r w:rsidR="00312D1D">
              <w:rPr>
                <w:sz w:val="22"/>
                <w:szCs w:val="22"/>
              </w:rPr>
              <w:t xml:space="preserve"> punktus.</w:t>
            </w:r>
          </w:p>
        </w:tc>
      </w:tr>
      <w:tr w:rsidR="00B21CAB" w:rsidRPr="00E439C3" w14:paraId="56DB3963" w14:textId="77777777" w:rsidTr="00AB22F4">
        <w:trPr>
          <w:trHeight w:val="260"/>
          <w:jc w:val="center"/>
        </w:trPr>
        <w:tc>
          <w:tcPr>
            <w:tcW w:w="1742" w:type="pct"/>
          </w:tcPr>
          <w:p w14:paraId="2977033F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Biznesam.lv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47FBF482" w14:textId="77777777" w:rsidR="00B21CAB" w:rsidRDefault="00846894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46894">
              <w:rPr>
                <w:sz w:val="22"/>
                <w:szCs w:val="22"/>
              </w:rPr>
              <w:t>Piedāvājums iesniegts Pasūtītāja noteiktajā termiņā un vietā.</w:t>
            </w:r>
          </w:p>
          <w:p w14:paraId="67482C5F" w14:textId="5DD61C23" w:rsidR="00312D1D" w:rsidRPr="00E439C3" w:rsidRDefault="00F046C2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Piedāvājums </w:t>
            </w:r>
            <w:r w:rsidR="00A00E68">
              <w:rPr>
                <w:sz w:val="22"/>
                <w:szCs w:val="22"/>
              </w:rPr>
              <w:t>izslēgts</w:t>
            </w:r>
            <w:r>
              <w:rPr>
                <w:sz w:val="22"/>
                <w:szCs w:val="22"/>
              </w:rPr>
              <w:t xml:space="preserve">, jo neatbilst </w:t>
            </w:r>
            <w:r w:rsidR="00A00E68" w:rsidRPr="00A00E68">
              <w:rPr>
                <w:sz w:val="22"/>
                <w:szCs w:val="22"/>
              </w:rPr>
              <w:t>nolikuma 4.7.1. punkt</w:t>
            </w:r>
            <w:r w:rsidR="00A00E68">
              <w:rPr>
                <w:sz w:val="22"/>
                <w:szCs w:val="22"/>
              </w:rPr>
              <w:t>ā</w:t>
            </w:r>
            <w:r w:rsidR="00A00E68" w:rsidRPr="00A00E68">
              <w:rPr>
                <w:sz w:val="22"/>
                <w:szCs w:val="22"/>
              </w:rPr>
              <w:t xml:space="preserve"> un nolikuma 7. pielikuma “Finanšu piedāvājums” formā noteikt</w:t>
            </w:r>
            <w:r w:rsidR="00A00E68">
              <w:rPr>
                <w:sz w:val="22"/>
                <w:szCs w:val="22"/>
              </w:rPr>
              <w:t>ajam.</w:t>
            </w:r>
          </w:p>
        </w:tc>
      </w:tr>
      <w:tr w:rsidR="00B21CAB" w:rsidRPr="00E439C3" w14:paraId="1326CF6D" w14:textId="77777777" w:rsidTr="00AB22F4">
        <w:trPr>
          <w:trHeight w:val="260"/>
          <w:jc w:val="center"/>
        </w:trPr>
        <w:tc>
          <w:tcPr>
            <w:tcW w:w="1742" w:type="pct"/>
          </w:tcPr>
          <w:p w14:paraId="333574FD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lastRenderedPageBreak/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Comperio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8" w:type="pct"/>
          </w:tcPr>
          <w:p w14:paraId="7187EC60" w14:textId="77777777" w:rsidR="00766EA7" w:rsidRDefault="00766EA7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3241E">
              <w:rPr>
                <w:sz w:val="22"/>
                <w:szCs w:val="22"/>
              </w:rPr>
              <w:t>Piedāvājums iesniegts Pasūtītāja noteiktajā termiņā un vietā.</w:t>
            </w:r>
          </w:p>
          <w:p w14:paraId="3D482100" w14:textId="541DDDF9" w:rsidR="00B21CAB" w:rsidRPr="00E439C3" w:rsidRDefault="00766EA7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 saimnieciski izdevīgākais piedāvājums, iegūstot </w:t>
            </w:r>
            <w:r w:rsidRPr="00312D1D">
              <w:rPr>
                <w:b/>
                <w:bCs/>
                <w:sz w:val="22"/>
                <w:szCs w:val="22"/>
              </w:rPr>
              <w:t>6</w:t>
            </w:r>
            <w:r w:rsidR="00D937BC">
              <w:rPr>
                <w:b/>
                <w:bCs/>
                <w:sz w:val="22"/>
                <w:szCs w:val="22"/>
              </w:rPr>
              <w:t>5</w:t>
            </w:r>
            <w:r w:rsidRPr="00312D1D">
              <w:rPr>
                <w:b/>
                <w:bCs/>
                <w:sz w:val="22"/>
                <w:szCs w:val="22"/>
              </w:rPr>
              <w:t>,</w:t>
            </w:r>
            <w:r w:rsidR="00D937BC">
              <w:rPr>
                <w:b/>
                <w:bCs/>
                <w:sz w:val="22"/>
                <w:szCs w:val="22"/>
              </w:rPr>
              <w:t>3</w:t>
            </w:r>
            <w:r w:rsidRPr="00312D1D">
              <w:rPr>
                <w:b/>
                <w:bCs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punktus.</w:t>
            </w:r>
          </w:p>
        </w:tc>
      </w:tr>
      <w:tr w:rsidR="00B21CAB" w:rsidRPr="00E439C3" w14:paraId="41A6EBB2" w14:textId="77777777" w:rsidTr="00AB22F4">
        <w:trPr>
          <w:trHeight w:val="260"/>
          <w:jc w:val="center"/>
        </w:trPr>
        <w:tc>
          <w:tcPr>
            <w:tcW w:w="1742" w:type="pct"/>
          </w:tcPr>
          <w:p w14:paraId="52F03494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Goal Events Group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1DC06847" w14:textId="77777777" w:rsidR="00695E51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46894">
              <w:rPr>
                <w:sz w:val="22"/>
                <w:szCs w:val="22"/>
              </w:rPr>
              <w:t>Piedāvājums iesniegts Pasūtītāja noteiktajā termiņā un vietā.</w:t>
            </w:r>
          </w:p>
          <w:p w14:paraId="6E7961B9" w14:textId="796D2DBA" w:rsidR="00B21CAB" w:rsidRPr="00E439C3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Piedāvājums izslēgts, jo neatbilst </w:t>
            </w:r>
            <w:r w:rsidRPr="00A00E68">
              <w:rPr>
                <w:sz w:val="22"/>
                <w:szCs w:val="22"/>
              </w:rPr>
              <w:t>nolikuma 4.7.1. punkt</w:t>
            </w:r>
            <w:r>
              <w:rPr>
                <w:sz w:val="22"/>
                <w:szCs w:val="22"/>
              </w:rPr>
              <w:t>ā</w:t>
            </w:r>
            <w:r w:rsidRPr="00A00E68">
              <w:rPr>
                <w:sz w:val="22"/>
                <w:szCs w:val="22"/>
              </w:rPr>
              <w:t xml:space="preserve"> un nolikuma 7. pielikuma “Finanšu piedāvājums” formā noteikt</w:t>
            </w:r>
            <w:r>
              <w:rPr>
                <w:sz w:val="22"/>
                <w:szCs w:val="22"/>
              </w:rPr>
              <w:t>ajam.</w:t>
            </w:r>
          </w:p>
        </w:tc>
      </w:tr>
      <w:tr w:rsidR="00B21CAB" w:rsidRPr="00E439C3" w14:paraId="0C8F6BBC" w14:textId="77777777" w:rsidTr="00AB22F4">
        <w:trPr>
          <w:trHeight w:val="260"/>
          <w:jc w:val="center"/>
        </w:trPr>
        <w:tc>
          <w:tcPr>
            <w:tcW w:w="1742" w:type="pct"/>
          </w:tcPr>
          <w:p w14:paraId="3BACDE50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Master Sales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0AB43EC0" w14:textId="77777777" w:rsidR="00695E51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46894">
              <w:rPr>
                <w:sz w:val="22"/>
                <w:szCs w:val="22"/>
              </w:rPr>
              <w:t>Piedāvājums iesniegts Pasūtītāja noteiktajā termiņā un vietā.</w:t>
            </w:r>
          </w:p>
          <w:p w14:paraId="3BDC46A8" w14:textId="3FD7FDF4" w:rsidR="00B21CAB" w:rsidRPr="00E439C3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Piedāvājums izslēgts, jo neatbilst </w:t>
            </w:r>
            <w:r w:rsidRPr="00A00E68">
              <w:rPr>
                <w:sz w:val="22"/>
                <w:szCs w:val="22"/>
              </w:rPr>
              <w:t>nolikuma 4.7.1. punkt</w:t>
            </w:r>
            <w:r>
              <w:rPr>
                <w:sz w:val="22"/>
                <w:szCs w:val="22"/>
              </w:rPr>
              <w:t>ā</w:t>
            </w:r>
            <w:r w:rsidRPr="00A00E68">
              <w:rPr>
                <w:sz w:val="22"/>
                <w:szCs w:val="22"/>
              </w:rPr>
              <w:t xml:space="preserve"> un nolikuma 7. pielikuma “Finanšu piedāvājums” formā noteikt</w:t>
            </w:r>
            <w:r>
              <w:rPr>
                <w:sz w:val="22"/>
                <w:szCs w:val="22"/>
              </w:rPr>
              <w:t>ajam.</w:t>
            </w:r>
          </w:p>
        </w:tc>
      </w:tr>
      <w:tr w:rsidR="00B21CAB" w:rsidRPr="00E439C3" w14:paraId="6434AE9C" w14:textId="77777777" w:rsidTr="00AB22F4">
        <w:trPr>
          <w:trHeight w:val="260"/>
          <w:jc w:val="center"/>
        </w:trPr>
        <w:tc>
          <w:tcPr>
            <w:tcW w:w="1742" w:type="pct"/>
          </w:tcPr>
          <w:p w14:paraId="7524B075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PR KVADRĀTS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615A1AD1" w14:textId="77777777" w:rsidR="00766EA7" w:rsidRDefault="00766EA7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3241E">
              <w:rPr>
                <w:sz w:val="22"/>
                <w:szCs w:val="22"/>
              </w:rPr>
              <w:t>Piedāvājums iesniegts Pasūtītāja noteiktajā termiņā un vietā.</w:t>
            </w:r>
          </w:p>
          <w:p w14:paraId="5DB7834B" w14:textId="27BABF16" w:rsidR="00B21CAB" w:rsidRPr="00E439C3" w:rsidRDefault="00766EA7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 saimnieciski izdevīgākais piedāvājums, iegūstot </w:t>
            </w:r>
            <w:r w:rsidR="006E7AAF" w:rsidRPr="006E7AAF">
              <w:rPr>
                <w:b/>
                <w:bCs/>
                <w:sz w:val="22"/>
                <w:szCs w:val="22"/>
              </w:rPr>
              <w:t>79</w:t>
            </w:r>
            <w:r w:rsidRPr="006E7AAF">
              <w:rPr>
                <w:b/>
                <w:bCs/>
                <w:sz w:val="22"/>
                <w:szCs w:val="22"/>
              </w:rPr>
              <w:t>,</w:t>
            </w:r>
            <w:r w:rsidR="006E7AAF">
              <w:rPr>
                <w:b/>
                <w:bCs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punktus.</w:t>
            </w:r>
          </w:p>
        </w:tc>
      </w:tr>
      <w:tr w:rsidR="00B21CAB" w:rsidRPr="00E439C3" w14:paraId="2D872C3E" w14:textId="77777777" w:rsidTr="00AB22F4">
        <w:trPr>
          <w:trHeight w:val="260"/>
          <w:jc w:val="center"/>
        </w:trPr>
        <w:tc>
          <w:tcPr>
            <w:tcW w:w="1742" w:type="pct"/>
          </w:tcPr>
          <w:p w14:paraId="541B72C2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Sabiedrības informēšanas centrs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8" w:type="pct"/>
          </w:tcPr>
          <w:p w14:paraId="63F37ADD" w14:textId="77777777" w:rsidR="00695E51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46894">
              <w:rPr>
                <w:sz w:val="22"/>
                <w:szCs w:val="22"/>
              </w:rPr>
              <w:t>Piedāvājums iesniegts Pasūtītāja noteiktajā termiņā un vietā.</w:t>
            </w:r>
          </w:p>
          <w:p w14:paraId="0E6E0374" w14:textId="0EBD658D" w:rsidR="00B21CAB" w:rsidRPr="00E439C3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Piedāvājums izslēgts, jo neatbilst </w:t>
            </w:r>
            <w:r w:rsidRPr="00A00E68">
              <w:rPr>
                <w:sz w:val="22"/>
                <w:szCs w:val="22"/>
              </w:rPr>
              <w:t>nolikuma 4.7.1. punkt</w:t>
            </w:r>
            <w:r>
              <w:rPr>
                <w:sz w:val="22"/>
                <w:szCs w:val="22"/>
              </w:rPr>
              <w:t>ā</w:t>
            </w:r>
            <w:r w:rsidRPr="00A00E68">
              <w:rPr>
                <w:sz w:val="22"/>
                <w:szCs w:val="22"/>
              </w:rPr>
              <w:t xml:space="preserve"> un nolikuma 7. pielikuma “Finanšu piedāvājums” formā noteikt</w:t>
            </w:r>
            <w:r>
              <w:rPr>
                <w:sz w:val="22"/>
                <w:szCs w:val="22"/>
              </w:rPr>
              <w:t>ajam.</w:t>
            </w:r>
          </w:p>
        </w:tc>
      </w:tr>
      <w:tr w:rsidR="00B21CAB" w:rsidRPr="00E439C3" w14:paraId="403F18D8" w14:textId="77777777" w:rsidTr="00AB22F4">
        <w:trPr>
          <w:trHeight w:val="260"/>
          <w:jc w:val="center"/>
        </w:trPr>
        <w:tc>
          <w:tcPr>
            <w:tcW w:w="1742" w:type="pct"/>
          </w:tcPr>
          <w:p w14:paraId="35B91BB8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Playoff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6C9BA53D" w14:textId="77777777" w:rsidR="00766EA7" w:rsidRPr="00766EA7" w:rsidRDefault="00766EA7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66EA7">
              <w:rPr>
                <w:sz w:val="22"/>
                <w:szCs w:val="22"/>
              </w:rPr>
              <w:t>Piedāvājums iesniegts Pasūtītāja noteiktajā termiņā un vietā.</w:t>
            </w:r>
          </w:p>
          <w:p w14:paraId="231B5D99" w14:textId="77777777" w:rsidR="00B21CAB" w:rsidRDefault="005A425A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 s</w:t>
            </w:r>
            <w:r w:rsidR="00766EA7" w:rsidRPr="00766EA7">
              <w:rPr>
                <w:sz w:val="22"/>
                <w:szCs w:val="22"/>
              </w:rPr>
              <w:t xml:space="preserve">aimnieciski izdevīgākais piedāvājums, iegūstot </w:t>
            </w:r>
            <w:r w:rsidRPr="005A425A">
              <w:rPr>
                <w:b/>
                <w:bCs/>
                <w:sz w:val="22"/>
                <w:szCs w:val="22"/>
              </w:rPr>
              <w:t>9</w:t>
            </w:r>
            <w:r w:rsidR="00766EA7" w:rsidRPr="005A425A">
              <w:rPr>
                <w:b/>
                <w:bCs/>
                <w:sz w:val="22"/>
                <w:szCs w:val="22"/>
              </w:rPr>
              <w:t>3,</w:t>
            </w:r>
            <w:r w:rsidRPr="005A425A">
              <w:rPr>
                <w:b/>
                <w:bCs/>
                <w:sz w:val="22"/>
                <w:szCs w:val="22"/>
              </w:rPr>
              <w:t>00</w:t>
            </w:r>
            <w:r w:rsidR="00766EA7" w:rsidRPr="00766EA7">
              <w:rPr>
                <w:sz w:val="22"/>
                <w:szCs w:val="22"/>
              </w:rPr>
              <w:t xml:space="preserve"> punktus.</w:t>
            </w:r>
          </w:p>
          <w:p w14:paraId="1A71B0E5" w14:textId="77777777" w:rsidR="005A425A" w:rsidRPr="005A425A" w:rsidRDefault="005A425A" w:rsidP="005A425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425A">
              <w:rPr>
                <w:sz w:val="22"/>
                <w:szCs w:val="22"/>
              </w:rPr>
              <w:t>Iesniegtie atlases dokumenti atbilst Pasūtītāja izvirzītajām atlases prasībām.</w:t>
            </w:r>
          </w:p>
          <w:p w14:paraId="7268F9AB" w14:textId="7355A64F" w:rsidR="005A425A" w:rsidRPr="00E439C3" w:rsidRDefault="005A425A" w:rsidP="00766E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A425A">
              <w:rPr>
                <w:sz w:val="22"/>
                <w:szCs w:val="22"/>
              </w:rPr>
              <w:t>Pretendenta tehniskais piedāvājums atbilst tehniskās specifikācijas prasībām.</w:t>
            </w:r>
          </w:p>
        </w:tc>
      </w:tr>
      <w:tr w:rsidR="00B21CAB" w:rsidRPr="00E439C3" w14:paraId="4F694735" w14:textId="77777777" w:rsidTr="00AB22F4">
        <w:trPr>
          <w:trHeight w:val="260"/>
          <w:jc w:val="center"/>
        </w:trPr>
        <w:tc>
          <w:tcPr>
            <w:tcW w:w="1742" w:type="pct"/>
          </w:tcPr>
          <w:p w14:paraId="4FA8FCE5" w14:textId="77777777" w:rsidR="00B21CAB" w:rsidRPr="00E439C3" w:rsidRDefault="00B21CAB" w:rsidP="00B21C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39C3">
              <w:rPr>
                <w:sz w:val="22"/>
                <w:szCs w:val="22"/>
              </w:rPr>
              <w:t xml:space="preserve">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VP Sales</w:t>
            </w:r>
            <w:r>
              <w:rPr>
                <w:sz w:val="22"/>
                <w:szCs w:val="22"/>
              </w:rPr>
              <w:t>”</w:t>
            </w:r>
            <w:r w:rsidRPr="00E439C3">
              <w:rPr>
                <w:sz w:val="22"/>
                <w:szCs w:val="22"/>
              </w:rPr>
              <w:t xml:space="preserve"> un SIA </w:t>
            </w:r>
            <w:r>
              <w:rPr>
                <w:sz w:val="22"/>
                <w:szCs w:val="22"/>
              </w:rPr>
              <w:t>“</w:t>
            </w:r>
            <w:r w:rsidRPr="00E439C3">
              <w:rPr>
                <w:sz w:val="22"/>
                <w:szCs w:val="22"/>
              </w:rPr>
              <w:t>PEER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3258" w:type="pct"/>
          </w:tcPr>
          <w:p w14:paraId="01365C80" w14:textId="77777777" w:rsidR="00695E51" w:rsidRDefault="00695E51" w:rsidP="00695E5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46894">
              <w:rPr>
                <w:sz w:val="22"/>
                <w:szCs w:val="22"/>
              </w:rPr>
              <w:t>Piedāvājums iesniegts Pasūtītāja noteiktajā termiņā un vietā.</w:t>
            </w:r>
          </w:p>
          <w:p w14:paraId="4F0A0B88" w14:textId="1D87430A" w:rsidR="00B21CAB" w:rsidRPr="00E439C3" w:rsidRDefault="00695E51" w:rsidP="00695E51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Piedāvājums izslēgts, jo neatbilst </w:t>
            </w:r>
            <w:r w:rsidRPr="00A00E68">
              <w:rPr>
                <w:sz w:val="22"/>
                <w:szCs w:val="22"/>
              </w:rPr>
              <w:t>nolikuma 4.7.1. punkt</w:t>
            </w:r>
            <w:r>
              <w:rPr>
                <w:sz w:val="22"/>
                <w:szCs w:val="22"/>
              </w:rPr>
              <w:t>ā</w:t>
            </w:r>
            <w:r w:rsidRPr="00A00E68">
              <w:rPr>
                <w:sz w:val="22"/>
                <w:szCs w:val="22"/>
              </w:rPr>
              <w:t xml:space="preserve"> un nolikuma 7. pielikuma “Finanšu piedāvājums” formā noteikt</w:t>
            </w:r>
            <w:r>
              <w:rPr>
                <w:sz w:val="22"/>
                <w:szCs w:val="22"/>
              </w:rPr>
              <w:t>ajam.</w:t>
            </w:r>
          </w:p>
        </w:tc>
      </w:tr>
    </w:tbl>
    <w:p w14:paraId="290B3FE4" w14:textId="77777777" w:rsidR="00EB2F08" w:rsidRPr="00121437" w:rsidRDefault="00EB2F08" w:rsidP="005A4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</w:p>
    <w:p w14:paraId="2F9EDF6D" w14:textId="77777777" w:rsidR="00EB2F08" w:rsidRPr="00D25D76" w:rsidRDefault="00EB2F08" w:rsidP="00EB2F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ar-SA"/>
          <w14:ligatures w14:val="none"/>
        </w:rPr>
      </w:pPr>
      <w:r w:rsidRPr="00D25D76">
        <w:rPr>
          <w:rFonts w:ascii="Times New Roman" w:eastAsia="Times New Roman" w:hAnsi="Times New Roman" w:cs="Times New Roman"/>
          <w:b/>
          <w:kern w:val="0"/>
          <w:u w:val="single"/>
          <w:lang w:eastAsia="lv-LV"/>
          <w14:ligatures w14:val="none"/>
        </w:rPr>
        <w:t>Pretendents, ar kuru nolemts slēgt iepirkuma līgumu, līgumcena:</w:t>
      </w:r>
      <w:r w:rsidRPr="00D25D7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7CEE2B04" w14:textId="117EF392" w:rsidR="00EB2F08" w:rsidRPr="00254458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</w:pPr>
    </w:p>
    <w:p w14:paraId="57F53129" w14:textId="2452CDA5" w:rsidR="00EB2F08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9C12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SIA “</w:t>
      </w:r>
      <w:r w:rsidR="00612C1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Playoff</w:t>
      </w:r>
      <w:r w:rsidRPr="009C12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”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iesniegtais piedāvājums atbilst visām Iepirkuma nolikumā izvirzītajam prasībām un ir</w:t>
      </w:r>
      <w:r w:rsidR="00B6057C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saimnieciski izdevīgākais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piedāvājums,</w:t>
      </w:r>
      <w:r w:rsidR="00B6057C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iegūstot 93,00 punktus,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līdz ar to Iepirkuma komisija 202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6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. gada </w:t>
      </w:r>
      <w:r w:rsidR="00B02847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8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 </w:t>
      </w:r>
      <w:r w:rsidR="00B6057C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maijā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nolemj par uzvarētāju </w:t>
      </w:r>
      <w:r w:rsidR="006C2D32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Iepirkumā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atzīt </w:t>
      </w:r>
      <w:r w:rsidRPr="009C12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SIA “</w:t>
      </w:r>
      <w:r w:rsidR="00AC31D4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Playoff</w:t>
      </w:r>
      <w:r w:rsidRPr="009C12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”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, reģistrācijas Nr.</w:t>
      </w:r>
      <w:r w:rsidR="00EB24E9" w:rsidRPr="00EB24E9">
        <w:t xml:space="preserve"> </w:t>
      </w:r>
      <w:r w:rsidR="00EB24E9" w:rsidRPr="00EB24E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50203072151, juridiskā adrese: Kauguru iela 6, Rīga, LV-1046, Latvija</w:t>
      </w:r>
      <w:r w:rsidRPr="009C12EB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, 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un noslēgt iepirkuma līgumu par </w:t>
      </w:r>
      <w:r w:rsidR="00380B5A" w:rsidRPr="00380B5A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pasākumu organizēšanas atbalsta pakalpojumiem </w:t>
      </w:r>
      <w:r w:rsidRPr="00254458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par kopējo līguma summu</w:t>
      </w:r>
      <w:r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</w:t>
      </w:r>
      <w:r w:rsidR="008B4ADE" w:rsidRPr="008B4ADE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250 000,00 EUR (divi simti piecdesmit tūkstoši </w:t>
      </w:r>
      <w:r w:rsidR="008B4ADE" w:rsidRPr="0094523A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euro</w:t>
      </w:r>
      <w:r w:rsidR="008B4ADE" w:rsidRPr="008B4ADE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 un 00 centi), neieskaitot pievienotās vērtības nodokli, līdz līguma summas sasniegšanai, bet ne ilgāk kā uz 3 (trīs) gadiem, ar iespēju pagarināt līgumu līdz 5 (pieciem) gadiem</w:t>
      </w:r>
      <w:r w:rsidR="0094523A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.</w:t>
      </w:r>
    </w:p>
    <w:p w14:paraId="5929ACA5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65"/>
        <w:gridCol w:w="2327"/>
        <w:gridCol w:w="2547"/>
      </w:tblGrid>
      <w:tr w:rsidR="00EB2F08" w:rsidRPr="00D25D76" w14:paraId="2FC08DC5" w14:textId="77777777" w:rsidTr="0056600C">
        <w:trPr>
          <w:trHeight w:val="567"/>
        </w:trPr>
        <w:tc>
          <w:tcPr>
            <w:tcW w:w="4765" w:type="dxa"/>
            <w:vAlign w:val="center"/>
          </w:tcPr>
          <w:p w14:paraId="2ED116E6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bookmarkStart w:id="4" w:name="_Hlk25748133"/>
            <w:r w:rsidRPr="00D25D76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a</w:t>
            </w:r>
            <w:r w:rsidRPr="00D25D76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:</w:t>
            </w:r>
          </w:p>
        </w:tc>
        <w:tc>
          <w:tcPr>
            <w:tcW w:w="2327" w:type="dxa"/>
            <w:vAlign w:val="bottom"/>
          </w:tcPr>
          <w:p w14:paraId="2668510B" w14:textId="33AFF91E" w:rsidR="00EB2F08" w:rsidRPr="00D25D76" w:rsidRDefault="00EB2F08" w:rsidP="0056600C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D</w:t>
            </w:r>
            <w:r w:rsidRPr="00D25D76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Kazāka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0AF9E486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EB2F08" w:rsidRPr="00D25D76" w14:paraId="7BC65C81" w14:textId="77777777" w:rsidTr="0056600C">
        <w:trPr>
          <w:trHeight w:val="567"/>
        </w:trPr>
        <w:tc>
          <w:tcPr>
            <w:tcW w:w="4765" w:type="dxa"/>
            <w:vAlign w:val="center"/>
          </w:tcPr>
          <w:p w14:paraId="090B950A" w14:textId="44B4854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F3631C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priekšsēdētājas vietnie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ce:</w:t>
            </w:r>
          </w:p>
        </w:tc>
        <w:tc>
          <w:tcPr>
            <w:tcW w:w="2327" w:type="dxa"/>
            <w:vAlign w:val="bottom"/>
          </w:tcPr>
          <w:p w14:paraId="1C614546" w14:textId="693044DD" w:rsidR="00EB2F08" w:rsidRPr="00D25D76" w:rsidRDefault="00EB2F08" w:rsidP="0056600C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A</w:t>
            </w:r>
            <w:r w:rsidRPr="00F3631C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Tensberga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5AAB6173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EB2F08" w:rsidRPr="00D25D76" w14:paraId="32B7342E" w14:textId="77777777" w:rsidTr="0056600C">
        <w:trPr>
          <w:trHeight w:val="567"/>
        </w:trPr>
        <w:tc>
          <w:tcPr>
            <w:tcW w:w="4765" w:type="dxa"/>
            <w:vAlign w:val="center"/>
          </w:tcPr>
          <w:p w14:paraId="03D7B801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 w:rsidRPr="00D25D76"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Komisijas locekļi:</w:t>
            </w:r>
          </w:p>
        </w:tc>
        <w:tc>
          <w:tcPr>
            <w:tcW w:w="2327" w:type="dxa"/>
            <w:vAlign w:val="bottom"/>
          </w:tcPr>
          <w:p w14:paraId="05BAAAA6" w14:textId="5586C133" w:rsidR="00EB2F08" w:rsidRPr="00D25D76" w:rsidRDefault="00EB2F08" w:rsidP="0056600C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I. Vavilova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65316331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EB2F08" w:rsidRPr="00D25D76" w14:paraId="7C780769" w14:textId="77777777" w:rsidTr="0056600C">
        <w:trPr>
          <w:trHeight w:val="567"/>
        </w:trPr>
        <w:tc>
          <w:tcPr>
            <w:tcW w:w="4765" w:type="dxa"/>
            <w:vAlign w:val="center"/>
          </w:tcPr>
          <w:p w14:paraId="39599956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2327" w:type="dxa"/>
            <w:vAlign w:val="bottom"/>
          </w:tcPr>
          <w:p w14:paraId="3D5C3CCD" w14:textId="6ACB3A34" w:rsidR="00EB2F08" w:rsidRDefault="00EB2F08" w:rsidP="0056600C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  <w:t>L. Šlisere</w:t>
            </w: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16956608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  <w:tr w:rsidR="00EB2F08" w:rsidRPr="00D25D76" w14:paraId="01F38DF9" w14:textId="77777777" w:rsidTr="0056600C">
        <w:trPr>
          <w:trHeight w:val="567"/>
        </w:trPr>
        <w:tc>
          <w:tcPr>
            <w:tcW w:w="4765" w:type="dxa"/>
            <w:vAlign w:val="center"/>
          </w:tcPr>
          <w:p w14:paraId="23C1446D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2327" w:type="dxa"/>
            <w:vAlign w:val="bottom"/>
          </w:tcPr>
          <w:p w14:paraId="45EF2504" w14:textId="77777777" w:rsidR="00EB2F08" w:rsidRPr="00D25D76" w:rsidRDefault="00EB2F08" w:rsidP="00EB2F08">
            <w:pPr>
              <w:spacing w:after="0" w:line="276" w:lineRule="auto"/>
              <w:ind w:left="204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026BF06F" w14:textId="77777777" w:rsidR="00EB2F08" w:rsidRPr="00D25D76" w:rsidRDefault="00EB2F08" w:rsidP="0056600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bidi="en-US"/>
                <w14:ligatures w14:val="none"/>
              </w:rPr>
            </w:pPr>
          </w:p>
        </w:tc>
      </w:tr>
    </w:tbl>
    <w:bookmarkEnd w:id="4"/>
    <w:p w14:paraId="779A2D0C" w14:textId="77777777" w:rsidR="00EB2F08" w:rsidRPr="00A774B7" w:rsidRDefault="00EB2F08" w:rsidP="00EB2F0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</w:pPr>
      <w:r w:rsidRPr="00A774B7">
        <w:rPr>
          <w:rFonts w:ascii="Times New Roman" w:eastAsia="Times New Roman" w:hAnsi="Times New Roman" w:cs="Times New Roman"/>
          <w:i/>
          <w:iCs/>
          <w:kern w:val="0"/>
          <w:lang w:bidi="en-US"/>
          <w14:ligatures w14:val="none"/>
        </w:rPr>
        <w:t>Dokuments parakstīts elektroniski ar drošiem elektroniskiem parakstiem un satur laika zīmogus</w:t>
      </w:r>
    </w:p>
    <w:p w14:paraId="70BF20E9" w14:textId="77777777" w:rsidR="00EB2F08" w:rsidRPr="00A774B7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6F5E7112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</w:p>
    <w:p w14:paraId="1524A512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lastRenderedPageBreak/>
        <w:t xml:space="preserve">Protokolēja </w:t>
      </w:r>
    </w:p>
    <w:p w14:paraId="39DD5BD0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Personālvadības un juridiskā departamenta </w:t>
      </w:r>
    </w:p>
    <w:p w14:paraId="7C17FDD8" w14:textId="77777777" w:rsidR="00EB2F08" w:rsidRPr="00D25D76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Juridiskās nodaļas juriskonsulte – iepirkumu speciāliste</w:t>
      </w:r>
    </w:p>
    <w:p w14:paraId="3F724C04" w14:textId="77777777" w:rsidR="00EB2F08" w:rsidRPr="009C12EB" w:rsidRDefault="00EB2F08" w:rsidP="00EB2F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 w:rsidRPr="00D25D76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>I. Skrodele</w:t>
      </w:r>
    </w:p>
    <w:p w14:paraId="70156CF4" w14:textId="77777777" w:rsidR="009636AE" w:rsidRDefault="009636AE"/>
    <w:sectPr w:rsidR="009636AE" w:rsidSect="00EB2F08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FC60" w14:textId="77777777" w:rsidR="00702790" w:rsidRDefault="00702790">
      <w:pPr>
        <w:spacing w:after="0" w:line="240" w:lineRule="auto"/>
      </w:pPr>
      <w:r>
        <w:separator/>
      </w:r>
    </w:p>
  </w:endnote>
  <w:endnote w:type="continuationSeparator" w:id="0">
    <w:p w14:paraId="18DE7B6C" w14:textId="77777777" w:rsidR="00702790" w:rsidRDefault="0070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1BBC" w14:textId="77777777" w:rsidR="00EB2F08" w:rsidRDefault="00EB2F08">
    <w:pPr>
      <w:pStyle w:val="Kjene"/>
      <w:jc w:val="right"/>
    </w:pPr>
    <w:r w:rsidRPr="002A186A">
      <w:fldChar w:fldCharType="begin"/>
    </w:r>
    <w:r w:rsidRPr="002A186A">
      <w:instrText xml:space="preserve"> PAGE   \* MERGEFORMAT </w:instrText>
    </w:r>
    <w:r w:rsidRPr="002A186A">
      <w:fldChar w:fldCharType="separate"/>
    </w:r>
    <w:r>
      <w:rPr>
        <w:noProof/>
      </w:rPr>
      <w:t>3</w:t>
    </w:r>
    <w:r w:rsidRPr="002A186A">
      <w:fldChar w:fldCharType="end"/>
    </w:r>
  </w:p>
  <w:p w14:paraId="56C3AC73" w14:textId="77777777" w:rsidR="00EB2F08" w:rsidRDefault="00EB2F0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55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421B9" w14:textId="77777777" w:rsidR="00EB2F08" w:rsidRDefault="00EB2F08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7E9F2E" w14:textId="77777777" w:rsidR="00EB2F08" w:rsidRDefault="00EB2F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0945" w14:textId="77777777" w:rsidR="00702790" w:rsidRDefault="00702790">
      <w:pPr>
        <w:spacing w:after="0" w:line="240" w:lineRule="auto"/>
      </w:pPr>
      <w:r>
        <w:separator/>
      </w:r>
    </w:p>
  </w:footnote>
  <w:footnote w:type="continuationSeparator" w:id="0">
    <w:p w14:paraId="7D07467C" w14:textId="77777777" w:rsidR="00702790" w:rsidRDefault="00702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567"/>
    <w:multiLevelType w:val="multilevel"/>
    <w:tmpl w:val="1BCCB4A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050281"/>
    <w:multiLevelType w:val="multilevel"/>
    <w:tmpl w:val="54E67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8575415">
    <w:abstractNumId w:val="1"/>
  </w:num>
  <w:num w:numId="2" w16cid:durableId="65838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08"/>
    <w:rsid w:val="000103DF"/>
    <w:rsid w:val="00097954"/>
    <w:rsid w:val="000F2BB2"/>
    <w:rsid w:val="000F3D1C"/>
    <w:rsid w:val="001C3EBE"/>
    <w:rsid w:val="001C6D20"/>
    <w:rsid w:val="001F4260"/>
    <w:rsid w:val="00230629"/>
    <w:rsid w:val="002340B5"/>
    <w:rsid w:val="002478F6"/>
    <w:rsid w:val="002E38C5"/>
    <w:rsid w:val="002F7CA7"/>
    <w:rsid w:val="00312D1D"/>
    <w:rsid w:val="00380B5A"/>
    <w:rsid w:val="00435664"/>
    <w:rsid w:val="0053241E"/>
    <w:rsid w:val="005513B4"/>
    <w:rsid w:val="0056251E"/>
    <w:rsid w:val="00577E51"/>
    <w:rsid w:val="00580178"/>
    <w:rsid w:val="005A425A"/>
    <w:rsid w:val="00612C14"/>
    <w:rsid w:val="00621E57"/>
    <w:rsid w:val="00635884"/>
    <w:rsid w:val="00660803"/>
    <w:rsid w:val="00695E51"/>
    <w:rsid w:val="006C2D32"/>
    <w:rsid w:val="006D0F9A"/>
    <w:rsid w:val="006E7AAF"/>
    <w:rsid w:val="00702790"/>
    <w:rsid w:val="00766EA7"/>
    <w:rsid w:val="00846894"/>
    <w:rsid w:val="008B4ADE"/>
    <w:rsid w:val="008C65B6"/>
    <w:rsid w:val="00920207"/>
    <w:rsid w:val="0094523A"/>
    <w:rsid w:val="009636AE"/>
    <w:rsid w:val="009E1BE7"/>
    <w:rsid w:val="00A00E68"/>
    <w:rsid w:val="00A61BCA"/>
    <w:rsid w:val="00AB22F4"/>
    <w:rsid w:val="00AC31D4"/>
    <w:rsid w:val="00B02847"/>
    <w:rsid w:val="00B21CAB"/>
    <w:rsid w:val="00B42355"/>
    <w:rsid w:val="00B6057C"/>
    <w:rsid w:val="00BB5065"/>
    <w:rsid w:val="00BC1FA7"/>
    <w:rsid w:val="00BF5FF7"/>
    <w:rsid w:val="00C81334"/>
    <w:rsid w:val="00C81885"/>
    <w:rsid w:val="00C9647F"/>
    <w:rsid w:val="00D33BC3"/>
    <w:rsid w:val="00D937BC"/>
    <w:rsid w:val="00DC6CCB"/>
    <w:rsid w:val="00DD20C2"/>
    <w:rsid w:val="00DD28A4"/>
    <w:rsid w:val="00EB24E9"/>
    <w:rsid w:val="00EB2F08"/>
    <w:rsid w:val="00EC6D6B"/>
    <w:rsid w:val="00F046C2"/>
    <w:rsid w:val="00F61BA9"/>
    <w:rsid w:val="00FA3BA9"/>
    <w:rsid w:val="00FB6CD0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DBE5"/>
  <w15:chartTrackingRefBased/>
  <w15:docId w15:val="{4CCAF847-DEDC-44E3-9BB3-E3F6C8C8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5E51"/>
  </w:style>
  <w:style w:type="paragraph" w:styleId="Virsraksts1">
    <w:name w:val="heading 1"/>
    <w:basedOn w:val="Parasts"/>
    <w:next w:val="Parasts"/>
    <w:link w:val="Virsraksts1Rakstz"/>
    <w:uiPriority w:val="9"/>
    <w:qFormat/>
    <w:rsid w:val="00EB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2F0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2F0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2F0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2F0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2F0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2F0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2F0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2F0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2F0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2F0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2F08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EB2F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EB2F08"/>
  </w:style>
  <w:style w:type="table" w:customStyle="1" w:styleId="Reatabula3">
    <w:name w:val="Režģa tabula3"/>
    <w:basedOn w:val="Parastatabula"/>
    <w:next w:val="Reatabula"/>
    <w:rsid w:val="00EB2F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B2F08"/>
    <w:rPr>
      <w:color w:val="467886" w:themeColor="hyperlink"/>
      <w:u w:val="single"/>
    </w:rPr>
  </w:style>
  <w:style w:type="table" w:styleId="Reatabula">
    <w:name w:val="Table Grid"/>
    <w:basedOn w:val="Parastatabula"/>
    <w:uiPriority w:val="39"/>
    <w:rsid w:val="00EB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C65B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F2B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en/notice/-/detail/203480-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6984</TotalTime>
  <Pages>4</Pages>
  <Words>5284</Words>
  <Characters>3013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Skrodele</dc:creator>
  <cp:keywords/>
  <dc:description/>
  <cp:lastModifiedBy>Inese Skrodele</cp:lastModifiedBy>
  <cp:revision>60</cp:revision>
  <dcterms:created xsi:type="dcterms:W3CDTF">2026-04-30T11:56:00Z</dcterms:created>
  <dcterms:modified xsi:type="dcterms:W3CDTF">2026-05-08T08:44:00Z</dcterms:modified>
</cp:coreProperties>
</file>