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B0287" w14:textId="77777777" w:rsidR="00D4027D" w:rsidRPr="00DF6001" w:rsidRDefault="00D4027D" w:rsidP="00D4027D">
      <w:pPr>
        <w:jc w:val="center"/>
        <w:rPr>
          <w:rFonts w:eastAsiaTheme="minorHAnsi"/>
          <w:b/>
          <w:bCs/>
          <w:lang w:eastAsia="en-US"/>
        </w:rPr>
      </w:pPr>
      <w:bookmarkStart w:id="0" w:name="_Hlk124406586"/>
      <w:r w:rsidRPr="00DF6001">
        <w:rPr>
          <w:rFonts w:eastAsiaTheme="minorHAnsi"/>
          <w:b/>
          <w:bCs/>
          <w:lang w:eastAsia="en-US"/>
        </w:rPr>
        <w:t>APSPRIEDES ZIŅOJUMS</w:t>
      </w:r>
    </w:p>
    <w:p w14:paraId="6C9CD480" w14:textId="77777777" w:rsidR="00D4027D" w:rsidRPr="00DF6001" w:rsidRDefault="00D4027D" w:rsidP="00D4027D">
      <w:pPr>
        <w:jc w:val="center"/>
        <w:rPr>
          <w:rFonts w:eastAsiaTheme="minorHAnsi"/>
          <w:bCs/>
          <w:lang w:eastAsia="en-US"/>
        </w:rPr>
      </w:pPr>
      <w:r w:rsidRPr="00DF6001">
        <w:rPr>
          <w:rFonts w:eastAsiaTheme="minorHAnsi"/>
          <w:bCs/>
          <w:lang w:eastAsia="en-US"/>
        </w:rPr>
        <w:t>atklātā konkursā</w:t>
      </w:r>
    </w:p>
    <w:p w14:paraId="47AFC955" w14:textId="77777777" w:rsidR="00512670" w:rsidRPr="00512670" w:rsidRDefault="00512670" w:rsidP="00512670">
      <w:pPr>
        <w:jc w:val="center"/>
        <w:rPr>
          <w:b/>
        </w:rPr>
      </w:pPr>
      <w:r w:rsidRPr="00512670">
        <w:rPr>
          <w:b/>
          <w:kern w:val="16"/>
        </w:rPr>
        <w:t xml:space="preserve">“Autobusu un mikroautobusu Iveco, Volvo, VW Crafter remonta pakalpojumi” </w:t>
      </w:r>
    </w:p>
    <w:p w14:paraId="6A4B329F" w14:textId="77777777" w:rsidR="00512670" w:rsidRDefault="00512670" w:rsidP="00512670">
      <w:pPr>
        <w:tabs>
          <w:tab w:val="left" w:pos="11057"/>
        </w:tabs>
        <w:jc w:val="center"/>
        <w:rPr>
          <w:rFonts w:eastAsia="Calibri"/>
          <w:lang w:eastAsia="en-US"/>
        </w:rPr>
      </w:pPr>
      <w:r w:rsidRPr="00512670">
        <w:rPr>
          <w:b/>
          <w:kern w:val="16"/>
        </w:rPr>
        <w:t>identifikācijas Nr. VALIC 2026/021/TN-P-AK</w:t>
      </w:r>
      <w:r w:rsidRPr="00512670">
        <w:rPr>
          <w:rFonts w:eastAsia="Calibri"/>
          <w:lang w:eastAsia="en-US"/>
        </w:rPr>
        <w:t xml:space="preserve"> </w:t>
      </w:r>
    </w:p>
    <w:p w14:paraId="731D9DB3" w14:textId="3C41389F" w:rsidR="00DE54E1" w:rsidRPr="002E0C60" w:rsidRDefault="00D4027D" w:rsidP="00DE54E1">
      <w:pPr>
        <w:tabs>
          <w:tab w:val="left" w:pos="11057"/>
        </w:tabs>
        <w:jc w:val="right"/>
        <w:rPr>
          <w:rFonts w:eastAsiaTheme="minorHAnsi"/>
          <w:lang w:eastAsia="en-US"/>
        </w:rPr>
      </w:pPr>
      <w:r w:rsidRPr="002E0C60">
        <w:rPr>
          <w:rFonts w:eastAsiaTheme="minorHAnsi"/>
          <w:lang w:eastAsia="en-US"/>
        </w:rPr>
        <w:t>Rīgā, 202</w:t>
      </w:r>
      <w:r w:rsidR="00FA54E0">
        <w:rPr>
          <w:rFonts w:eastAsiaTheme="minorHAnsi"/>
          <w:lang w:eastAsia="en-US"/>
        </w:rPr>
        <w:t>6</w:t>
      </w:r>
      <w:r w:rsidRPr="002E0C60">
        <w:rPr>
          <w:rFonts w:eastAsiaTheme="minorHAnsi"/>
          <w:lang w:eastAsia="en-US"/>
        </w:rPr>
        <w:t xml:space="preserve">. gada </w:t>
      </w:r>
      <w:r w:rsidR="00FA54E0">
        <w:rPr>
          <w:rFonts w:eastAsiaTheme="minorHAnsi"/>
          <w:lang w:eastAsia="en-US"/>
        </w:rPr>
        <w:t>14</w:t>
      </w:r>
      <w:r w:rsidR="0056127F" w:rsidRPr="00D17D1F">
        <w:rPr>
          <w:rFonts w:eastAsiaTheme="minorHAnsi"/>
          <w:lang w:eastAsia="en-US"/>
        </w:rPr>
        <w:t>.</w:t>
      </w:r>
      <w:r w:rsidR="0056127F" w:rsidRPr="002E0C60">
        <w:rPr>
          <w:rFonts w:eastAsiaTheme="minorHAnsi"/>
          <w:lang w:eastAsia="en-US"/>
        </w:rPr>
        <w:t> </w:t>
      </w:r>
      <w:r w:rsidR="00FA54E0">
        <w:rPr>
          <w:rFonts w:eastAsiaTheme="minorHAnsi"/>
          <w:lang w:eastAsia="en-US"/>
        </w:rPr>
        <w:t>aprīlī</w:t>
      </w:r>
    </w:p>
    <w:p w14:paraId="4B535E6B" w14:textId="77777777" w:rsidR="00D4027D" w:rsidRPr="002E0C60" w:rsidRDefault="00D4027D" w:rsidP="00DE54E1">
      <w:pPr>
        <w:pStyle w:val="ListParagraph"/>
        <w:numPr>
          <w:ilvl w:val="0"/>
          <w:numId w:val="2"/>
        </w:numPr>
        <w:spacing w:after="0" w:line="240" w:lineRule="auto"/>
        <w:ind w:left="357" w:hanging="357"/>
        <w:contextualSpacing w:val="0"/>
        <w:jc w:val="both"/>
        <w:rPr>
          <w:rFonts w:cs="Times New Roman"/>
          <w:sz w:val="24"/>
          <w:szCs w:val="24"/>
        </w:rPr>
      </w:pPr>
      <w:r w:rsidRPr="002E0C60">
        <w:rPr>
          <w:rFonts w:cs="Times New Roman"/>
          <w:b/>
          <w:sz w:val="24"/>
          <w:szCs w:val="24"/>
        </w:rPr>
        <w:t>Apspriedes rīkotājs:</w:t>
      </w:r>
      <w:r w:rsidRPr="002E0C60">
        <w:rPr>
          <w:rFonts w:cs="Times New Roman"/>
          <w:sz w:val="24"/>
          <w:szCs w:val="24"/>
        </w:rPr>
        <w:t xml:space="preserve"> Valsts aizsardzības loģistikas un iepirkumu centrs, Biksēres iela 6, Rīga.</w:t>
      </w:r>
    </w:p>
    <w:p w14:paraId="5859FF45" w14:textId="709BE0E6" w:rsidR="00D4027D" w:rsidRPr="00A8680C" w:rsidRDefault="00D4027D" w:rsidP="00DE54E1">
      <w:pPr>
        <w:pStyle w:val="ListParagraph"/>
        <w:numPr>
          <w:ilvl w:val="0"/>
          <w:numId w:val="2"/>
        </w:numPr>
        <w:spacing w:after="0" w:line="240" w:lineRule="auto"/>
        <w:ind w:left="357" w:hanging="357"/>
        <w:contextualSpacing w:val="0"/>
        <w:jc w:val="both"/>
        <w:rPr>
          <w:rFonts w:cs="Times New Roman"/>
          <w:sz w:val="24"/>
          <w:szCs w:val="24"/>
        </w:rPr>
      </w:pPr>
      <w:r w:rsidRPr="002E0C60">
        <w:rPr>
          <w:rFonts w:cs="Times New Roman"/>
          <w:b/>
          <w:bCs/>
          <w:sz w:val="24"/>
          <w:szCs w:val="24"/>
        </w:rPr>
        <w:t>Apspriedes termiņš:</w:t>
      </w:r>
      <w:r w:rsidRPr="002E0C60">
        <w:rPr>
          <w:rFonts w:cs="Times New Roman"/>
          <w:sz w:val="24"/>
          <w:szCs w:val="24"/>
        </w:rPr>
        <w:t xml:space="preserve"> </w:t>
      </w:r>
      <w:r w:rsidRPr="00A8680C">
        <w:rPr>
          <w:rFonts w:cs="Times New Roman"/>
          <w:sz w:val="24"/>
          <w:szCs w:val="24"/>
        </w:rPr>
        <w:t>no 202</w:t>
      </w:r>
      <w:r w:rsidR="00A8680C" w:rsidRPr="00A8680C">
        <w:rPr>
          <w:rFonts w:cs="Times New Roman"/>
          <w:sz w:val="24"/>
          <w:szCs w:val="24"/>
        </w:rPr>
        <w:t>6</w:t>
      </w:r>
      <w:r w:rsidRPr="00A8680C">
        <w:rPr>
          <w:rFonts w:cs="Times New Roman"/>
          <w:sz w:val="24"/>
          <w:szCs w:val="24"/>
        </w:rPr>
        <w:t xml:space="preserve">. gada </w:t>
      </w:r>
      <w:r w:rsidR="00A8680C" w:rsidRPr="00A8680C">
        <w:rPr>
          <w:rFonts w:cs="Times New Roman"/>
          <w:sz w:val="24"/>
          <w:szCs w:val="24"/>
        </w:rPr>
        <w:t>24</w:t>
      </w:r>
      <w:r w:rsidR="0056127F" w:rsidRPr="00A8680C">
        <w:rPr>
          <w:rFonts w:cs="Times New Roman"/>
          <w:sz w:val="24"/>
          <w:szCs w:val="24"/>
        </w:rPr>
        <w:t>. </w:t>
      </w:r>
      <w:r w:rsidR="00A8680C" w:rsidRPr="00A8680C">
        <w:rPr>
          <w:rFonts w:cs="Times New Roman"/>
          <w:sz w:val="24"/>
          <w:szCs w:val="24"/>
        </w:rPr>
        <w:t>marta</w:t>
      </w:r>
      <w:r w:rsidR="00FE5611" w:rsidRPr="00A8680C">
        <w:rPr>
          <w:rFonts w:cs="Times New Roman"/>
          <w:sz w:val="24"/>
          <w:szCs w:val="24"/>
        </w:rPr>
        <w:t xml:space="preserve"> </w:t>
      </w:r>
      <w:r w:rsidRPr="00A8680C">
        <w:rPr>
          <w:rFonts w:cs="Times New Roman"/>
          <w:sz w:val="24"/>
          <w:szCs w:val="24"/>
        </w:rPr>
        <w:t>līdz 202</w:t>
      </w:r>
      <w:r w:rsidR="00A8680C" w:rsidRPr="00A8680C">
        <w:rPr>
          <w:rFonts w:cs="Times New Roman"/>
          <w:sz w:val="24"/>
          <w:szCs w:val="24"/>
        </w:rPr>
        <w:t>6</w:t>
      </w:r>
      <w:r w:rsidRPr="00A8680C">
        <w:rPr>
          <w:rFonts w:cs="Times New Roman"/>
          <w:sz w:val="24"/>
          <w:szCs w:val="24"/>
        </w:rPr>
        <w:t xml:space="preserve">. gada </w:t>
      </w:r>
      <w:r w:rsidR="00A8680C" w:rsidRPr="00A8680C">
        <w:rPr>
          <w:rFonts w:cs="Times New Roman"/>
          <w:sz w:val="24"/>
          <w:szCs w:val="24"/>
        </w:rPr>
        <w:t>10</w:t>
      </w:r>
      <w:r w:rsidR="00755497" w:rsidRPr="00A8680C">
        <w:rPr>
          <w:rFonts w:cs="Times New Roman"/>
          <w:sz w:val="24"/>
          <w:szCs w:val="24"/>
        </w:rPr>
        <w:t>. </w:t>
      </w:r>
      <w:r w:rsidR="00A8680C" w:rsidRPr="00A8680C">
        <w:rPr>
          <w:rFonts w:cs="Times New Roman"/>
          <w:sz w:val="24"/>
          <w:szCs w:val="24"/>
        </w:rPr>
        <w:t>aprīlim</w:t>
      </w:r>
      <w:r w:rsidR="00062458" w:rsidRPr="00A8680C">
        <w:rPr>
          <w:rFonts w:cs="Times New Roman"/>
          <w:sz w:val="24"/>
          <w:szCs w:val="24"/>
        </w:rPr>
        <w:t>.</w:t>
      </w:r>
    </w:p>
    <w:p w14:paraId="2A706C7F" w14:textId="695CA363" w:rsidR="00812116" w:rsidRPr="002358DD" w:rsidRDefault="00B1292F" w:rsidP="00FC1F91">
      <w:pPr>
        <w:pStyle w:val="ListParagraph"/>
        <w:numPr>
          <w:ilvl w:val="0"/>
          <w:numId w:val="2"/>
        </w:numPr>
        <w:jc w:val="both"/>
        <w:rPr>
          <w:rFonts w:cs="Times New Roman"/>
          <w:bCs/>
          <w:sz w:val="24"/>
          <w:szCs w:val="24"/>
        </w:rPr>
      </w:pPr>
      <w:r w:rsidRPr="002E0C60">
        <w:rPr>
          <w:rFonts w:cs="Times New Roman"/>
          <w:b/>
          <w:bCs/>
          <w:sz w:val="24"/>
          <w:szCs w:val="24"/>
        </w:rPr>
        <w:t xml:space="preserve">Apspriedes priekšmets: </w:t>
      </w:r>
      <w:r w:rsidR="002358DD" w:rsidRPr="00512670">
        <w:rPr>
          <w:rFonts w:cs="Times New Roman"/>
          <w:bCs/>
          <w:sz w:val="24"/>
          <w:szCs w:val="24"/>
        </w:rPr>
        <w:t>Autobusu un mikroautobusu Iveco, Volvo, VW Crafter remonta pakalpojumi</w:t>
      </w:r>
    </w:p>
    <w:p w14:paraId="47DFF22B" w14:textId="61ADEFCB" w:rsidR="00702FFA" w:rsidRPr="00D17624" w:rsidRDefault="00B1292F" w:rsidP="00D36F50">
      <w:pPr>
        <w:pStyle w:val="ListParagraph"/>
        <w:numPr>
          <w:ilvl w:val="0"/>
          <w:numId w:val="2"/>
        </w:numPr>
        <w:spacing w:after="0" w:line="240" w:lineRule="auto"/>
        <w:ind w:left="357" w:hanging="357"/>
        <w:contextualSpacing w:val="0"/>
        <w:jc w:val="both"/>
        <w:rPr>
          <w:rFonts w:eastAsia="Times New Roman" w:cs="Times New Roman"/>
          <w:sz w:val="24"/>
          <w:szCs w:val="24"/>
          <w:lang w:eastAsia="lv-LV"/>
        </w:rPr>
      </w:pPr>
      <w:r w:rsidRPr="002E0C60">
        <w:rPr>
          <w:rFonts w:cs="Times New Roman"/>
          <w:b/>
          <w:bCs/>
          <w:sz w:val="24"/>
          <w:szCs w:val="24"/>
        </w:rPr>
        <w:t>Apspriedes dalībniek</w:t>
      </w:r>
      <w:r w:rsidR="007B5D3F" w:rsidRPr="002E0C60">
        <w:rPr>
          <w:rFonts w:cs="Times New Roman"/>
          <w:b/>
          <w:bCs/>
          <w:sz w:val="24"/>
          <w:szCs w:val="24"/>
        </w:rPr>
        <w:t>i</w:t>
      </w:r>
      <w:r w:rsidRPr="002E0C60">
        <w:rPr>
          <w:rFonts w:cs="Times New Roman"/>
          <w:b/>
          <w:bCs/>
          <w:sz w:val="24"/>
          <w:szCs w:val="24"/>
        </w:rPr>
        <w:t>:</w:t>
      </w:r>
      <w:r w:rsidR="000D1BE8" w:rsidRPr="002E0C60">
        <w:rPr>
          <w:rFonts w:cs="Times New Roman"/>
          <w:b/>
          <w:bCs/>
          <w:sz w:val="24"/>
          <w:szCs w:val="24"/>
        </w:rPr>
        <w:t xml:space="preserve"> </w:t>
      </w:r>
      <w:r w:rsidR="005379AF">
        <w:rPr>
          <w:rFonts w:eastAsia="Times New Roman" w:cs="Times New Roman"/>
          <w:sz w:val="24"/>
          <w:szCs w:val="24"/>
          <w:lang w:eastAsia="lv-LV"/>
        </w:rPr>
        <w:t>S</w:t>
      </w:r>
      <w:r w:rsidR="000D1BE8" w:rsidRPr="002E0C60">
        <w:rPr>
          <w:rFonts w:eastAsia="Times New Roman" w:cs="Times New Roman"/>
          <w:sz w:val="24"/>
          <w:szCs w:val="24"/>
          <w:lang w:eastAsia="lv-LV"/>
        </w:rPr>
        <w:t xml:space="preserve">abiedrība ar ierobežotu atbildību </w:t>
      </w:r>
      <w:r w:rsidR="002358DD">
        <w:rPr>
          <w:rFonts w:eastAsia="Times New Roman" w:cs="Times New Roman"/>
          <w:sz w:val="24"/>
          <w:szCs w:val="24"/>
          <w:lang w:eastAsia="lv-LV"/>
        </w:rPr>
        <w:t>“</w:t>
      </w:r>
      <w:r w:rsidR="002358DD" w:rsidRPr="002358DD">
        <w:rPr>
          <w:rFonts w:eastAsia="Times New Roman" w:cs="Times New Roman"/>
          <w:sz w:val="24"/>
          <w:szCs w:val="24"/>
          <w:lang w:eastAsia="lv-LV"/>
        </w:rPr>
        <w:t>RIPO REMONTA CENTRS</w:t>
      </w:r>
      <w:r w:rsidR="002358DD">
        <w:rPr>
          <w:rFonts w:eastAsia="Times New Roman" w:cs="Times New Roman"/>
          <w:sz w:val="24"/>
          <w:szCs w:val="24"/>
          <w:lang w:eastAsia="lv-LV"/>
        </w:rPr>
        <w:t>”</w:t>
      </w:r>
      <w:r w:rsidR="000D1BE8" w:rsidRPr="002E0C60">
        <w:rPr>
          <w:sz w:val="24"/>
          <w:szCs w:val="24"/>
        </w:rPr>
        <w:t xml:space="preserve">.  </w:t>
      </w:r>
    </w:p>
    <w:p w14:paraId="0FEAC2AC" w14:textId="7B4F975E" w:rsidR="003D0394" w:rsidRDefault="003D0394" w:rsidP="00D36F50">
      <w:pPr>
        <w:pStyle w:val="ListParagraph"/>
        <w:numPr>
          <w:ilvl w:val="0"/>
          <w:numId w:val="2"/>
        </w:numPr>
        <w:spacing w:after="0" w:line="240" w:lineRule="auto"/>
        <w:ind w:left="357" w:hanging="357"/>
        <w:contextualSpacing w:val="0"/>
        <w:jc w:val="both"/>
        <w:rPr>
          <w:rFonts w:eastAsia="Times New Roman" w:cs="Times New Roman"/>
          <w:sz w:val="24"/>
          <w:szCs w:val="24"/>
          <w:lang w:eastAsia="lv-LV"/>
        </w:rPr>
      </w:pPr>
      <w:r>
        <w:rPr>
          <w:rFonts w:cs="Times New Roman"/>
          <w:b/>
          <w:bCs/>
          <w:sz w:val="24"/>
          <w:szCs w:val="24"/>
        </w:rPr>
        <w:t>Par kvalifikācijas prasībām</w:t>
      </w:r>
      <w:r w:rsidRPr="00D17624">
        <w:rPr>
          <w:rFonts w:eastAsia="Times New Roman" w:cs="Times New Roman"/>
          <w:sz w:val="24"/>
          <w:szCs w:val="24"/>
          <w:lang w:eastAsia="lv-LV"/>
        </w:rPr>
        <w:t>:</w:t>
      </w:r>
      <w:r>
        <w:rPr>
          <w:rFonts w:eastAsia="Times New Roman" w:cs="Times New Roman"/>
          <w:sz w:val="24"/>
          <w:szCs w:val="24"/>
          <w:lang w:eastAsia="lv-LV"/>
        </w:rPr>
        <w:t xml:space="preserve"> </w:t>
      </w:r>
      <w:r w:rsidRPr="00576E44">
        <w:rPr>
          <w:rFonts w:eastAsia="Times New Roman" w:cs="Times New Roman"/>
          <w:sz w:val="24"/>
          <w:szCs w:val="24"/>
          <w:lang w:eastAsia="lv-LV"/>
        </w:rPr>
        <w:t>ir</w:t>
      </w:r>
      <w:r>
        <w:rPr>
          <w:rFonts w:eastAsia="Times New Roman" w:cs="Times New Roman"/>
          <w:sz w:val="24"/>
          <w:szCs w:val="24"/>
          <w:lang w:eastAsia="lv-LV"/>
        </w:rPr>
        <w:t xml:space="preserve"> izteikti priekšlikumi. </w:t>
      </w:r>
      <w:r w:rsidR="00D17624">
        <w:rPr>
          <w:rFonts w:eastAsia="Times New Roman" w:cs="Times New Roman"/>
          <w:sz w:val="24"/>
          <w:szCs w:val="24"/>
          <w:lang w:eastAsia="lv-LV"/>
        </w:rPr>
        <w:t xml:space="preserve">Norādītas tikai tās prasības, par kurām ir izteikti priekšlikumi. </w:t>
      </w:r>
    </w:p>
    <w:p w14:paraId="145C0343" w14:textId="3F340B40" w:rsidR="003D0394" w:rsidRDefault="003D0394" w:rsidP="00D36F50">
      <w:pPr>
        <w:pStyle w:val="ListParagraph"/>
        <w:numPr>
          <w:ilvl w:val="0"/>
          <w:numId w:val="2"/>
        </w:numPr>
        <w:spacing w:after="0" w:line="240" w:lineRule="auto"/>
        <w:ind w:left="357" w:hanging="357"/>
        <w:contextualSpacing w:val="0"/>
        <w:jc w:val="both"/>
        <w:rPr>
          <w:rFonts w:eastAsia="Times New Roman" w:cs="Times New Roman"/>
          <w:sz w:val="24"/>
          <w:szCs w:val="24"/>
          <w:lang w:eastAsia="lv-LV"/>
        </w:rPr>
      </w:pPr>
      <w:r>
        <w:rPr>
          <w:rFonts w:cs="Times New Roman"/>
          <w:b/>
          <w:bCs/>
          <w:sz w:val="24"/>
          <w:szCs w:val="24"/>
        </w:rPr>
        <w:t>Par tehniskās specifikācijas projektu</w:t>
      </w:r>
      <w:r w:rsidRPr="00D17624">
        <w:rPr>
          <w:rFonts w:eastAsia="Times New Roman" w:cs="Times New Roman"/>
          <w:sz w:val="24"/>
          <w:szCs w:val="24"/>
          <w:lang w:eastAsia="lv-LV"/>
        </w:rPr>
        <w:t>:</w:t>
      </w:r>
      <w:r>
        <w:rPr>
          <w:rFonts w:eastAsia="Times New Roman" w:cs="Times New Roman"/>
          <w:sz w:val="24"/>
          <w:szCs w:val="24"/>
          <w:lang w:eastAsia="lv-LV"/>
        </w:rPr>
        <w:t xml:space="preserve"> </w:t>
      </w:r>
      <w:bookmarkStart w:id="1" w:name="_Hlk200638345"/>
      <w:r w:rsidRPr="00E55F6B">
        <w:rPr>
          <w:rFonts w:eastAsia="Times New Roman" w:cs="Times New Roman"/>
          <w:sz w:val="24"/>
          <w:szCs w:val="24"/>
          <w:lang w:eastAsia="lv-LV"/>
        </w:rPr>
        <w:t>nav</w:t>
      </w:r>
      <w:r>
        <w:rPr>
          <w:rFonts w:eastAsia="Times New Roman" w:cs="Times New Roman"/>
          <w:sz w:val="24"/>
          <w:szCs w:val="24"/>
          <w:lang w:eastAsia="lv-LV"/>
        </w:rPr>
        <w:t xml:space="preserve"> izteikti priekšlikumi.</w:t>
      </w:r>
    </w:p>
    <w:bookmarkEnd w:id="1"/>
    <w:p w14:paraId="04FC19DE" w14:textId="4854A57B" w:rsidR="000D23AE" w:rsidRPr="00F15F3F" w:rsidRDefault="000D23AE" w:rsidP="00646C04">
      <w:pPr>
        <w:pStyle w:val="ListParagraph"/>
        <w:numPr>
          <w:ilvl w:val="0"/>
          <w:numId w:val="2"/>
        </w:numPr>
        <w:spacing w:after="0" w:line="240" w:lineRule="auto"/>
        <w:contextualSpacing w:val="0"/>
        <w:jc w:val="both"/>
        <w:rPr>
          <w:rFonts w:eastAsia="Times New Roman" w:cs="Times New Roman"/>
          <w:sz w:val="24"/>
          <w:szCs w:val="24"/>
          <w:lang w:eastAsia="lv-LV"/>
        </w:rPr>
      </w:pPr>
      <w:r w:rsidRPr="00646C04">
        <w:rPr>
          <w:b/>
          <w:sz w:val="24"/>
          <w:szCs w:val="24"/>
        </w:rPr>
        <w:t>Par termiņiem ir izteikti priekšlikumi</w:t>
      </w:r>
      <w:r>
        <w:rPr>
          <w:b/>
          <w:sz w:val="24"/>
          <w:szCs w:val="24"/>
        </w:rPr>
        <w:t xml:space="preserve">: </w:t>
      </w:r>
      <w:r w:rsidRPr="001C4E9A">
        <w:rPr>
          <w:rFonts w:eastAsia="Times New Roman" w:cs="Times New Roman"/>
          <w:sz w:val="24"/>
          <w:szCs w:val="24"/>
          <w:lang w:eastAsia="lv-LV"/>
        </w:rPr>
        <w:t>ir</w:t>
      </w:r>
      <w:r w:rsidR="001C4E9A">
        <w:rPr>
          <w:rFonts w:eastAsia="Times New Roman" w:cs="Times New Roman"/>
          <w:sz w:val="24"/>
          <w:szCs w:val="24"/>
          <w:lang w:eastAsia="lv-LV"/>
        </w:rPr>
        <w:t xml:space="preserve"> </w:t>
      </w:r>
      <w:r>
        <w:rPr>
          <w:rFonts w:eastAsia="Times New Roman" w:cs="Times New Roman"/>
          <w:sz w:val="24"/>
          <w:szCs w:val="24"/>
          <w:lang w:eastAsia="lv-LV"/>
        </w:rPr>
        <w:t xml:space="preserve">izteikti priekšlikumi. </w:t>
      </w:r>
      <w:r w:rsidRPr="00D17624">
        <w:rPr>
          <w:rFonts w:eastAsia="Times New Roman" w:cs="Times New Roman"/>
          <w:sz w:val="24"/>
          <w:szCs w:val="24"/>
          <w:lang w:eastAsia="lv-LV"/>
        </w:rPr>
        <w:t>Norādīt</w:t>
      </w:r>
      <w:r>
        <w:rPr>
          <w:rFonts w:eastAsia="Times New Roman" w:cs="Times New Roman"/>
          <w:sz w:val="24"/>
          <w:szCs w:val="24"/>
          <w:lang w:eastAsia="lv-LV"/>
        </w:rPr>
        <w:t>a</w:t>
      </w:r>
      <w:r w:rsidRPr="00D17624">
        <w:rPr>
          <w:rFonts w:eastAsia="Times New Roman" w:cs="Times New Roman"/>
          <w:sz w:val="24"/>
          <w:szCs w:val="24"/>
          <w:lang w:eastAsia="lv-LV"/>
        </w:rPr>
        <w:t xml:space="preserve"> tikai tā </w:t>
      </w:r>
      <w:r>
        <w:rPr>
          <w:rFonts w:eastAsia="Times New Roman" w:cs="Times New Roman"/>
          <w:sz w:val="24"/>
          <w:szCs w:val="24"/>
          <w:lang w:eastAsia="lv-LV"/>
        </w:rPr>
        <w:t>informācija</w:t>
      </w:r>
      <w:r w:rsidRPr="00D17624">
        <w:rPr>
          <w:rFonts w:eastAsia="Times New Roman" w:cs="Times New Roman"/>
          <w:sz w:val="24"/>
          <w:szCs w:val="24"/>
          <w:lang w:eastAsia="lv-LV"/>
        </w:rPr>
        <w:t>, par ku</w:t>
      </w:r>
      <w:r>
        <w:rPr>
          <w:rFonts w:eastAsia="Times New Roman" w:cs="Times New Roman"/>
          <w:sz w:val="24"/>
          <w:szCs w:val="24"/>
          <w:lang w:eastAsia="lv-LV"/>
        </w:rPr>
        <w:t>ru</w:t>
      </w:r>
      <w:r w:rsidRPr="00D17624">
        <w:rPr>
          <w:rFonts w:eastAsia="Times New Roman" w:cs="Times New Roman"/>
          <w:sz w:val="24"/>
          <w:szCs w:val="24"/>
          <w:lang w:eastAsia="lv-LV"/>
        </w:rPr>
        <w:t xml:space="preserve"> ir izteikti priekšlikumi.</w:t>
      </w:r>
    </w:p>
    <w:p w14:paraId="01ADD535" w14:textId="04D90D87" w:rsidR="000D1BE8" w:rsidRPr="002E0C60" w:rsidRDefault="000D1BE8" w:rsidP="000D1BE8">
      <w:pPr>
        <w:pStyle w:val="ListParagraph"/>
        <w:spacing w:after="0" w:line="240" w:lineRule="auto"/>
        <w:ind w:left="357"/>
        <w:contextualSpacing w:val="0"/>
        <w:jc w:val="both"/>
        <w:rPr>
          <w:rFonts w:eastAsia="Times New Roman" w:cs="Times New Roman"/>
          <w:sz w:val="24"/>
          <w:szCs w:val="24"/>
          <w:lang w:eastAsia="lv-LV"/>
        </w:rPr>
      </w:pPr>
    </w:p>
    <w:p w14:paraId="65B042EC" w14:textId="3AD1F277" w:rsidR="000D1BE8" w:rsidRPr="002E0C60" w:rsidRDefault="000D1BE8" w:rsidP="000D1BE8">
      <w:pPr>
        <w:pStyle w:val="ListParagraph"/>
        <w:spacing w:after="0" w:line="276" w:lineRule="auto"/>
        <w:contextualSpacing w:val="0"/>
        <w:jc w:val="center"/>
        <w:rPr>
          <w:rFonts w:cs="Times New Roman"/>
          <w:b/>
          <w:sz w:val="24"/>
          <w:szCs w:val="24"/>
        </w:rPr>
      </w:pPr>
      <w:r w:rsidRPr="002E0C60">
        <w:rPr>
          <w:rFonts w:cs="Times New Roman"/>
          <w:b/>
          <w:bCs/>
          <w:sz w:val="24"/>
          <w:szCs w:val="24"/>
        </w:rPr>
        <w:t xml:space="preserve">Par kvalifikācijas prasībām </w:t>
      </w:r>
    </w:p>
    <w:p w14:paraId="527821A9" w14:textId="77777777" w:rsidR="000D1BE8" w:rsidRPr="00F15F3F" w:rsidRDefault="000D1BE8" w:rsidP="00F15F3F">
      <w:pPr>
        <w:jc w:val="both"/>
      </w:pPr>
    </w:p>
    <w:tbl>
      <w:tblPr>
        <w:tblStyle w:val="TableGrid"/>
        <w:tblpPr w:leftFromText="180" w:rightFromText="180" w:vertAnchor="text" w:tblpXSpec="center" w:tblpY="1"/>
        <w:tblOverlap w:val="never"/>
        <w:tblW w:w="14879" w:type="dxa"/>
        <w:jc w:val="center"/>
        <w:tblLayout w:type="fixed"/>
        <w:tblLook w:val="04A0" w:firstRow="1" w:lastRow="0" w:firstColumn="1" w:lastColumn="0" w:noHBand="0" w:noVBand="1"/>
      </w:tblPr>
      <w:tblGrid>
        <w:gridCol w:w="562"/>
        <w:gridCol w:w="2977"/>
        <w:gridCol w:w="3260"/>
        <w:gridCol w:w="3686"/>
        <w:gridCol w:w="4394"/>
      </w:tblGrid>
      <w:tr w:rsidR="00F15F3F" w:rsidRPr="006C0D15" w14:paraId="27E80F8E" w14:textId="50D37D48" w:rsidTr="0043252D">
        <w:trPr>
          <w:trHeight w:val="628"/>
          <w:jc w:val="center"/>
        </w:trPr>
        <w:tc>
          <w:tcPr>
            <w:tcW w:w="3539" w:type="dxa"/>
            <w:gridSpan w:val="2"/>
            <w:tcBorders>
              <w:bottom w:val="single" w:sz="4" w:space="0" w:color="auto"/>
            </w:tcBorders>
            <w:shd w:val="clear" w:color="auto" w:fill="FBE4D5" w:themeFill="accent2" w:themeFillTint="33"/>
            <w:vAlign w:val="center"/>
          </w:tcPr>
          <w:p w14:paraId="6B3B9261" w14:textId="77777777" w:rsidR="00F15F3F" w:rsidRPr="002E0C60" w:rsidRDefault="00F15F3F" w:rsidP="000654A2">
            <w:pPr>
              <w:pStyle w:val="NoSpacing"/>
              <w:jc w:val="center"/>
              <w:rPr>
                <w:b/>
                <w:lang w:val="lv-LV"/>
              </w:rPr>
            </w:pPr>
            <w:r w:rsidRPr="002E0C60">
              <w:rPr>
                <w:b/>
                <w:lang w:val="lv-LV"/>
              </w:rPr>
              <w:t>Prasība</w:t>
            </w:r>
          </w:p>
        </w:tc>
        <w:tc>
          <w:tcPr>
            <w:tcW w:w="3260" w:type="dxa"/>
            <w:tcBorders>
              <w:bottom w:val="single" w:sz="4" w:space="0" w:color="auto"/>
            </w:tcBorders>
            <w:shd w:val="clear" w:color="auto" w:fill="FBE4D5" w:themeFill="accent2" w:themeFillTint="33"/>
            <w:vAlign w:val="center"/>
          </w:tcPr>
          <w:p w14:paraId="676B844E" w14:textId="77777777" w:rsidR="00F15F3F" w:rsidRPr="002E0C60" w:rsidRDefault="00F15F3F" w:rsidP="000654A2">
            <w:pPr>
              <w:pStyle w:val="NoSpacing"/>
              <w:jc w:val="center"/>
              <w:rPr>
                <w:b/>
                <w:lang w:val="lv-LV"/>
              </w:rPr>
            </w:pPr>
            <w:r w:rsidRPr="002E0C60">
              <w:rPr>
                <w:b/>
                <w:lang w:val="lv-LV"/>
              </w:rPr>
              <w:t>Iesniedzamais dokuments</w:t>
            </w:r>
          </w:p>
        </w:tc>
        <w:tc>
          <w:tcPr>
            <w:tcW w:w="3686" w:type="dxa"/>
            <w:tcBorders>
              <w:bottom w:val="single" w:sz="4" w:space="0" w:color="auto"/>
            </w:tcBorders>
            <w:shd w:val="clear" w:color="auto" w:fill="FBE4D5" w:themeFill="accent2" w:themeFillTint="33"/>
          </w:tcPr>
          <w:p w14:paraId="71324D39" w14:textId="77777777" w:rsidR="00A24358" w:rsidRPr="00A24358" w:rsidRDefault="00A24358" w:rsidP="00A24358">
            <w:pPr>
              <w:pStyle w:val="NoSpacing"/>
              <w:jc w:val="center"/>
              <w:rPr>
                <w:b/>
                <w:lang w:val="lv-LV"/>
              </w:rPr>
            </w:pPr>
            <w:r w:rsidRPr="00A24358">
              <w:rPr>
                <w:b/>
                <w:bCs/>
                <w:lang w:val="lv-LV"/>
              </w:rPr>
              <w:t>Ieinteresētā piegādātāja priekšlikumi, komentāri</w:t>
            </w:r>
          </w:p>
          <w:p w14:paraId="22BF81EC" w14:textId="1F11CBE2" w:rsidR="00F15F3F" w:rsidRPr="00A24358" w:rsidRDefault="00F15F3F" w:rsidP="00A24358">
            <w:pPr>
              <w:pStyle w:val="NoSpacing"/>
              <w:jc w:val="center"/>
              <w:rPr>
                <w:b/>
                <w:lang w:val="lv-LV"/>
              </w:rPr>
            </w:pPr>
          </w:p>
        </w:tc>
        <w:tc>
          <w:tcPr>
            <w:tcW w:w="4394" w:type="dxa"/>
            <w:tcBorders>
              <w:bottom w:val="single" w:sz="4" w:space="0" w:color="auto"/>
            </w:tcBorders>
            <w:shd w:val="clear" w:color="auto" w:fill="FBE4D5" w:themeFill="accent2" w:themeFillTint="33"/>
          </w:tcPr>
          <w:p w14:paraId="5C7A02BB" w14:textId="168C2C1E" w:rsidR="00F15F3F" w:rsidRPr="006C0D15" w:rsidRDefault="00F15F3F" w:rsidP="000654A2">
            <w:pPr>
              <w:pStyle w:val="NoSpacing"/>
              <w:jc w:val="center"/>
              <w:rPr>
                <w:b/>
                <w:lang w:val="lv-LV"/>
              </w:rPr>
            </w:pPr>
            <w:r w:rsidRPr="00A24358">
              <w:rPr>
                <w:b/>
                <w:lang w:val="lv-LV"/>
              </w:rPr>
              <w:t>Komisijas galvenie secinājumi un vērtējums</w:t>
            </w:r>
          </w:p>
        </w:tc>
      </w:tr>
      <w:tr w:rsidR="00DD4166" w:rsidRPr="006C0D15" w14:paraId="7550E1FF" w14:textId="77777777" w:rsidTr="00585B07">
        <w:trPr>
          <w:trHeight w:val="848"/>
          <w:jc w:val="center"/>
        </w:trPr>
        <w:tc>
          <w:tcPr>
            <w:tcW w:w="562" w:type="dxa"/>
            <w:vAlign w:val="center"/>
          </w:tcPr>
          <w:p w14:paraId="4FAB22E9" w14:textId="55701A71" w:rsidR="00DD4166" w:rsidRPr="006C0D15" w:rsidRDefault="00DD4166" w:rsidP="00DD4166">
            <w:pPr>
              <w:pStyle w:val="NoSpacing"/>
              <w:jc w:val="center"/>
              <w:rPr>
                <w:lang w:val="lv-LV"/>
              </w:rPr>
            </w:pPr>
            <w:r>
              <w:rPr>
                <w:lang w:val="lv-LV"/>
              </w:rPr>
              <w:t>2.</w:t>
            </w:r>
          </w:p>
        </w:tc>
        <w:tc>
          <w:tcPr>
            <w:tcW w:w="2977" w:type="dxa"/>
            <w:tcBorders>
              <w:top w:val="single" w:sz="4" w:space="0" w:color="auto"/>
              <w:bottom w:val="single" w:sz="4" w:space="0" w:color="auto"/>
            </w:tcBorders>
          </w:tcPr>
          <w:p w14:paraId="782EF800" w14:textId="77777777" w:rsidR="00DD4166" w:rsidRPr="00866EF8" w:rsidRDefault="00DD4166" w:rsidP="00DD4166">
            <w:pPr>
              <w:pStyle w:val="NoSpacing"/>
              <w:jc w:val="both"/>
              <w:rPr>
                <w:iCs/>
                <w:lang w:val="lv-LV"/>
              </w:rPr>
            </w:pPr>
            <w:r w:rsidRPr="00866EF8">
              <w:rPr>
                <w:iCs/>
                <w:lang w:val="lv-LV"/>
              </w:rPr>
              <w:t>Pretendenta rīcībā ir apmācīti un kvalificēti darbinieki, kas spēs veikt remontdarbus saskaņā ar tehniskās specifikācijas prasībām:</w:t>
            </w:r>
          </w:p>
          <w:p w14:paraId="3CED1AC0" w14:textId="77777777" w:rsidR="00DD4166" w:rsidRPr="00866EF8" w:rsidRDefault="00DD4166" w:rsidP="00DD4166">
            <w:pPr>
              <w:pStyle w:val="NoSpacing"/>
              <w:jc w:val="both"/>
              <w:rPr>
                <w:iCs/>
                <w:lang w:val="lv-LV"/>
              </w:rPr>
            </w:pPr>
          </w:p>
          <w:p w14:paraId="6F28103D" w14:textId="77777777" w:rsidR="00DD4166" w:rsidRPr="00866EF8" w:rsidRDefault="00DD4166" w:rsidP="00DD4166">
            <w:pPr>
              <w:pStyle w:val="NoSpacing"/>
              <w:jc w:val="both"/>
              <w:rPr>
                <w:iCs/>
                <w:lang w:val="lv-LV"/>
              </w:rPr>
            </w:pPr>
            <w:r>
              <w:rPr>
                <w:iCs/>
                <w:lang w:val="lv-LV"/>
              </w:rPr>
              <w:t xml:space="preserve">1. </w:t>
            </w:r>
            <w:r w:rsidRPr="00866EF8">
              <w:rPr>
                <w:iCs/>
                <w:lang w:val="lv-LV"/>
              </w:rPr>
              <w:t>vismaz 1</w:t>
            </w:r>
            <w:r>
              <w:rPr>
                <w:iCs/>
                <w:lang w:val="lv-LV"/>
              </w:rPr>
              <w:t> </w:t>
            </w:r>
            <w:r w:rsidRPr="00866EF8">
              <w:rPr>
                <w:iCs/>
                <w:lang w:val="lv-LV"/>
              </w:rPr>
              <w:t>(vienu) darbinieku</w:t>
            </w:r>
            <w:r>
              <w:rPr>
                <w:iCs/>
                <w:lang w:val="lv-LV"/>
              </w:rPr>
              <w:t xml:space="preserve"> </w:t>
            </w:r>
            <w:r w:rsidRPr="00866EF8">
              <w:rPr>
                <w:iCs/>
                <w:lang w:val="lv-LV"/>
              </w:rPr>
              <w:t>-</w:t>
            </w:r>
            <w:r>
              <w:rPr>
                <w:iCs/>
                <w:lang w:val="lv-LV"/>
              </w:rPr>
              <w:t xml:space="preserve"> </w:t>
            </w:r>
            <w:r w:rsidRPr="00866EF8">
              <w:rPr>
                <w:iCs/>
                <w:lang w:val="lv-LV"/>
              </w:rPr>
              <w:t>autoservisa speciālistu ar pakalpojuma izpildei atbilstošu tehnisko izglītību, kas atbilst vismaz 3.</w:t>
            </w:r>
            <w:r>
              <w:rPr>
                <w:iCs/>
                <w:lang w:val="lv-LV"/>
              </w:rPr>
              <w:t> </w:t>
            </w:r>
            <w:r w:rsidRPr="00866EF8">
              <w:rPr>
                <w:iCs/>
                <w:lang w:val="lv-LV"/>
              </w:rPr>
              <w:t xml:space="preserve">(trešajam) profesionālas kvalifikācijas līmenim vai arī ne mazāk kā 2 (divu) gadu pieredzi autobusu </w:t>
            </w:r>
            <w:r w:rsidRPr="00866EF8">
              <w:rPr>
                <w:iCs/>
                <w:lang w:val="lv-LV"/>
              </w:rPr>
              <w:lastRenderedPageBreak/>
              <w:t>tehnisko apkopju un remonta veikšanā.</w:t>
            </w:r>
          </w:p>
          <w:p w14:paraId="6F03E1DA" w14:textId="77777777" w:rsidR="00DD4166" w:rsidRDefault="00DD4166" w:rsidP="00DD4166">
            <w:pPr>
              <w:pStyle w:val="NoSpacing"/>
              <w:jc w:val="both"/>
              <w:rPr>
                <w:iCs/>
                <w:lang w:val="lv-LV"/>
              </w:rPr>
            </w:pPr>
            <w:r w:rsidRPr="008B7022">
              <w:rPr>
                <w:iCs/>
                <w:lang w:val="lv-LV"/>
              </w:rPr>
              <w:t>2.</w:t>
            </w:r>
            <w:r w:rsidRPr="008B7022">
              <w:rPr>
                <w:iCs/>
                <w:lang w:val="lv-LV"/>
              </w:rPr>
              <w:tab/>
              <w:t>vismaz 1 (vienu) darbinieku ar pieredzi ne mazāk kā 2 (divi) gadi auto elektriķa specialitāte tehniskā izglītība atbilst auto elektriķa 3. (trešajam) profesionālās kvalifikācijas līmenim.</w:t>
            </w:r>
          </w:p>
          <w:p w14:paraId="02FC6568" w14:textId="77777777" w:rsidR="00DD4166" w:rsidRDefault="00DD4166" w:rsidP="00DD4166">
            <w:pPr>
              <w:pStyle w:val="NoSpacing"/>
              <w:jc w:val="both"/>
              <w:rPr>
                <w:iCs/>
                <w:lang w:val="lv-LV"/>
              </w:rPr>
            </w:pPr>
            <w:r>
              <w:rPr>
                <w:iCs/>
                <w:lang w:val="lv-LV"/>
              </w:rPr>
              <w:t xml:space="preserve">3. </w:t>
            </w:r>
            <w:r w:rsidRPr="00912E5D">
              <w:rPr>
                <w:iCs/>
                <w:lang w:val="lv-LV"/>
              </w:rPr>
              <w:t>vismaz 2</w:t>
            </w:r>
            <w:r>
              <w:rPr>
                <w:iCs/>
                <w:lang w:val="lv-LV"/>
              </w:rPr>
              <w:t> </w:t>
            </w:r>
            <w:r w:rsidRPr="00912E5D">
              <w:rPr>
                <w:iCs/>
                <w:lang w:val="lv-LV"/>
              </w:rPr>
              <w:t>(divus) autoservisa speciālistus, kuri tiek iesaistīti autobusu virsbūves remonta darbos (metināšana, sagatavošana krāsošanai un krāsošana)</w:t>
            </w:r>
            <w:r>
              <w:rPr>
                <w:iCs/>
                <w:lang w:val="lv-LV"/>
              </w:rPr>
              <w:t>.</w:t>
            </w:r>
          </w:p>
          <w:p w14:paraId="736728E5" w14:textId="49B9B70B" w:rsidR="00DD4166" w:rsidRPr="006C0D15" w:rsidRDefault="00DD4166" w:rsidP="00DD4166">
            <w:pPr>
              <w:pStyle w:val="NoSpacing"/>
              <w:jc w:val="both"/>
              <w:rPr>
                <w:lang w:val="lv-LV"/>
              </w:rPr>
            </w:pPr>
          </w:p>
        </w:tc>
        <w:tc>
          <w:tcPr>
            <w:tcW w:w="3260" w:type="dxa"/>
          </w:tcPr>
          <w:p w14:paraId="27CAE7FA" w14:textId="77777777" w:rsidR="00DD4166" w:rsidRPr="00E576B8" w:rsidRDefault="00DD4166" w:rsidP="00DD4166">
            <w:pPr>
              <w:pStyle w:val="BodyTextIndent3"/>
              <w:shd w:val="clear" w:color="auto" w:fill="FFFFFF" w:themeFill="background1"/>
              <w:tabs>
                <w:tab w:val="left" w:pos="851"/>
              </w:tabs>
              <w:spacing w:line="276" w:lineRule="auto"/>
              <w:rPr>
                <w:i/>
                <w:szCs w:val="24"/>
                <w:lang w:val="lv-LV"/>
              </w:rPr>
            </w:pPr>
            <w:r w:rsidRPr="00E576B8">
              <w:rPr>
                <w:color w:val="000000"/>
                <w:szCs w:val="24"/>
                <w:lang w:val="lv-LV"/>
              </w:rPr>
              <w:lastRenderedPageBreak/>
              <w:t>Apliecinājums par pretendenta rīcībā esošiem kvalificētiem darbiniekiem sa</w:t>
            </w:r>
            <w:r w:rsidRPr="00E576B8">
              <w:rPr>
                <w:szCs w:val="24"/>
                <w:lang w:val="lv-LV"/>
              </w:rPr>
              <w:t>skaņā ar</w:t>
            </w:r>
            <w:r>
              <w:t xml:space="preserve"> </w:t>
            </w:r>
            <w:r w:rsidRPr="00E576B8">
              <w:rPr>
                <w:szCs w:val="24"/>
                <w:lang w:val="lv-LV"/>
              </w:rPr>
              <w:t>EIS e-konkursu apakšsistēmā šī iepirkuma sadaļā publicēto veidlapu</w:t>
            </w:r>
            <w:r>
              <w:rPr>
                <w:szCs w:val="24"/>
                <w:lang w:val="lv-LV"/>
              </w:rPr>
              <w:t>.</w:t>
            </w:r>
          </w:p>
          <w:p w14:paraId="2E322735" w14:textId="77777777" w:rsidR="00DD4166" w:rsidRPr="00E576B8" w:rsidRDefault="00DD4166" w:rsidP="00DD4166">
            <w:pPr>
              <w:pStyle w:val="BodyTextIndent3"/>
              <w:shd w:val="clear" w:color="auto" w:fill="FFFFFF" w:themeFill="background1"/>
              <w:tabs>
                <w:tab w:val="left" w:pos="851"/>
              </w:tabs>
              <w:spacing w:line="276" w:lineRule="auto"/>
              <w:rPr>
                <w:color w:val="000000"/>
                <w:szCs w:val="24"/>
                <w:lang w:val="lv-LV"/>
              </w:rPr>
            </w:pPr>
          </w:p>
          <w:p w14:paraId="5516EE60" w14:textId="77777777" w:rsidR="00DD4166" w:rsidRPr="00E576B8" w:rsidRDefault="00DD4166" w:rsidP="00DD4166">
            <w:pPr>
              <w:pStyle w:val="BodyTextIndent3"/>
              <w:shd w:val="clear" w:color="auto" w:fill="FFFFFF" w:themeFill="background1"/>
              <w:tabs>
                <w:tab w:val="left" w:pos="851"/>
              </w:tabs>
              <w:spacing w:line="276" w:lineRule="auto"/>
              <w:ind w:firstLine="0"/>
              <w:rPr>
                <w:szCs w:val="24"/>
                <w:lang w:val="lv-LV"/>
              </w:rPr>
            </w:pPr>
            <w:bookmarkStart w:id="2" w:name="_Hlk76040030"/>
            <w:r w:rsidRPr="00E576B8">
              <w:rPr>
                <w:szCs w:val="24"/>
                <w:lang w:val="lv-LV"/>
              </w:rPr>
              <w:t>Papildus pretendentam būs jāiesniedz:</w:t>
            </w:r>
          </w:p>
          <w:p w14:paraId="6BC3B5B5" w14:textId="77777777" w:rsidR="00DD4166" w:rsidRPr="00D3359A" w:rsidRDefault="00DD4166" w:rsidP="00DD4166">
            <w:pPr>
              <w:pStyle w:val="BodyTextIndent3"/>
              <w:numPr>
                <w:ilvl w:val="0"/>
                <w:numId w:val="38"/>
              </w:numPr>
              <w:shd w:val="clear" w:color="auto" w:fill="FFFFFF" w:themeFill="background1"/>
              <w:tabs>
                <w:tab w:val="left" w:pos="851"/>
              </w:tabs>
              <w:spacing w:line="276" w:lineRule="auto"/>
              <w:rPr>
                <w:color w:val="000000"/>
                <w:szCs w:val="24"/>
                <w:lang w:val="lv-LV"/>
              </w:rPr>
            </w:pPr>
            <w:r w:rsidRPr="00E576B8">
              <w:rPr>
                <w:lang w:val="lv-LV"/>
              </w:rPr>
              <w:t>personāla kvalifikāciju apliecinošu dokumentu kopijas;</w:t>
            </w:r>
            <w:r>
              <w:rPr>
                <w:lang w:val="lv-LV"/>
              </w:rPr>
              <w:t xml:space="preserve"> </w:t>
            </w:r>
          </w:p>
          <w:p w14:paraId="5798DABE" w14:textId="4E1EE2FB" w:rsidR="00DD4166" w:rsidRPr="006C0D15" w:rsidRDefault="00DD4166" w:rsidP="00CA1565">
            <w:pPr>
              <w:pStyle w:val="NoSpacing"/>
              <w:numPr>
                <w:ilvl w:val="0"/>
                <w:numId w:val="38"/>
              </w:numPr>
              <w:jc w:val="both"/>
              <w:rPr>
                <w:iCs/>
                <w:lang w:val="lv-LV"/>
              </w:rPr>
            </w:pPr>
            <w:r w:rsidRPr="00B75A8D">
              <w:rPr>
                <w:lang w:val="lv-LV"/>
              </w:rPr>
              <w:t xml:space="preserve">norādīto darbinieku pašrocīgi parakstītus apliecinājumus, ka viņi ir </w:t>
            </w:r>
            <w:r w:rsidRPr="00B75A8D">
              <w:rPr>
                <w:lang w:val="lv-LV"/>
              </w:rPr>
              <w:lastRenderedPageBreak/>
              <w:t>informēti un piekrīt atklāta konkursa ietvaros noslēgtās vispārīgās vienošanās izpildes laikā veikt remontdarbus saskaņā ar tehniskās specifikācijas prasībām</w:t>
            </w:r>
            <w:bookmarkEnd w:id="2"/>
            <w:r w:rsidRPr="00B75A8D">
              <w:rPr>
                <w:lang w:val="lv-LV"/>
              </w:rPr>
              <w:t>.</w:t>
            </w:r>
          </w:p>
        </w:tc>
        <w:tc>
          <w:tcPr>
            <w:tcW w:w="3686" w:type="dxa"/>
          </w:tcPr>
          <w:p w14:paraId="1E0C871D" w14:textId="6D9E2B0D" w:rsidR="00DD4166" w:rsidRPr="00DD4166" w:rsidRDefault="00DD4166" w:rsidP="00DD4166">
            <w:pPr>
              <w:pStyle w:val="NoSpacing"/>
              <w:jc w:val="both"/>
              <w:rPr>
                <w:bCs/>
                <w:iCs/>
                <w:lang w:val="lv-LV"/>
              </w:rPr>
            </w:pPr>
            <w:r w:rsidRPr="00DD4166">
              <w:rPr>
                <w:color w:val="000000"/>
                <w:lang w:val="lv-LV"/>
              </w:rPr>
              <w:lastRenderedPageBreak/>
              <w:t>2.punktā par auto</w:t>
            </w:r>
            <w:r w:rsidR="00CA1565">
              <w:rPr>
                <w:color w:val="000000"/>
                <w:lang w:val="lv-LV"/>
              </w:rPr>
              <w:t xml:space="preserve"> </w:t>
            </w:r>
            <w:r w:rsidRPr="00DD4166">
              <w:rPr>
                <w:color w:val="000000"/>
                <w:lang w:val="lv-LV"/>
              </w:rPr>
              <w:t>elektriķa kvalifikāciju nav skaidrs formulējums, kas tieši nepieciešams – pieredze vai izglītības dokuments, vai abi.</w:t>
            </w:r>
          </w:p>
        </w:tc>
        <w:tc>
          <w:tcPr>
            <w:tcW w:w="4394" w:type="dxa"/>
          </w:tcPr>
          <w:p w14:paraId="2C892511" w14:textId="61E32851" w:rsidR="00D0576D" w:rsidRPr="00A24358" w:rsidRDefault="00D0576D" w:rsidP="00DD4166">
            <w:pPr>
              <w:pStyle w:val="NoSpacing"/>
              <w:ind w:left="33"/>
              <w:jc w:val="both"/>
              <w:rPr>
                <w:bCs/>
                <w:lang w:val="lv-LV"/>
              </w:rPr>
            </w:pPr>
            <w:r w:rsidRPr="00A24358">
              <w:rPr>
                <w:bCs/>
                <w:lang w:val="lv-LV"/>
              </w:rPr>
              <w:t xml:space="preserve">Tiks precizēta kvalifikācijas prasība nosakot 2. punktu šādā redakcijā: </w:t>
            </w:r>
            <w:r w:rsidR="00C75251">
              <w:rPr>
                <w:bCs/>
                <w:lang w:val="lv-LV"/>
              </w:rPr>
              <w:t>“</w:t>
            </w:r>
            <w:r w:rsidRPr="00A24358">
              <w:rPr>
                <w:bCs/>
                <w:lang w:val="lv-LV"/>
              </w:rPr>
              <w:t>vismaz 1 (vienu) darbinieku ar pieredzi ne mazāk kā 2 (divi) gadi auto elektriķa specialitāt</w:t>
            </w:r>
            <w:r w:rsidR="00FE6A5B" w:rsidRPr="00A24358">
              <w:rPr>
                <w:bCs/>
                <w:lang w:val="lv-LV"/>
              </w:rPr>
              <w:t>ē, kura</w:t>
            </w:r>
            <w:r w:rsidRPr="00A24358">
              <w:rPr>
                <w:bCs/>
                <w:lang w:val="lv-LV"/>
              </w:rPr>
              <w:t xml:space="preserve"> tehniskā izglītība atbilst auto elektriķa 3. (trešajam) profesionālās kvalifikācijas līmenim.” </w:t>
            </w:r>
          </w:p>
          <w:p w14:paraId="09E3701E" w14:textId="11524ABE" w:rsidR="00DD4166" w:rsidRPr="006C0D15" w:rsidRDefault="00DD4166" w:rsidP="00DD4166">
            <w:pPr>
              <w:pStyle w:val="NoSpacing"/>
              <w:ind w:left="33" w:firstLine="1"/>
              <w:jc w:val="both"/>
              <w:rPr>
                <w:bCs/>
                <w:iCs/>
                <w:lang w:val="lv-LV"/>
              </w:rPr>
            </w:pPr>
          </w:p>
        </w:tc>
      </w:tr>
      <w:tr w:rsidR="005F61B9" w:rsidRPr="006C0D15" w14:paraId="05E6DF76" w14:textId="77777777" w:rsidTr="00585B07">
        <w:trPr>
          <w:trHeight w:val="848"/>
          <w:jc w:val="center"/>
        </w:trPr>
        <w:tc>
          <w:tcPr>
            <w:tcW w:w="562" w:type="dxa"/>
            <w:vAlign w:val="center"/>
          </w:tcPr>
          <w:p w14:paraId="14AD65CD" w14:textId="467ACE41" w:rsidR="005F61B9" w:rsidRDefault="005F61B9" w:rsidP="005F61B9">
            <w:pPr>
              <w:pStyle w:val="NoSpacing"/>
              <w:jc w:val="center"/>
            </w:pPr>
            <w:r>
              <w:t>3.</w:t>
            </w:r>
          </w:p>
        </w:tc>
        <w:tc>
          <w:tcPr>
            <w:tcW w:w="2977" w:type="dxa"/>
            <w:tcBorders>
              <w:top w:val="single" w:sz="4" w:space="0" w:color="auto"/>
              <w:bottom w:val="single" w:sz="4" w:space="0" w:color="auto"/>
            </w:tcBorders>
          </w:tcPr>
          <w:p w14:paraId="5B272B09" w14:textId="73C1E683" w:rsidR="005F61B9" w:rsidRPr="00866EF8" w:rsidRDefault="005F61B9" w:rsidP="005F61B9">
            <w:pPr>
              <w:pStyle w:val="NoSpacing"/>
              <w:jc w:val="both"/>
              <w:rPr>
                <w:iCs/>
              </w:rPr>
            </w:pPr>
            <w:bookmarkStart w:id="3" w:name="_Hlk188623277"/>
            <w:r w:rsidRPr="00B53159">
              <w:rPr>
                <w:lang w:val="lv-LV" w:eastAsia="en-US"/>
              </w:rPr>
              <w:t>Pretendentam iepriekšējo 3 (trīs) pārskatu gadu laikā (ciktāl informācija par apgrozījumu ir pieejama, ņemot vērā piegādātāja dibināšanas vai darbības uzsākšanas laiku) vidējais finan</w:t>
            </w:r>
            <w:r w:rsidRPr="008B7022">
              <w:rPr>
                <w:lang w:val="lv-LV" w:eastAsia="en-US"/>
              </w:rPr>
              <w:t>šu apgrozījums ir ne mazāks kā 100 000 EUR (divi simti tūkstoši eiro, 00 centi).</w:t>
            </w:r>
            <w:bookmarkEnd w:id="3"/>
          </w:p>
        </w:tc>
        <w:tc>
          <w:tcPr>
            <w:tcW w:w="3260" w:type="dxa"/>
          </w:tcPr>
          <w:p w14:paraId="70B531AA" w14:textId="77777777" w:rsidR="005F61B9" w:rsidRPr="00592529" w:rsidRDefault="005F61B9" w:rsidP="005F61B9">
            <w:pPr>
              <w:pStyle w:val="NoSpacing"/>
              <w:spacing w:line="276" w:lineRule="auto"/>
              <w:jc w:val="both"/>
              <w:rPr>
                <w:lang w:val="lv-LV"/>
              </w:rPr>
            </w:pPr>
            <w:r w:rsidRPr="00592529">
              <w:rPr>
                <w:lang w:val="lv-LV"/>
              </w:rPr>
              <w:t xml:space="preserve">Pretendenta iepriekšējo 3 (trīs) pārskatu gadu apliecināti izraksti, kas sastāv no peļņas un zaudējumu aprēķina. </w:t>
            </w:r>
          </w:p>
          <w:p w14:paraId="723F2D2F" w14:textId="77777777" w:rsidR="005F61B9" w:rsidRDefault="005F61B9" w:rsidP="005F61B9">
            <w:pPr>
              <w:pStyle w:val="NoSpacing"/>
              <w:spacing w:line="276" w:lineRule="auto"/>
              <w:jc w:val="both"/>
              <w:rPr>
                <w:lang w:val="lv-LV"/>
              </w:rPr>
            </w:pPr>
            <w:r w:rsidRPr="00592529">
              <w:rPr>
                <w:lang w:val="lv-LV"/>
              </w:rPr>
              <w:t>Pretendents, kas savu darbību uzsācis vēlāk un kuram līdz ar to nav veidojies apgrozījums iepriekšējos 3 (trīs) pārskata gados, apgrozījumu norāda par savu darbības periodu.</w:t>
            </w:r>
          </w:p>
          <w:p w14:paraId="08AACFA4" w14:textId="7CB54999" w:rsidR="005F61B9" w:rsidRPr="00E576B8" w:rsidRDefault="005F61B9" w:rsidP="005F61B9">
            <w:pPr>
              <w:pStyle w:val="BodyTextIndent3"/>
              <w:shd w:val="clear" w:color="auto" w:fill="FFFFFF" w:themeFill="background1"/>
              <w:tabs>
                <w:tab w:val="left" w:pos="851"/>
              </w:tabs>
              <w:spacing w:line="276" w:lineRule="auto"/>
              <w:rPr>
                <w:color w:val="000000"/>
                <w:szCs w:val="24"/>
              </w:rPr>
            </w:pPr>
            <w:r w:rsidRPr="00E576B8">
              <w:rPr>
                <w:kern w:val="32"/>
                <w:lang w:val="lv-LV"/>
              </w:rPr>
              <w:t xml:space="preserve">Iepirkuma </w:t>
            </w:r>
            <w:r w:rsidRPr="00E576B8">
              <w:rPr>
                <w:iCs/>
                <w:lang w:val="lv-LV"/>
              </w:rPr>
              <w:t>komisijai ir</w:t>
            </w:r>
            <w:r w:rsidRPr="00E576B8">
              <w:rPr>
                <w:lang w:val="lv-LV"/>
              </w:rPr>
              <w:t xml:space="preserve"> </w:t>
            </w:r>
            <w:r w:rsidRPr="00E576B8">
              <w:rPr>
                <w:iCs/>
                <w:lang w:val="lv-LV"/>
              </w:rPr>
              <w:t>tiesības</w:t>
            </w:r>
            <w:r w:rsidRPr="00E576B8">
              <w:rPr>
                <w:lang w:val="lv-LV"/>
              </w:rPr>
              <w:t xml:space="preserve"> pārbaudīt pretendenta sniegto </w:t>
            </w:r>
            <w:r w:rsidRPr="00E576B8">
              <w:rPr>
                <w:iCs/>
                <w:lang w:val="lv-LV"/>
              </w:rPr>
              <w:t>ziņu patiesumu.</w:t>
            </w:r>
          </w:p>
        </w:tc>
        <w:tc>
          <w:tcPr>
            <w:tcW w:w="3686" w:type="dxa"/>
          </w:tcPr>
          <w:p w14:paraId="1BEC721D" w14:textId="51D57794" w:rsidR="005F61B9" w:rsidRPr="003D6BBF" w:rsidRDefault="005F61B9" w:rsidP="005F61B9">
            <w:pPr>
              <w:pStyle w:val="NoSpacing"/>
              <w:jc w:val="both"/>
              <w:rPr>
                <w:color w:val="000000"/>
                <w:lang w:val="lv-LV"/>
              </w:rPr>
            </w:pPr>
            <w:r w:rsidRPr="003D6BBF">
              <w:rPr>
                <w:color w:val="000000"/>
                <w:lang w:val="lv-LV"/>
              </w:rPr>
              <w:t>Nav skaidrs nepieciešamais vidējā apgrozījuma līmenis -summas cipariem un vārdiem ir atšķirīgas</w:t>
            </w:r>
          </w:p>
        </w:tc>
        <w:tc>
          <w:tcPr>
            <w:tcW w:w="4394" w:type="dxa"/>
          </w:tcPr>
          <w:p w14:paraId="195096E9" w14:textId="6ACBAA0F" w:rsidR="005F61B9" w:rsidRPr="008B7022" w:rsidRDefault="001904EC" w:rsidP="005F61B9">
            <w:pPr>
              <w:pStyle w:val="NoSpacing"/>
              <w:ind w:left="33"/>
              <w:jc w:val="both"/>
              <w:rPr>
                <w:bCs/>
                <w:lang w:val="lv-LV"/>
              </w:rPr>
            </w:pPr>
            <w:r w:rsidRPr="008B7022">
              <w:rPr>
                <w:bCs/>
                <w:lang w:val="lv-LV"/>
              </w:rPr>
              <w:t>Kvalifikācijas prasība tiks precizēta</w:t>
            </w:r>
            <w:r w:rsidR="00F26ED8" w:rsidRPr="008B7022">
              <w:rPr>
                <w:bCs/>
                <w:lang w:val="lv-LV"/>
              </w:rPr>
              <w:t>, ņemot vērā pretendenta norādīto informāciju.</w:t>
            </w:r>
          </w:p>
          <w:p w14:paraId="58E28A77" w14:textId="55B3247C" w:rsidR="001904EC" w:rsidRPr="002D364B" w:rsidRDefault="001904EC" w:rsidP="005F61B9">
            <w:pPr>
              <w:pStyle w:val="NoSpacing"/>
              <w:ind w:left="33"/>
              <w:jc w:val="both"/>
              <w:rPr>
                <w:bCs/>
                <w:i/>
                <w:iCs/>
                <w:highlight w:val="yellow"/>
                <w:lang w:val="lv-LV"/>
              </w:rPr>
            </w:pPr>
          </w:p>
        </w:tc>
      </w:tr>
      <w:tr w:rsidR="004B3534" w:rsidRPr="006C0D15" w14:paraId="3EFB3DDE" w14:textId="77777777" w:rsidTr="00585B07">
        <w:trPr>
          <w:trHeight w:val="848"/>
          <w:jc w:val="center"/>
        </w:trPr>
        <w:tc>
          <w:tcPr>
            <w:tcW w:w="562" w:type="dxa"/>
            <w:vAlign w:val="center"/>
          </w:tcPr>
          <w:p w14:paraId="0F2630AA" w14:textId="6B0B6E16" w:rsidR="004B3534" w:rsidRDefault="004B3534" w:rsidP="004B3534">
            <w:pPr>
              <w:pStyle w:val="NoSpacing"/>
              <w:jc w:val="center"/>
            </w:pPr>
            <w:r>
              <w:lastRenderedPageBreak/>
              <w:t>5.</w:t>
            </w:r>
          </w:p>
        </w:tc>
        <w:tc>
          <w:tcPr>
            <w:tcW w:w="2977" w:type="dxa"/>
            <w:tcBorders>
              <w:top w:val="single" w:sz="4" w:space="0" w:color="auto"/>
              <w:bottom w:val="single" w:sz="4" w:space="0" w:color="auto"/>
            </w:tcBorders>
          </w:tcPr>
          <w:p w14:paraId="4725931E" w14:textId="1A173FA9" w:rsidR="004B3534" w:rsidRPr="00866EF8" w:rsidRDefault="004B3534" w:rsidP="004B3534">
            <w:pPr>
              <w:pStyle w:val="NoSpacing"/>
              <w:jc w:val="both"/>
              <w:rPr>
                <w:iCs/>
              </w:rPr>
            </w:pPr>
            <w:r w:rsidRPr="000C557A">
              <w:rPr>
                <w:iCs/>
                <w:lang w:val="lv-LV"/>
              </w:rPr>
              <w:t xml:space="preserve">Pretendentam Pakalpojuma sniegšanas vietā uz līguma noslēgšanas dienu </w:t>
            </w:r>
            <w:r w:rsidRPr="006A3FA6">
              <w:rPr>
                <w:iCs/>
                <w:lang w:val="lv-LV"/>
              </w:rPr>
              <w:t>ir spēkā esoša vispārīgā civiltiesiskās atbildības apdrošināšanas polise (</w:t>
            </w:r>
            <w:r w:rsidRPr="000545B7">
              <w:rPr>
                <w:iCs/>
                <w:lang w:val="lv-LV"/>
              </w:rPr>
              <w:t>apdrošinātajam riskam jābūt saistītam</w:t>
            </w:r>
            <w:r w:rsidRPr="006A3FA6">
              <w:rPr>
                <w:iCs/>
                <w:lang w:val="lv-LV"/>
              </w:rPr>
              <w:t xml:space="preserve"> ar iepirkuma priekšmetu </w:t>
            </w:r>
            <w:r w:rsidRPr="00BE6E2F">
              <w:rPr>
                <w:iCs/>
                <w:lang w:val="lv-LV"/>
              </w:rPr>
              <w:t>un jānodrošina vismaz zādzības risks, trešo personu nodarītie bojājumi u.tml.), kas noslēgts ar atbildības apjomu (apdrošinājuma summu) ne mazāk kā 50 000.00 EUR (simtu piecdesmit tūkstoši eiro, 00 centi) apmērā un ar 0 EUR (nulle eiro, 00 centi)</w:t>
            </w:r>
            <w:r w:rsidRPr="000C557A">
              <w:rPr>
                <w:iCs/>
                <w:lang w:val="lv-LV"/>
              </w:rPr>
              <w:t xml:space="preserve"> pašrisku. Pretendenta vispārīgās civiltiesiskās atbildības apdrošināšanas polisei (atbilstoši šajā punktā minētajiem nosacījumiem) jābūt spēkā visu līguma darbības laiku.</w:t>
            </w:r>
          </w:p>
        </w:tc>
        <w:tc>
          <w:tcPr>
            <w:tcW w:w="3260" w:type="dxa"/>
          </w:tcPr>
          <w:p w14:paraId="0789C9EE" w14:textId="08F1F736" w:rsidR="004B3534" w:rsidRPr="00E576B8" w:rsidRDefault="004B3534" w:rsidP="004B3534">
            <w:pPr>
              <w:pStyle w:val="BodyTextIndent3"/>
              <w:shd w:val="clear" w:color="auto" w:fill="FFFFFF" w:themeFill="background1"/>
              <w:tabs>
                <w:tab w:val="left" w:pos="851"/>
              </w:tabs>
              <w:spacing w:line="276" w:lineRule="auto"/>
              <w:rPr>
                <w:color w:val="000000"/>
                <w:szCs w:val="24"/>
              </w:rPr>
            </w:pPr>
            <w:r w:rsidRPr="00605F69">
              <w:rPr>
                <w:lang w:val="lv-LV"/>
              </w:rPr>
              <w:t>Pretendentam jāiesniedz apliecinājums (brīvā formā), ka uz Līguma noslēgšanas dienu būs spēkā esoša civiltiesiskā atbildības apdrošināšanas polise.</w:t>
            </w:r>
          </w:p>
        </w:tc>
        <w:tc>
          <w:tcPr>
            <w:tcW w:w="3686" w:type="dxa"/>
          </w:tcPr>
          <w:p w14:paraId="45A58AAA" w14:textId="4D4725EC" w:rsidR="004B3534" w:rsidRDefault="004B3534" w:rsidP="004B3534">
            <w:pPr>
              <w:pStyle w:val="BodyTextIndent3"/>
              <w:shd w:val="clear" w:color="auto" w:fill="FFFFFF" w:themeFill="background1"/>
              <w:tabs>
                <w:tab w:val="left" w:pos="851"/>
              </w:tabs>
              <w:ind w:left="52" w:firstLine="0"/>
              <w:jc w:val="left"/>
              <w:rPr>
                <w:color w:val="000000"/>
                <w:lang w:val="lv-LV"/>
              </w:rPr>
            </w:pPr>
            <w:r>
              <w:rPr>
                <w:color w:val="000000"/>
                <w:lang w:val="lv-LV"/>
              </w:rPr>
              <w:t>1.Uzskatām, ka prasība par zādzības risku iekļaušanu civiltiesiskās atbildības apdrošināšanas polisē ir neatbilstoša šim apdrošināšanas veidam un ir nesamērīga.</w:t>
            </w:r>
          </w:p>
          <w:p w14:paraId="7AC57080" w14:textId="77777777" w:rsidR="004B3534" w:rsidRPr="00305A8B" w:rsidRDefault="004B3534" w:rsidP="004B3534">
            <w:pPr>
              <w:pStyle w:val="BodyTextIndent3"/>
              <w:shd w:val="clear" w:color="auto" w:fill="FFFFFF" w:themeFill="background1"/>
              <w:tabs>
                <w:tab w:val="left" w:pos="851"/>
              </w:tabs>
              <w:ind w:left="52" w:firstLine="0"/>
              <w:jc w:val="left"/>
              <w:rPr>
                <w:color w:val="000000"/>
                <w:lang w:val="lv-LV"/>
              </w:rPr>
            </w:pPr>
            <w:r w:rsidRPr="00305A8B">
              <w:rPr>
                <w:color w:val="000000"/>
                <w:lang w:val="lv-LV"/>
              </w:rPr>
              <w:t>Civiltiesiskā atbildība</w:t>
            </w:r>
            <w:r>
              <w:rPr>
                <w:color w:val="000000"/>
                <w:lang w:val="lv-LV"/>
              </w:rPr>
              <w:t>, pēc būtības,</w:t>
            </w:r>
            <w:r w:rsidRPr="00305A8B">
              <w:rPr>
                <w:color w:val="000000"/>
                <w:lang w:val="lv-LV"/>
              </w:rPr>
              <w:t xml:space="preserve"> ir kompensēt</w:t>
            </w:r>
          </w:p>
          <w:p w14:paraId="0379C90D" w14:textId="77777777" w:rsidR="004B3534" w:rsidRDefault="004B3534" w:rsidP="004B3534">
            <w:pPr>
              <w:pStyle w:val="BodyTextIndent3"/>
              <w:shd w:val="clear" w:color="auto" w:fill="FFFFFF" w:themeFill="background1"/>
              <w:tabs>
                <w:tab w:val="left" w:pos="851"/>
              </w:tabs>
              <w:ind w:left="52" w:firstLine="0"/>
              <w:jc w:val="left"/>
              <w:rPr>
                <w:color w:val="000000"/>
                <w:szCs w:val="24"/>
                <w:lang w:val="lv-LV"/>
              </w:rPr>
            </w:pPr>
            <w:r w:rsidRPr="00305A8B">
              <w:rPr>
                <w:color w:val="000000"/>
                <w:szCs w:val="24"/>
                <w:lang w:val="lv-LV"/>
              </w:rPr>
              <w:t>vainīgās personas nodarītās sekas cietušajam</w:t>
            </w:r>
            <w:r>
              <w:rPr>
                <w:color w:val="000000"/>
                <w:szCs w:val="24"/>
                <w:lang w:val="lv-LV"/>
              </w:rPr>
              <w:t>. Attiecīgi civiltiesiskās atbildības apdrošināšanas polises mērķis ir segt apdrošināšanas ņēmēja</w:t>
            </w:r>
            <w:r w:rsidRPr="007B693A">
              <w:rPr>
                <w:color w:val="000000"/>
                <w:szCs w:val="24"/>
                <w:lang w:val="lv-LV"/>
              </w:rPr>
              <w:t xml:space="preserve"> profesionālo kļūdu vai uzņēmuma darbības </w:t>
            </w:r>
            <w:r>
              <w:rPr>
                <w:color w:val="000000"/>
                <w:szCs w:val="24"/>
                <w:lang w:val="lv-LV"/>
              </w:rPr>
              <w:t xml:space="preserve">rezultātā radītos zaudējumus trešajai pusei. </w:t>
            </w:r>
            <w:r w:rsidRPr="000545B7">
              <w:rPr>
                <w:color w:val="000000"/>
                <w:szCs w:val="24"/>
                <w:lang w:val="lv-LV"/>
              </w:rPr>
              <w:t>Zādzība ir trešās personās apzināta, prettiesiska darbība, kas neiekļaujas civiltiesiskās atbildības apdrošināšanas segumā.</w:t>
            </w:r>
          </w:p>
          <w:p w14:paraId="7222B696" w14:textId="23090407" w:rsidR="004B3534" w:rsidRDefault="004B3534" w:rsidP="004B3534">
            <w:pPr>
              <w:pStyle w:val="BodyTextIndent3"/>
              <w:shd w:val="clear" w:color="auto" w:fill="FFFFFF" w:themeFill="background1"/>
              <w:tabs>
                <w:tab w:val="left" w:pos="851"/>
              </w:tabs>
              <w:ind w:left="52" w:firstLine="0"/>
              <w:jc w:val="left"/>
              <w:rPr>
                <w:color w:val="000000"/>
                <w:szCs w:val="24"/>
                <w:lang w:val="lv-LV"/>
              </w:rPr>
            </w:pPr>
            <w:r>
              <w:rPr>
                <w:color w:val="000000"/>
                <w:szCs w:val="24"/>
                <w:lang w:val="lv-LV"/>
              </w:rPr>
              <w:t>Aptaujājot visas Latvijā reģistrētās apdrošināšanas kompānijas par iespējām šādu risku iekļaut CTA polisē, saņēmām atteikumus no visām. Pēc il</w:t>
            </w:r>
            <w:r w:rsidR="00A943C8">
              <w:rPr>
                <w:color w:val="000000"/>
                <w:szCs w:val="24"/>
                <w:lang w:val="lv-LV"/>
              </w:rPr>
              <w:t>g</w:t>
            </w:r>
            <w:r>
              <w:rPr>
                <w:color w:val="000000"/>
                <w:szCs w:val="24"/>
                <w:lang w:val="lv-LV"/>
              </w:rPr>
              <w:t>stošām pārrunām mūsu ilggadējais CTA apdrošināšanas partneris Balta AAS piekrita, izņēmuma kārtā, ar striktiem papildus nosacījumiem un vairāk kā divkāršotu polises apdrošināšanas prēmiju iekļaut šo risku konkrētam līgumam.</w:t>
            </w:r>
          </w:p>
          <w:p w14:paraId="38C3818B" w14:textId="77777777" w:rsidR="004B3534" w:rsidRDefault="004B3534" w:rsidP="004B3534">
            <w:pPr>
              <w:pStyle w:val="BodyTextIndent3"/>
              <w:shd w:val="clear" w:color="auto" w:fill="FFFFFF" w:themeFill="background1"/>
              <w:tabs>
                <w:tab w:val="left" w:pos="851"/>
              </w:tabs>
              <w:ind w:left="52" w:firstLine="0"/>
              <w:jc w:val="left"/>
              <w:rPr>
                <w:color w:val="000000"/>
                <w:szCs w:val="24"/>
                <w:lang w:val="lv-LV"/>
              </w:rPr>
            </w:pPr>
            <w:r>
              <w:rPr>
                <w:color w:val="000000"/>
                <w:szCs w:val="24"/>
                <w:lang w:val="lv-LV"/>
              </w:rPr>
              <w:t>2.Nav skaidrs prasītais atbildības apjoms – summas cipariem un vārdiem ir atšķirīgas.</w:t>
            </w:r>
          </w:p>
          <w:p w14:paraId="4C1475BE" w14:textId="3F4D7E73" w:rsidR="004B3534" w:rsidRPr="00DD4166" w:rsidRDefault="004B3534" w:rsidP="004B3534">
            <w:pPr>
              <w:pStyle w:val="NoSpacing"/>
              <w:jc w:val="both"/>
              <w:rPr>
                <w:color w:val="000000"/>
              </w:rPr>
            </w:pPr>
            <w:r>
              <w:rPr>
                <w:color w:val="000000"/>
                <w:lang w:val="lv-LV"/>
              </w:rPr>
              <w:lastRenderedPageBreak/>
              <w:t>3.Arī prasību par 0 EUR pašrisku uzskatām par nesamērīgu. Standarta pašriska summa ir neliela (100 EUR - 200 EUR robežās), tā samazināšana līdz 0 EUR būtiski palielina apdrošināšanas prēmiju. Mūsu priekšlikums ir noteikt pieļaujamo pašriska apjomu lielāku, piemēram 200 EUR. Nav pamata uzskatīt, ka piegādātāji šādu pašrisku finansiāli nebūtu spējīgi pasūtītājam kompensēt, turklāt pat šādā gadījumā tas nerada būtisku finansiālu risku NBS.</w:t>
            </w:r>
          </w:p>
        </w:tc>
        <w:tc>
          <w:tcPr>
            <w:tcW w:w="4394" w:type="dxa"/>
          </w:tcPr>
          <w:p w14:paraId="00C82EF2" w14:textId="0E3AF590" w:rsidR="00C031C6" w:rsidRPr="008B7022" w:rsidRDefault="00C0129F" w:rsidP="00C0129F">
            <w:pPr>
              <w:pStyle w:val="NoSpacing"/>
              <w:ind w:left="33"/>
              <w:jc w:val="both"/>
              <w:rPr>
                <w:bCs/>
                <w:lang w:val="lv-LV"/>
              </w:rPr>
            </w:pPr>
            <w:r w:rsidRPr="008B7022">
              <w:rPr>
                <w:bCs/>
                <w:lang w:val="lv-LV"/>
              </w:rPr>
              <w:lastRenderedPageBreak/>
              <w:t>Kvalifikācijas prasība tiks precizēta, izstrādājot atklāta konkursa nolikumu.</w:t>
            </w:r>
          </w:p>
          <w:p w14:paraId="47F5E266" w14:textId="38C1EE94" w:rsidR="00C031C6" w:rsidRPr="00F15F3F" w:rsidRDefault="00C031C6" w:rsidP="004B3534">
            <w:pPr>
              <w:pStyle w:val="NoSpacing"/>
              <w:ind w:left="33"/>
              <w:jc w:val="both"/>
              <w:rPr>
                <w:bCs/>
                <w:i/>
                <w:iCs/>
                <w:highlight w:val="yellow"/>
              </w:rPr>
            </w:pPr>
          </w:p>
        </w:tc>
      </w:tr>
      <w:bookmarkEnd w:id="0"/>
    </w:tbl>
    <w:p w14:paraId="66A782E9" w14:textId="77777777" w:rsidR="006D64A5" w:rsidRPr="006C0D15" w:rsidRDefault="006D64A5" w:rsidP="00905C2A">
      <w:pPr>
        <w:rPr>
          <w:b/>
        </w:rPr>
      </w:pPr>
    </w:p>
    <w:p w14:paraId="7EDFDE3E" w14:textId="59BCF923" w:rsidR="00974D0D" w:rsidRPr="003D6BBF" w:rsidRDefault="000D1BE8" w:rsidP="003D6BBF">
      <w:pPr>
        <w:spacing w:line="276" w:lineRule="auto"/>
        <w:jc w:val="center"/>
        <w:rPr>
          <w:b/>
          <w:i/>
        </w:rPr>
      </w:pPr>
      <w:bookmarkStart w:id="4" w:name="_Hlk200638318"/>
      <w:r w:rsidRPr="006C0D15">
        <w:rPr>
          <w:b/>
        </w:rPr>
        <w:t xml:space="preserve">Par termiņiem </w:t>
      </w:r>
      <w:bookmarkStart w:id="5" w:name="_Hlk184819722"/>
      <w:bookmarkEnd w:id="4"/>
    </w:p>
    <w:tbl>
      <w:tblPr>
        <w:tblStyle w:val="TableGrid1"/>
        <w:tblW w:w="14858" w:type="dxa"/>
        <w:tblInd w:w="-431" w:type="dxa"/>
        <w:tblLook w:val="04A0" w:firstRow="1" w:lastRow="0" w:firstColumn="1" w:lastColumn="0" w:noHBand="0" w:noVBand="1"/>
      </w:tblPr>
      <w:tblGrid>
        <w:gridCol w:w="4487"/>
        <w:gridCol w:w="3911"/>
        <w:gridCol w:w="6460"/>
      </w:tblGrid>
      <w:tr w:rsidR="00182674" w:rsidRPr="006C0D15" w14:paraId="11837688" w14:textId="1F368981" w:rsidTr="00FA52A3">
        <w:trPr>
          <w:trHeight w:val="1110"/>
        </w:trPr>
        <w:tc>
          <w:tcPr>
            <w:tcW w:w="4487" w:type="dxa"/>
            <w:shd w:val="clear" w:color="auto" w:fill="FBE4D5" w:themeFill="accent2" w:themeFillTint="33"/>
            <w:vAlign w:val="center"/>
          </w:tcPr>
          <w:bookmarkEnd w:id="5"/>
          <w:p w14:paraId="7B8DF71F" w14:textId="77777777" w:rsidR="00182674" w:rsidRPr="006C0D15" w:rsidRDefault="00182674" w:rsidP="004610DC">
            <w:pPr>
              <w:tabs>
                <w:tab w:val="center" w:pos="4153"/>
                <w:tab w:val="right" w:pos="8306"/>
              </w:tabs>
              <w:jc w:val="center"/>
              <w:outlineLvl w:val="0"/>
              <w:rPr>
                <w:b/>
              </w:rPr>
            </w:pPr>
            <w:r w:rsidRPr="006C0D15">
              <w:rPr>
                <w:b/>
              </w:rPr>
              <w:t>Nosaukums</w:t>
            </w:r>
          </w:p>
        </w:tc>
        <w:tc>
          <w:tcPr>
            <w:tcW w:w="3911" w:type="dxa"/>
            <w:tcBorders>
              <w:bottom w:val="single" w:sz="4" w:space="0" w:color="auto"/>
            </w:tcBorders>
            <w:shd w:val="clear" w:color="auto" w:fill="FBE4D5" w:themeFill="accent2" w:themeFillTint="33"/>
            <w:vAlign w:val="center"/>
          </w:tcPr>
          <w:p w14:paraId="4B493199" w14:textId="77777777" w:rsidR="00182674" w:rsidRPr="00A44F1A" w:rsidRDefault="00182674" w:rsidP="004610DC">
            <w:pPr>
              <w:tabs>
                <w:tab w:val="center" w:pos="4153"/>
                <w:tab w:val="right" w:pos="8306"/>
              </w:tabs>
              <w:jc w:val="center"/>
              <w:outlineLvl w:val="0"/>
              <w:rPr>
                <w:b/>
                <w:strike/>
              </w:rPr>
            </w:pPr>
          </w:p>
          <w:p w14:paraId="0A5D99A2" w14:textId="5350866E" w:rsidR="00182674" w:rsidRPr="00A44F1A" w:rsidRDefault="00182674" w:rsidP="00637F5A">
            <w:pPr>
              <w:tabs>
                <w:tab w:val="center" w:pos="4153"/>
                <w:tab w:val="right" w:pos="8306"/>
              </w:tabs>
              <w:jc w:val="center"/>
              <w:outlineLvl w:val="0"/>
              <w:rPr>
                <w:b/>
              </w:rPr>
            </w:pPr>
            <w:r w:rsidRPr="00A44F1A">
              <w:rPr>
                <w:b/>
              </w:rPr>
              <w:t xml:space="preserve">Ieinteresētā piegādātāja norādītais </w:t>
            </w:r>
          </w:p>
          <w:p w14:paraId="7BDE62E9" w14:textId="4277FB6D" w:rsidR="00182674" w:rsidRDefault="00182674" w:rsidP="00637F5A">
            <w:pPr>
              <w:tabs>
                <w:tab w:val="center" w:pos="4153"/>
                <w:tab w:val="right" w:pos="8306"/>
              </w:tabs>
              <w:jc w:val="center"/>
              <w:outlineLvl w:val="0"/>
              <w:rPr>
                <w:b/>
                <w:strike/>
              </w:rPr>
            </w:pPr>
            <w:r>
              <w:rPr>
                <w:b/>
              </w:rPr>
              <w:t>t</w:t>
            </w:r>
            <w:r w:rsidRPr="00A44F1A">
              <w:rPr>
                <w:b/>
              </w:rPr>
              <w:t>ermiņš</w:t>
            </w:r>
          </w:p>
          <w:p w14:paraId="28A9B4A2" w14:textId="0819A88C" w:rsidR="00182674" w:rsidRPr="00A44F1A" w:rsidRDefault="00182674" w:rsidP="00182674">
            <w:pPr>
              <w:tabs>
                <w:tab w:val="center" w:pos="4153"/>
                <w:tab w:val="right" w:pos="8306"/>
              </w:tabs>
              <w:jc w:val="center"/>
              <w:outlineLvl w:val="0"/>
              <w:rPr>
                <w:b/>
                <w:strike/>
              </w:rPr>
            </w:pPr>
          </w:p>
        </w:tc>
        <w:tc>
          <w:tcPr>
            <w:tcW w:w="6460" w:type="dxa"/>
            <w:shd w:val="clear" w:color="auto" w:fill="FBE4D5" w:themeFill="accent2" w:themeFillTint="33"/>
            <w:vAlign w:val="center"/>
          </w:tcPr>
          <w:p w14:paraId="0A45CBB2" w14:textId="20044D7A" w:rsidR="00182674" w:rsidRPr="00073371" w:rsidRDefault="00182674" w:rsidP="004610DC">
            <w:pPr>
              <w:tabs>
                <w:tab w:val="center" w:pos="4153"/>
                <w:tab w:val="right" w:pos="8306"/>
              </w:tabs>
              <w:jc w:val="center"/>
              <w:outlineLvl w:val="0"/>
              <w:rPr>
                <w:b/>
              </w:rPr>
            </w:pPr>
            <w:r w:rsidRPr="00073371">
              <w:rPr>
                <w:b/>
              </w:rPr>
              <w:t>Komisijas galvenie secinājumi un vērtējums</w:t>
            </w:r>
          </w:p>
        </w:tc>
      </w:tr>
      <w:tr w:rsidR="006E1AED" w:rsidRPr="006C0D15" w14:paraId="27F4E4BC" w14:textId="32A41720" w:rsidTr="006E1AED">
        <w:trPr>
          <w:trHeight w:val="806"/>
        </w:trPr>
        <w:tc>
          <w:tcPr>
            <w:tcW w:w="4487" w:type="dxa"/>
            <w:vAlign w:val="center"/>
          </w:tcPr>
          <w:p w14:paraId="7B670469" w14:textId="1D3B55BF" w:rsidR="006E1AED" w:rsidRPr="006C0D15" w:rsidRDefault="006E1AED" w:rsidP="006E1AED">
            <w:pPr>
              <w:tabs>
                <w:tab w:val="center" w:pos="4153"/>
                <w:tab w:val="right" w:pos="8306"/>
              </w:tabs>
              <w:jc w:val="both"/>
              <w:outlineLvl w:val="0"/>
              <w:rPr>
                <w:u w:val="single"/>
              </w:rPr>
            </w:pPr>
            <w:r w:rsidRPr="00B76C40">
              <w:t xml:space="preserve">Piedāvājuma sagatavošanai un iesniegšanai nepieciešamais termiņš </w:t>
            </w:r>
            <w:r w:rsidRPr="000249DE">
              <w:rPr>
                <w:u w:val="single"/>
              </w:rPr>
              <w:t>kalendārajās dien</w:t>
            </w:r>
            <w:r>
              <w:rPr>
                <w:u w:val="single"/>
              </w:rPr>
              <w:t>ā</w:t>
            </w:r>
            <w:r w:rsidRPr="000249DE">
              <w:rPr>
                <w:u w:val="single"/>
              </w:rPr>
              <w:t>s</w:t>
            </w:r>
            <w:r>
              <w:rPr>
                <w:u w:val="single"/>
              </w:rPr>
              <w:t>.</w:t>
            </w:r>
          </w:p>
        </w:tc>
        <w:tc>
          <w:tcPr>
            <w:tcW w:w="3911" w:type="dxa"/>
          </w:tcPr>
          <w:p w14:paraId="4B037C4F" w14:textId="77777777" w:rsidR="006E1AED" w:rsidRDefault="006E1AED" w:rsidP="006E1AED">
            <w:pPr>
              <w:tabs>
                <w:tab w:val="center" w:pos="4153"/>
                <w:tab w:val="right" w:pos="8306"/>
              </w:tabs>
              <w:outlineLvl w:val="0"/>
            </w:pPr>
          </w:p>
          <w:p w14:paraId="3A213B83" w14:textId="5FC4B049" w:rsidR="006E1AED" w:rsidRPr="006C0D15" w:rsidRDefault="006E1AED" w:rsidP="006E1AED">
            <w:pPr>
              <w:tabs>
                <w:tab w:val="center" w:pos="4153"/>
                <w:tab w:val="right" w:pos="8306"/>
              </w:tabs>
              <w:jc w:val="center"/>
              <w:outlineLvl w:val="0"/>
            </w:pPr>
            <w:r>
              <w:t>30 dienas</w:t>
            </w:r>
          </w:p>
        </w:tc>
        <w:tc>
          <w:tcPr>
            <w:tcW w:w="6460" w:type="dxa"/>
          </w:tcPr>
          <w:p w14:paraId="5C17E796" w14:textId="2C2FFEED" w:rsidR="006E1AED" w:rsidRPr="006C0D15" w:rsidRDefault="00022363" w:rsidP="006E1AED">
            <w:pPr>
              <w:tabs>
                <w:tab w:val="center" w:pos="4153"/>
                <w:tab w:val="right" w:pos="8306"/>
              </w:tabs>
              <w:jc w:val="both"/>
              <w:outlineLvl w:val="0"/>
            </w:pPr>
            <w:r w:rsidRPr="00022363">
              <w:t>Piedāvājumu iesniegšanas termiņš tiks noteikts atbilstoši Publisko iepirkumu likuma regulējumam.</w:t>
            </w:r>
          </w:p>
        </w:tc>
      </w:tr>
    </w:tbl>
    <w:p w14:paraId="0A56E0E9" w14:textId="77777777" w:rsidR="00DD2E9C" w:rsidRPr="006C0D15" w:rsidRDefault="00DD2E9C" w:rsidP="00875121">
      <w:pPr>
        <w:rPr>
          <w:b/>
        </w:rPr>
      </w:pPr>
    </w:p>
    <w:p w14:paraId="4B4FEA1B" w14:textId="6C77D5BC" w:rsidR="008E4B93" w:rsidRPr="006C0D15" w:rsidRDefault="002F1B69" w:rsidP="00E05A56">
      <w:pPr>
        <w:numPr>
          <w:ilvl w:val="0"/>
          <w:numId w:val="5"/>
        </w:numPr>
        <w:ind w:left="426" w:right="253"/>
        <w:contextualSpacing/>
        <w:jc w:val="both"/>
      </w:pPr>
      <w:r w:rsidRPr="006C0D15">
        <w:rPr>
          <w:u w:val="single"/>
        </w:rPr>
        <w:t>Vērtējums par apspriedes laikā saņemtajiem ieinteresēto piegādātāju priekšlikumiem:</w:t>
      </w:r>
      <w:r w:rsidRPr="006C0D15">
        <w:t xml:space="preserve"> </w:t>
      </w:r>
      <w:r w:rsidR="00282BF8" w:rsidRPr="006C0D15">
        <w:t>visi saņemtie priekšlikumi ir izvērtēti un iespēju robežās tiks ņemti vērā, izstrādājot iepirkuma dokumentāciju.</w:t>
      </w:r>
    </w:p>
    <w:p w14:paraId="605B9D68" w14:textId="6553A8EB" w:rsidR="002F1B69" w:rsidRDefault="002F1B69" w:rsidP="002F1B69">
      <w:pPr>
        <w:numPr>
          <w:ilvl w:val="0"/>
          <w:numId w:val="5"/>
        </w:numPr>
        <w:ind w:left="426" w:right="253"/>
        <w:contextualSpacing/>
        <w:jc w:val="both"/>
      </w:pPr>
      <w:r w:rsidRPr="006C0D15">
        <w:rPr>
          <w:u w:val="single"/>
        </w:rPr>
        <w:t>Iespējamā konkurence iepirkumā</w:t>
      </w:r>
      <w:r w:rsidRPr="006C0D15">
        <w:t>: iepirkumā tiks nodrošināta brīva konkurence starp ieinteresētajiem piegādātājiem, pretendentu kvalifikācijas prasībās un iepirkuma priekšmeta tehniskajā specifikācijā nav noteikti konkurenci ierobežojoši nosacījumi, tādejādi nodrošinot vienlīdzīgu un taisnīgu attieksmi pret visiem ieinteresētajiem piegādātājiem.</w:t>
      </w:r>
    </w:p>
    <w:p w14:paraId="35B2874F" w14:textId="612BBDD4" w:rsidR="002F1B69" w:rsidRPr="006C0D15" w:rsidRDefault="002F1B69" w:rsidP="002F1B69"/>
    <w:p w14:paraId="6BA24614" w14:textId="77777777" w:rsidR="00C4234E" w:rsidRPr="001B7E51" w:rsidRDefault="00C4234E" w:rsidP="00C4234E">
      <w:pPr>
        <w:ind w:left="357"/>
        <w:contextualSpacing/>
        <w:jc w:val="both"/>
      </w:pPr>
      <w:r w:rsidRPr="001B7E51">
        <w:t xml:space="preserve">Iepirkuma komisijas priekšsēdētājs                   </w:t>
      </w:r>
      <w:r w:rsidRPr="001B7E51">
        <w:tab/>
      </w:r>
      <w:r w:rsidRPr="001B7E51">
        <w:tab/>
      </w:r>
      <w:r w:rsidRPr="001B7E51">
        <w:tab/>
      </w:r>
      <w:r w:rsidRPr="001B7E51">
        <w:tab/>
      </w:r>
      <w:r w:rsidRPr="001B7E51">
        <w:tab/>
      </w:r>
      <w:r w:rsidRPr="001B7E51">
        <w:tab/>
      </w:r>
      <w:r w:rsidRPr="001B7E51">
        <w:tab/>
      </w:r>
      <w:r w:rsidRPr="001B7E51">
        <w:tab/>
      </w:r>
      <w:r>
        <w:t>Aivars Meikšāns</w:t>
      </w:r>
    </w:p>
    <w:p w14:paraId="55B21673" w14:textId="77777777" w:rsidR="00C4234E" w:rsidRDefault="00C4234E" w:rsidP="00C4234E">
      <w:pPr>
        <w:ind w:left="357"/>
        <w:contextualSpacing/>
        <w:jc w:val="both"/>
        <w:rPr>
          <w:sz w:val="16"/>
          <w:szCs w:val="16"/>
        </w:rPr>
      </w:pPr>
    </w:p>
    <w:p w14:paraId="2C1418A3" w14:textId="77777777" w:rsidR="00C4234E" w:rsidRPr="009E6160" w:rsidRDefault="00C4234E" w:rsidP="00C4234E">
      <w:pPr>
        <w:ind w:left="357"/>
        <w:contextualSpacing/>
        <w:jc w:val="both"/>
        <w:rPr>
          <w:sz w:val="16"/>
          <w:szCs w:val="16"/>
        </w:rPr>
      </w:pPr>
      <w:r w:rsidRPr="009E6160">
        <w:rPr>
          <w:sz w:val="16"/>
          <w:szCs w:val="16"/>
        </w:rPr>
        <w:t>Linda Stafecka, 29330162</w:t>
      </w:r>
    </w:p>
    <w:p w14:paraId="558BC8F4" w14:textId="3B04DFE7" w:rsidR="002C63BE" w:rsidRPr="00073371" w:rsidRDefault="00C4234E" w:rsidP="00C4234E">
      <w:pPr>
        <w:ind w:left="357"/>
        <w:contextualSpacing/>
        <w:jc w:val="both"/>
        <w:rPr>
          <w:sz w:val="16"/>
          <w:szCs w:val="16"/>
        </w:rPr>
      </w:pPr>
      <w:r w:rsidRPr="009E6160">
        <w:rPr>
          <w:sz w:val="16"/>
          <w:szCs w:val="16"/>
        </w:rPr>
        <w:t>Linda.</w:t>
      </w:r>
      <w:r w:rsidR="006359A4">
        <w:rPr>
          <w:sz w:val="16"/>
          <w:szCs w:val="16"/>
        </w:rPr>
        <w:t>S</w:t>
      </w:r>
      <w:r w:rsidRPr="009E6160">
        <w:rPr>
          <w:sz w:val="16"/>
          <w:szCs w:val="16"/>
        </w:rPr>
        <w:t>tafecka@valic.gov.lv</w:t>
      </w:r>
    </w:p>
    <w:sectPr w:rsidR="002C63BE" w:rsidRPr="00073371" w:rsidSect="00975305">
      <w:footerReference w:type="default" r:id="rId8"/>
      <w:footerReference w:type="first" r:id="rId9"/>
      <w:pgSz w:w="16838" w:h="11906" w:orient="landscape"/>
      <w:pgMar w:top="851" w:right="1800" w:bottom="1276" w:left="1134" w:header="708" w:footer="3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00F5" w14:textId="77777777" w:rsidR="009654D7" w:rsidRDefault="009654D7" w:rsidP="00186424">
      <w:r>
        <w:separator/>
      </w:r>
    </w:p>
  </w:endnote>
  <w:endnote w:type="continuationSeparator" w:id="0">
    <w:p w14:paraId="6ABF1B8E" w14:textId="77777777" w:rsidR="009654D7" w:rsidRDefault="009654D7" w:rsidP="0018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00000000"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508121"/>
      <w:docPartObj>
        <w:docPartGallery w:val="Page Numbers (Bottom of Page)"/>
        <w:docPartUnique/>
      </w:docPartObj>
    </w:sdtPr>
    <w:sdtEndPr>
      <w:rPr>
        <w:noProof/>
        <w:sz w:val="20"/>
        <w:szCs w:val="20"/>
      </w:rPr>
    </w:sdtEndPr>
    <w:sdtContent>
      <w:p w14:paraId="2A781093" w14:textId="104DA86C" w:rsidR="003D1B9A" w:rsidRPr="003D1B9A" w:rsidRDefault="003D1B9A">
        <w:pPr>
          <w:pStyle w:val="Footer"/>
          <w:jc w:val="center"/>
          <w:rPr>
            <w:sz w:val="20"/>
            <w:szCs w:val="20"/>
          </w:rPr>
        </w:pPr>
        <w:r w:rsidRPr="003D1B9A">
          <w:rPr>
            <w:sz w:val="20"/>
            <w:szCs w:val="20"/>
          </w:rPr>
          <w:fldChar w:fldCharType="begin"/>
        </w:r>
        <w:r w:rsidRPr="003D1B9A">
          <w:rPr>
            <w:sz w:val="20"/>
            <w:szCs w:val="20"/>
          </w:rPr>
          <w:instrText xml:space="preserve"> PAGE   \* MERGEFORMAT </w:instrText>
        </w:r>
        <w:r w:rsidRPr="003D1B9A">
          <w:rPr>
            <w:sz w:val="20"/>
            <w:szCs w:val="20"/>
          </w:rPr>
          <w:fldChar w:fldCharType="separate"/>
        </w:r>
        <w:r w:rsidRPr="003D1B9A">
          <w:rPr>
            <w:noProof/>
            <w:sz w:val="20"/>
            <w:szCs w:val="20"/>
          </w:rPr>
          <w:t>2</w:t>
        </w:r>
        <w:r w:rsidRPr="003D1B9A">
          <w:rPr>
            <w:noProof/>
            <w:sz w:val="20"/>
            <w:szCs w:val="20"/>
          </w:rPr>
          <w:fldChar w:fldCharType="end"/>
        </w:r>
      </w:p>
    </w:sdtContent>
  </w:sdt>
  <w:p w14:paraId="1B3FB1F7" w14:textId="31E09685" w:rsidR="008D6D31" w:rsidRPr="00F15F3F" w:rsidRDefault="008D6D31" w:rsidP="00F15F3F">
    <w:pPr>
      <w:pStyle w:val="Footer"/>
      <w:jc w:val="center"/>
      <w:rPr>
        <w:sz w:val="20"/>
        <w:szCs w:val="20"/>
      </w:rPr>
    </w:pPr>
    <w:r w:rsidRPr="00467C3A">
      <w:rPr>
        <w:sz w:val="20"/>
        <w:szCs w:val="20"/>
      </w:rPr>
      <w:t>DOKUMENTS IR PARAKSTĪTS AR DROŠU ELEKTRONISKO PARAKSTU UN SATUR LAIKA ZĪMOGU</w:t>
    </w:r>
  </w:p>
  <w:p w14:paraId="5B0AE83D" w14:textId="77777777" w:rsidR="008D6D31" w:rsidRDefault="008D6D31" w:rsidP="003D1B9A">
    <w:pPr>
      <w:pStyle w:val="Footer"/>
      <w:rPr>
        <w:bCs/>
        <w:sz w:val="16"/>
        <w:szCs w:val="16"/>
      </w:rPr>
    </w:pPr>
  </w:p>
  <w:p w14:paraId="5AAD6452" w14:textId="07A82B39" w:rsidR="003D1B9A" w:rsidRPr="00BF63F9" w:rsidRDefault="0093413A" w:rsidP="003D1B9A">
    <w:pPr>
      <w:pStyle w:val="Footer"/>
      <w:rPr>
        <w:bCs/>
      </w:rPr>
    </w:pPr>
    <w:r w:rsidRPr="0093413A">
      <w:rPr>
        <w:bCs/>
        <w:sz w:val="16"/>
        <w:szCs w:val="16"/>
      </w:rPr>
      <w:t>VALIC 2026/021/TN-P-AK</w:t>
    </w:r>
  </w:p>
  <w:p w14:paraId="63B36E90" w14:textId="2AEEE947" w:rsidR="00E728E9" w:rsidRPr="00430FF5" w:rsidRDefault="00E728E9">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9B85" w14:textId="77777777" w:rsidR="008D6D31" w:rsidRDefault="008D6D31" w:rsidP="008D6D31">
    <w:pPr>
      <w:pStyle w:val="Footer"/>
      <w:jc w:val="center"/>
      <w:rPr>
        <w:sz w:val="20"/>
        <w:szCs w:val="20"/>
      </w:rPr>
    </w:pPr>
    <w:r w:rsidRPr="00467C3A">
      <w:rPr>
        <w:sz w:val="20"/>
        <w:szCs w:val="20"/>
      </w:rPr>
      <w:t>DOKUMENTS IR PARAKSTĪTS AR DROŠU ELEKTRONISKO PARAKSTU UN SATUR LAIKA ZĪMOGU</w:t>
    </w:r>
  </w:p>
  <w:p w14:paraId="31365357" w14:textId="55E6AF4B" w:rsidR="003D1B9A" w:rsidRDefault="003D1B9A" w:rsidP="003D0394">
    <w:pPr>
      <w:pStyle w:val="Footer"/>
    </w:pPr>
  </w:p>
  <w:p w14:paraId="50B20BB9" w14:textId="74F2FD33" w:rsidR="003D1B9A" w:rsidRDefault="00AE389B" w:rsidP="00AE389B">
    <w:pPr>
      <w:pStyle w:val="Footer"/>
    </w:pPr>
    <w:r w:rsidRPr="00AE389B">
      <w:rPr>
        <w:rFonts w:eastAsia="Calibri"/>
        <w:noProof/>
        <w:sz w:val="16"/>
        <w:szCs w:val="16"/>
        <w:lang w:eastAsia="en-US"/>
      </w:rPr>
      <w:t>VALIC 2026/021/TN-P-AK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C0A1" w14:textId="77777777" w:rsidR="009654D7" w:rsidRDefault="009654D7" w:rsidP="00186424">
      <w:r>
        <w:separator/>
      </w:r>
    </w:p>
  </w:footnote>
  <w:footnote w:type="continuationSeparator" w:id="0">
    <w:p w14:paraId="3344F3DE" w14:textId="77777777" w:rsidR="009654D7" w:rsidRDefault="009654D7" w:rsidP="00186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7FA"/>
    <w:multiLevelType w:val="hybridMultilevel"/>
    <w:tmpl w:val="1E0C34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411442"/>
    <w:multiLevelType w:val="hybridMultilevel"/>
    <w:tmpl w:val="A67C6948"/>
    <w:lvl w:ilvl="0" w:tplc="04260001">
      <w:start w:val="1"/>
      <w:numFmt w:val="bullet"/>
      <w:lvlText w:val=""/>
      <w:lvlJc w:val="left"/>
      <w:pPr>
        <w:ind w:left="-751" w:hanging="360"/>
      </w:pPr>
      <w:rPr>
        <w:rFonts w:ascii="Symbol" w:hAnsi="Symbol" w:hint="default"/>
      </w:rPr>
    </w:lvl>
    <w:lvl w:ilvl="1" w:tplc="04260003" w:tentative="1">
      <w:start w:val="1"/>
      <w:numFmt w:val="bullet"/>
      <w:lvlText w:val="o"/>
      <w:lvlJc w:val="left"/>
      <w:pPr>
        <w:ind w:left="-31" w:hanging="360"/>
      </w:pPr>
      <w:rPr>
        <w:rFonts w:ascii="Courier New" w:hAnsi="Courier New" w:cs="Courier New" w:hint="default"/>
      </w:rPr>
    </w:lvl>
    <w:lvl w:ilvl="2" w:tplc="04260005" w:tentative="1">
      <w:start w:val="1"/>
      <w:numFmt w:val="bullet"/>
      <w:lvlText w:val=""/>
      <w:lvlJc w:val="left"/>
      <w:pPr>
        <w:ind w:left="689" w:hanging="360"/>
      </w:pPr>
      <w:rPr>
        <w:rFonts w:ascii="Wingdings" w:hAnsi="Wingdings" w:hint="default"/>
      </w:rPr>
    </w:lvl>
    <w:lvl w:ilvl="3" w:tplc="04260001" w:tentative="1">
      <w:start w:val="1"/>
      <w:numFmt w:val="bullet"/>
      <w:lvlText w:val=""/>
      <w:lvlJc w:val="left"/>
      <w:pPr>
        <w:ind w:left="1409" w:hanging="360"/>
      </w:pPr>
      <w:rPr>
        <w:rFonts w:ascii="Symbol" w:hAnsi="Symbol" w:hint="default"/>
      </w:rPr>
    </w:lvl>
    <w:lvl w:ilvl="4" w:tplc="04260003" w:tentative="1">
      <w:start w:val="1"/>
      <w:numFmt w:val="bullet"/>
      <w:lvlText w:val="o"/>
      <w:lvlJc w:val="left"/>
      <w:pPr>
        <w:ind w:left="2129" w:hanging="360"/>
      </w:pPr>
      <w:rPr>
        <w:rFonts w:ascii="Courier New" w:hAnsi="Courier New" w:cs="Courier New" w:hint="default"/>
      </w:rPr>
    </w:lvl>
    <w:lvl w:ilvl="5" w:tplc="04260005" w:tentative="1">
      <w:start w:val="1"/>
      <w:numFmt w:val="bullet"/>
      <w:lvlText w:val=""/>
      <w:lvlJc w:val="left"/>
      <w:pPr>
        <w:ind w:left="2849" w:hanging="360"/>
      </w:pPr>
      <w:rPr>
        <w:rFonts w:ascii="Wingdings" w:hAnsi="Wingdings" w:hint="default"/>
      </w:rPr>
    </w:lvl>
    <w:lvl w:ilvl="6" w:tplc="04260001" w:tentative="1">
      <w:start w:val="1"/>
      <w:numFmt w:val="bullet"/>
      <w:lvlText w:val=""/>
      <w:lvlJc w:val="left"/>
      <w:pPr>
        <w:ind w:left="3569" w:hanging="360"/>
      </w:pPr>
      <w:rPr>
        <w:rFonts w:ascii="Symbol" w:hAnsi="Symbol" w:hint="default"/>
      </w:rPr>
    </w:lvl>
    <w:lvl w:ilvl="7" w:tplc="04260003" w:tentative="1">
      <w:start w:val="1"/>
      <w:numFmt w:val="bullet"/>
      <w:lvlText w:val="o"/>
      <w:lvlJc w:val="left"/>
      <w:pPr>
        <w:ind w:left="4289" w:hanging="360"/>
      </w:pPr>
      <w:rPr>
        <w:rFonts w:ascii="Courier New" w:hAnsi="Courier New" w:cs="Courier New" w:hint="default"/>
      </w:rPr>
    </w:lvl>
    <w:lvl w:ilvl="8" w:tplc="04260005" w:tentative="1">
      <w:start w:val="1"/>
      <w:numFmt w:val="bullet"/>
      <w:lvlText w:val=""/>
      <w:lvlJc w:val="left"/>
      <w:pPr>
        <w:ind w:left="5009" w:hanging="360"/>
      </w:pPr>
      <w:rPr>
        <w:rFonts w:ascii="Wingdings" w:hAnsi="Wingdings" w:hint="default"/>
      </w:rPr>
    </w:lvl>
  </w:abstractNum>
  <w:abstractNum w:abstractNumId="2" w15:restartNumberingAfterBreak="0">
    <w:nsid w:val="066340C4"/>
    <w:multiLevelType w:val="multilevel"/>
    <w:tmpl w:val="9F8A1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848BC"/>
    <w:multiLevelType w:val="multilevel"/>
    <w:tmpl w:val="0809001F"/>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4" w15:restartNumberingAfterBreak="0">
    <w:nsid w:val="0C38610F"/>
    <w:multiLevelType w:val="hybridMultilevel"/>
    <w:tmpl w:val="B3565F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DE233C"/>
    <w:multiLevelType w:val="hybridMultilevel"/>
    <w:tmpl w:val="7A325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03154E"/>
    <w:multiLevelType w:val="hybridMultilevel"/>
    <w:tmpl w:val="7B7844B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BF6871"/>
    <w:multiLevelType w:val="hybridMultilevel"/>
    <w:tmpl w:val="060A05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4126B1"/>
    <w:multiLevelType w:val="hybridMultilevel"/>
    <w:tmpl w:val="9A727AEA"/>
    <w:lvl w:ilvl="0" w:tplc="B1EA0EA6">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504425"/>
    <w:multiLevelType w:val="hybridMultilevel"/>
    <w:tmpl w:val="E3B41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14B6D"/>
    <w:multiLevelType w:val="hybridMultilevel"/>
    <w:tmpl w:val="B82A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A61AF"/>
    <w:multiLevelType w:val="hybridMultilevel"/>
    <w:tmpl w:val="5DF64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F3621F"/>
    <w:multiLevelType w:val="hybridMultilevel"/>
    <w:tmpl w:val="1D48AA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357509B"/>
    <w:multiLevelType w:val="hybridMultilevel"/>
    <w:tmpl w:val="29FAB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4026FC1"/>
    <w:multiLevelType w:val="hybridMultilevel"/>
    <w:tmpl w:val="FBDE1134"/>
    <w:lvl w:ilvl="0" w:tplc="872059FE">
      <w:start w:val="1"/>
      <w:numFmt w:val="decimal"/>
      <w:lvlText w:val="%1."/>
      <w:lvlJc w:val="left"/>
      <w:pPr>
        <w:ind w:left="870"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64644A"/>
    <w:multiLevelType w:val="hybridMultilevel"/>
    <w:tmpl w:val="F9ACE304"/>
    <w:lvl w:ilvl="0" w:tplc="B1EA0EA6">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A23119"/>
    <w:multiLevelType w:val="hybridMultilevel"/>
    <w:tmpl w:val="4F3C0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10243"/>
    <w:multiLevelType w:val="hybridMultilevel"/>
    <w:tmpl w:val="D69CE144"/>
    <w:lvl w:ilvl="0" w:tplc="0409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3F0E49EE"/>
    <w:multiLevelType w:val="multilevel"/>
    <w:tmpl w:val="0186C148"/>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D178A6"/>
    <w:multiLevelType w:val="hybridMultilevel"/>
    <w:tmpl w:val="2B3E5A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9033FDA"/>
    <w:multiLevelType w:val="hybridMultilevel"/>
    <w:tmpl w:val="A3268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C0E03"/>
    <w:multiLevelType w:val="hybridMultilevel"/>
    <w:tmpl w:val="25988E2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4A7E0011"/>
    <w:multiLevelType w:val="hybridMultilevel"/>
    <w:tmpl w:val="CA72FDA8"/>
    <w:lvl w:ilvl="0" w:tplc="C748C4A8">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4AAD0ADA"/>
    <w:multiLevelType w:val="hybridMultilevel"/>
    <w:tmpl w:val="BCC66FD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4F0D75CC"/>
    <w:multiLevelType w:val="hybridMultilevel"/>
    <w:tmpl w:val="B330C4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39D035C"/>
    <w:multiLevelType w:val="hybridMultilevel"/>
    <w:tmpl w:val="2E38A48A"/>
    <w:lvl w:ilvl="0" w:tplc="5BE617B8">
      <w:start w:val="1"/>
      <w:numFmt w:val="bullet"/>
      <w:lvlText w:val=""/>
      <w:lvlJc w:val="left"/>
      <w:pPr>
        <w:ind w:left="683" w:hanging="360"/>
      </w:pPr>
      <w:rPr>
        <w:rFonts w:ascii="Symbol" w:hAnsi="Symbol" w:hint="default"/>
        <w:sz w:val="24"/>
        <w:szCs w:val="24"/>
      </w:rPr>
    </w:lvl>
    <w:lvl w:ilvl="1" w:tplc="04260003" w:tentative="1">
      <w:start w:val="1"/>
      <w:numFmt w:val="bullet"/>
      <w:lvlText w:val="o"/>
      <w:lvlJc w:val="left"/>
      <w:pPr>
        <w:ind w:left="1403" w:hanging="360"/>
      </w:pPr>
      <w:rPr>
        <w:rFonts w:ascii="Courier New" w:hAnsi="Courier New" w:cs="Courier New" w:hint="default"/>
      </w:rPr>
    </w:lvl>
    <w:lvl w:ilvl="2" w:tplc="04260005" w:tentative="1">
      <w:start w:val="1"/>
      <w:numFmt w:val="bullet"/>
      <w:lvlText w:val=""/>
      <w:lvlJc w:val="left"/>
      <w:pPr>
        <w:ind w:left="2123" w:hanging="360"/>
      </w:pPr>
      <w:rPr>
        <w:rFonts w:ascii="Wingdings" w:hAnsi="Wingdings" w:hint="default"/>
      </w:rPr>
    </w:lvl>
    <w:lvl w:ilvl="3" w:tplc="04260001" w:tentative="1">
      <w:start w:val="1"/>
      <w:numFmt w:val="bullet"/>
      <w:lvlText w:val=""/>
      <w:lvlJc w:val="left"/>
      <w:pPr>
        <w:ind w:left="2843" w:hanging="360"/>
      </w:pPr>
      <w:rPr>
        <w:rFonts w:ascii="Symbol" w:hAnsi="Symbol" w:hint="default"/>
      </w:rPr>
    </w:lvl>
    <w:lvl w:ilvl="4" w:tplc="04260003" w:tentative="1">
      <w:start w:val="1"/>
      <w:numFmt w:val="bullet"/>
      <w:lvlText w:val="o"/>
      <w:lvlJc w:val="left"/>
      <w:pPr>
        <w:ind w:left="3563" w:hanging="360"/>
      </w:pPr>
      <w:rPr>
        <w:rFonts w:ascii="Courier New" w:hAnsi="Courier New" w:cs="Courier New" w:hint="default"/>
      </w:rPr>
    </w:lvl>
    <w:lvl w:ilvl="5" w:tplc="04260005" w:tentative="1">
      <w:start w:val="1"/>
      <w:numFmt w:val="bullet"/>
      <w:lvlText w:val=""/>
      <w:lvlJc w:val="left"/>
      <w:pPr>
        <w:ind w:left="4283" w:hanging="360"/>
      </w:pPr>
      <w:rPr>
        <w:rFonts w:ascii="Wingdings" w:hAnsi="Wingdings" w:hint="default"/>
      </w:rPr>
    </w:lvl>
    <w:lvl w:ilvl="6" w:tplc="04260001" w:tentative="1">
      <w:start w:val="1"/>
      <w:numFmt w:val="bullet"/>
      <w:lvlText w:val=""/>
      <w:lvlJc w:val="left"/>
      <w:pPr>
        <w:ind w:left="5003" w:hanging="360"/>
      </w:pPr>
      <w:rPr>
        <w:rFonts w:ascii="Symbol" w:hAnsi="Symbol" w:hint="default"/>
      </w:rPr>
    </w:lvl>
    <w:lvl w:ilvl="7" w:tplc="04260003" w:tentative="1">
      <w:start w:val="1"/>
      <w:numFmt w:val="bullet"/>
      <w:lvlText w:val="o"/>
      <w:lvlJc w:val="left"/>
      <w:pPr>
        <w:ind w:left="5723" w:hanging="360"/>
      </w:pPr>
      <w:rPr>
        <w:rFonts w:ascii="Courier New" w:hAnsi="Courier New" w:cs="Courier New" w:hint="default"/>
      </w:rPr>
    </w:lvl>
    <w:lvl w:ilvl="8" w:tplc="04260005" w:tentative="1">
      <w:start w:val="1"/>
      <w:numFmt w:val="bullet"/>
      <w:lvlText w:val=""/>
      <w:lvlJc w:val="left"/>
      <w:pPr>
        <w:ind w:left="6443" w:hanging="360"/>
      </w:pPr>
      <w:rPr>
        <w:rFonts w:ascii="Wingdings" w:hAnsi="Wingdings" w:hint="default"/>
      </w:rPr>
    </w:lvl>
  </w:abstractNum>
  <w:abstractNum w:abstractNumId="26" w15:restartNumberingAfterBreak="0">
    <w:nsid w:val="54B265B0"/>
    <w:multiLevelType w:val="multilevel"/>
    <w:tmpl w:val="F89296B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472AFF"/>
    <w:multiLevelType w:val="hybridMultilevel"/>
    <w:tmpl w:val="668441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1996652"/>
    <w:multiLevelType w:val="hybridMultilevel"/>
    <w:tmpl w:val="2E2A6F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58E3CAB"/>
    <w:multiLevelType w:val="hybridMultilevel"/>
    <w:tmpl w:val="657CB958"/>
    <w:lvl w:ilvl="0" w:tplc="ABC0887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75337C"/>
    <w:multiLevelType w:val="hybridMultilevel"/>
    <w:tmpl w:val="F9ACE304"/>
    <w:lvl w:ilvl="0" w:tplc="B1EA0EA6">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AC6681"/>
    <w:multiLevelType w:val="hybridMultilevel"/>
    <w:tmpl w:val="6114CAD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71104B5D"/>
    <w:multiLevelType w:val="hybridMultilevel"/>
    <w:tmpl w:val="0B46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F21F9"/>
    <w:multiLevelType w:val="hybridMultilevel"/>
    <w:tmpl w:val="182476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C756BE4"/>
    <w:multiLevelType w:val="hybridMultilevel"/>
    <w:tmpl w:val="9FB68B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DCF390F"/>
    <w:multiLevelType w:val="hybridMultilevel"/>
    <w:tmpl w:val="6BB8E08C"/>
    <w:lvl w:ilvl="0" w:tplc="993E6440">
      <w:start w:val="1"/>
      <w:numFmt w:val="lowerLetter"/>
      <w:lvlText w:val="%1)"/>
      <w:lvlJc w:val="left"/>
      <w:pPr>
        <w:ind w:left="412" w:hanging="360"/>
      </w:pPr>
      <w:rPr>
        <w:rFonts w:eastAsia="Times New Roman" w:hint="default"/>
        <w:color w:val="000000"/>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36" w15:restartNumberingAfterBreak="0">
    <w:nsid w:val="7DD82461"/>
    <w:multiLevelType w:val="hybridMultilevel"/>
    <w:tmpl w:val="AEC655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D21D8A"/>
    <w:multiLevelType w:val="hybridMultilevel"/>
    <w:tmpl w:val="111A7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5"/>
  </w:num>
  <w:num w:numId="2">
    <w:abstractNumId w:val="26"/>
  </w:num>
  <w:num w:numId="3">
    <w:abstractNumId w:val="8"/>
  </w:num>
  <w:num w:numId="4">
    <w:abstractNumId w:val="9"/>
  </w:num>
  <w:num w:numId="5">
    <w:abstractNumId w:val="22"/>
  </w:num>
  <w:num w:numId="6">
    <w:abstractNumId w:val="32"/>
  </w:num>
  <w:num w:numId="7">
    <w:abstractNumId w:val="4"/>
  </w:num>
  <w:num w:numId="8">
    <w:abstractNumId w:val="19"/>
  </w:num>
  <w:num w:numId="9">
    <w:abstractNumId w:val="34"/>
  </w:num>
  <w:num w:numId="10">
    <w:abstractNumId w:val="27"/>
  </w:num>
  <w:num w:numId="11">
    <w:abstractNumId w:val="33"/>
  </w:num>
  <w:num w:numId="12">
    <w:abstractNumId w:val="17"/>
  </w:num>
  <w:num w:numId="13">
    <w:abstractNumId w:val="31"/>
  </w:num>
  <w:num w:numId="14">
    <w:abstractNumId w:val="11"/>
  </w:num>
  <w:num w:numId="15">
    <w:abstractNumId w:val="14"/>
  </w:num>
  <w:num w:numId="16">
    <w:abstractNumId w:val="36"/>
  </w:num>
  <w:num w:numId="17">
    <w:abstractNumId w:val="12"/>
  </w:num>
  <w:num w:numId="18">
    <w:abstractNumId w:val="24"/>
  </w:num>
  <w:num w:numId="19">
    <w:abstractNumId w:val="1"/>
  </w:num>
  <w:num w:numId="20">
    <w:abstractNumId w:val="28"/>
  </w:num>
  <w:num w:numId="21">
    <w:abstractNumId w:val="29"/>
  </w:num>
  <w:num w:numId="22">
    <w:abstractNumId w:val="13"/>
  </w:num>
  <w:num w:numId="23">
    <w:abstractNumId w:val="15"/>
  </w:num>
  <w:num w:numId="24">
    <w:abstractNumId w:val="25"/>
  </w:num>
  <w:num w:numId="25">
    <w:abstractNumId w:val="6"/>
  </w:num>
  <w:num w:numId="26">
    <w:abstractNumId w:val="10"/>
  </w:num>
  <w:num w:numId="27">
    <w:abstractNumId w:val="30"/>
  </w:num>
  <w:num w:numId="28">
    <w:abstractNumId w:val="2"/>
  </w:num>
  <w:num w:numId="29">
    <w:abstractNumId w:val="5"/>
  </w:num>
  <w:num w:numId="30">
    <w:abstractNumId w:val="3"/>
  </w:num>
  <w:num w:numId="31">
    <w:abstractNumId w:val="16"/>
  </w:num>
  <w:num w:numId="32">
    <w:abstractNumId w:val="20"/>
  </w:num>
  <w:num w:numId="33">
    <w:abstractNumId w:val="23"/>
  </w:num>
  <w:num w:numId="34">
    <w:abstractNumId w:val="7"/>
  </w:num>
  <w:num w:numId="35">
    <w:abstractNumId w:val="0"/>
  </w:num>
  <w:num w:numId="36">
    <w:abstractNumId w:val="37"/>
  </w:num>
  <w:num w:numId="37">
    <w:abstractNumId w:val="1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24"/>
    <w:rsid w:val="00010BE5"/>
    <w:rsid w:val="00022363"/>
    <w:rsid w:val="00031B3C"/>
    <w:rsid w:val="00032790"/>
    <w:rsid w:val="0004486D"/>
    <w:rsid w:val="00045ECC"/>
    <w:rsid w:val="000526E9"/>
    <w:rsid w:val="000535BD"/>
    <w:rsid w:val="000545B7"/>
    <w:rsid w:val="0005772C"/>
    <w:rsid w:val="0006241C"/>
    <w:rsid w:val="00062458"/>
    <w:rsid w:val="000654A2"/>
    <w:rsid w:val="00073371"/>
    <w:rsid w:val="00074183"/>
    <w:rsid w:val="00076D5A"/>
    <w:rsid w:val="000816AA"/>
    <w:rsid w:val="000837FD"/>
    <w:rsid w:val="00092CF8"/>
    <w:rsid w:val="000940EC"/>
    <w:rsid w:val="000A0327"/>
    <w:rsid w:val="000A373F"/>
    <w:rsid w:val="000A4607"/>
    <w:rsid w:val="000A7A70"/>
    <w:rsid w:val="000B1DEF"/>
    <w:rsid w:val="000B1DF9"/>
    <w:rsid w:val="000B2A35"/>
    <w:rsid w:val="000B3648"/>
    <w:rsid w:val="000B657E"/>
    <w:rsid w:val="000C2725"/>
    <w:rsid w:val="000C2AB9"/>
    <w:rsid w:val="000C4F51"/>
    <w:rsid w:val="000D1BE8"/>
    <w:rsid w:val="000D1E44"/>
    <w:rsid w:val="000D23AE"/>
    <w:rsid w:val="000D3C26"/>
    <w:rsid w:val="000F4635"/>
    <w:rsid w:val="000F6680"/>
    <w:rsid w:val="00116A4A"/>
    <w:rsid w:val="00116B5A"/>
    <w:rsid w:val="00116B9B"/>
    <w:rsid w:val="00135550"/>
    <w:rsid w:val="0017232B"/>
    <w:rsid w:val="00182674"/>
    <w:rsid w:val="00186424"/>
    <w:rsid w:val="001904EC"/>
    <w:rsid w:val="00190AB6"/>
    <w:rsid w:val="00194113"/>
    <w:rsid w:val="00194F07"/>
    <w:rsid w:val="00195483"/>
    <w:rsid w:val="001A2A72"/>
    <w:rsid w:val="001A36A3"/>
    <w:rsid w:val="001A726B"/>
    <w:rsid w:val="001B550F"/>
    <w:rsid w:val="001B6A22"/>
    <w:rsid w:val="001C4E9A"/>
    <w:rsid w:val="001D0165"/>
    <w:rsid w:val="001D38AE"/>
    <w:rsid w:val="001D7B83"/>
    <w:rsid w:val="001E2E88"/>
    <w:rsid w:val="001E316C"/>
    <w:rsid w:val="001F26F4"/>
    <w:rsid w:val="00203C55"/>
    <w:rsid w:val="00205407"/>
    <w:rsid w:val="002136D4"/>
    <w:rsid w:val="002270A2"/>
    <w:rsid w:val="00233709"/>
    <w:rsid w:val="002358DD"/>
    <w:rsid w:val="0024618D"/>
    <w:rsid w:val="00246D58"/>
    <w:rsid w:val="00266D03"/>
    <w:rsid w:val="00271B10"/>
    <w:rsid w:val="00275F87"/>
    <w:rsid w:val="002802C0"/>
    <w:rsid w:val="00282BF8"/>
    <w:rsid w:val="00285D6C"/>
    <w:rsid w:val="002866E0"/>
    <w:rsid w:val="00286BE0"/>
    <w:rsid w:val="00293757"/>
    <w:rsid w:val="002A6153"/>
    <w:rsid w:val="002B67BD"/>
    <w:rsid w:val="002C13BA"/>
    <w:rsid w:val="002C524B"/>
    <w:rsid w:val="002C63BE"/>
    <w:rsid w:val="002D364B"/>
    <w:rsid w:val="002E0C60"/>
    <w:rsid w:val="002F1B69"/>
    <w:rsid w:val="002F4BDE"/>
    <w:rsid w:val="003150DB"/>
    <w:rsid w:val="00316685"/>
    <w:rsid w:val="0033340D"/>
    <w:rsid w:val="003340EF"/>
    <w:rsid w:val="0034128C"/>
    <w:rsid w:val="0034392C"/>
    <w:rsid w:val="00346FA8"/>
    <w:rsid w:val="00354AD2"/>
    <w:rsid w:val="003566EA"/>
    <w:rsid w:val="003647DC"/>
    <w:rsid w:val="00371103"/>
    <w:rsid w:val="00377123"/>
    <w:rsid w:val="00380906"/>
    <w:rsid w:val="00382810"/>
    <w:rsid w:val="00383CA1"/>
    <w:rsid w:val="003875F6"/>
    <w:rsid w:val="003B0FF0"/>
    <w:rsid w:val="003B2BE7"/>
    <w:rsid w:val="003B3182"/>
    <w:rsid w:val="003B3C16"/>
    <w:rsid w:val="003B6BDA"/>
    <w:rsid w:val="003C5467"/>
    <w:rsid w:val="003D0394"/>
    <w:rsid w:val="003D1B9A"/>
    <w:rsid w:val="003D6BBF"/>
    <w:rsid w:val="003E1517"/>
    <w:rsid w:val="003E5665"/>
    <w:rsid w:val="003F60B4"/>
    <w:rsid w:val="004118C9"/>
    <w:rsid w:val="0041696F"/>
    <w:rsid w:val="00430FF5"/>
    <w:rsid w:val="0043252D"/>
    <w:rsid w:val="00444698"/>
    <w:rsid w:val="004450DB"/>
    <w:rsid w:val="00450DFE"/>
    <w:rsid w:val="00454E88"/>
    <w:rsid w:val="00455DEC"/>
    <w:rsid w:val="004610DC"/>
    <w:rsid w:val="0046360A"/>
    <w:rsid w:val="00463B76"/>
    <w:rsid w:val="004669AF"/>
    <w:rsid w:val="00467D00"/>
    <w:rsid w:val="004852AF"/>
    <w:rsid w:val="00487303"/>
    <w:rsid w:val="0049010E"/>
    <w:rsid w:val="00495B93"/>
    <w:rsid w:val="004A004B"/>
    <w:rsid w:val="004A3B7D"/>
    <w:rsid w:val="004A5964"/>
    <w:rsid w:val="004B071E"/>
    <w:rsid w:val="004B3534"/>
    <w:rsid w:val="004C0245"/>
    <w:rsid w:val="004C0832"/>
    <w:rsid w:val="004D4B01"/>
    <w:rsid w:val="004E1804"/>
    <w:rsid w:val="004E59FE"/>
    <w:rsid w:val="004F2814"/>
    <w:rsid w:val="00510D5D"/>
    <w:rsid w:val="00512670"/>
    <w:rsid w:val="005210B8"/>
    <w:rsid w:val="00526724"/>
    <w:rsid w:val="005379AF"/>
    <w:rsid w:val="00543F6F"/>
    <w:rsid w:val="00545D10"/>
    <w:rsid w:val="00551D95"/>
    <w:rsid w:val="005520CC"/>
    <w:rsid w:val="0056028A"/>
    <w:rsid w:val="0056127F"/>
    <w:rsid w:val="005724CB"/>
    <w:rsid w:val="00576E44"/>
    <w:rsid w:val="0058270E"/>
    <w:rsid w:val="00584568"/>
    <w:rsid w:val="005903C7"/>
    <w:rsid w:val="00590C9F"/>
    <w:rsid w:val="005A2F0D"/>
    <w:rsid w:val="005A6A34"/>
    <w:rsid w:val="005C3E1E"/>
    <w:rsid w:val="005C5871"/>
    <w:rsid w:val="005C769C"/>
    <w:rsid w:val="005D233D"/>
    <w:rsid w:val="005F61B9"/>
    <w:rsid w:val="0060315C"/>
    <w:rsid w:val="00614889"/>
    <w:rsid w:val="00616781"/>
    <w:rsid w:val="0062438F"/>
    <w:rsid w:val="00626E16"/>
    <w:rsid w:val="00630AC0"/>
    <w:rsid w:val="006322F5"/>
    <w:rsid w:val="0063391F"/>
    <w:rsid w:val="006341A9"/>
    <w:rsid w:val="006359A4"/>
    <w:rsid w:val="00637F5A"/>
    <w:rsid w:val="0064067F"/>
    <w:rsid w:val="00641E21"/>
    <w:rsid w:val="00643A96"/>
    <w:rsid w:val="00646C04"/>
    <w:rsid w:val="00657894"/>
    <w:rsid w:val="00672160"/>
    <w:rsid w:val="00672C82"/>
    <w:rsid w:val="00677072"/>
    <w:rsid w:val="006A4DA7"/>
    <w:rsid w:val="006A6157"/>
    <w:rsid w:val="006B49F2"/>
    <w:rsid w:val="006C0D15"/>
    <w:rsid w:val="006C24E3"/>
    <w:rsid w:val="006D64A5"/>
    <w:rsid w:val="006E04AB"/>
    <w:rsid w:val="006E1AED"/>
    <w:rsid w:val="006E2C44"/>
    <w:rsid w:val="006F022C"/>
    <w:rsid w:val="006F0DBA"/>
    <w:rsid w:val="006F2FB9"/>
    <w:rsid w:val="00702FFA"/>
    <w:rsid w:val="007219C3"/>
    <w:rsid w:val="00731560"/>
    <w:rsid w:val="00731756"/>
    <w:rsid w:val="00732BA8"/>
    <w:rsid w:val="00743F5D"/>
    <w:rsid w:val="00743FD9"/>
    <w:rsid w:val="0074609D"/>
    <w:rsid w:val="00755497"/>
    <w:rsid w:val="00755C49"/>
    <w:rsid w:val="007606EE"/>
    <w:rsid w:val="007648DF"/>
    <w:rsid w:val="00792B43"/>
    <w:rsid w:val="00795296"/>
    <w:rsid w:val="007A3285"/>
    <w:rsid w:val="007A7F11"/>
    <w:rsid w:val="007B161F"/>
    <w:rsid w:val="007B5D3F"/>
    <w:rsid w:val="007B7CD8"/>
    <w:rsid w:val="007C6B95"/>
    <w:rsid w:val="007E0003"/>
    <w:rsid w:val="007E3D72"/>
    <w:rsid w:val="007E73B1"/>
    <w:rsid w:val="00800051"/>
    <w:rsid w:val="00802888"/>
    <w:rsid w:val="00804444"/>
    <w:rsid w:val="00812116"/>
    <w:rsid w:val="00840D6B"/>
    <w:rsid w:val="00842DFC"/>
    <w:rsid w:val="008465DC"/>
    <w:rsid w:val="008623BF"/>
    <w:rsid w:val="00871DFA"/>
    <w:rsid w:val="00875121"/>
    <w:rsid w:val="00875968"/>
    <w:rsid w:val="00877707"/>
    <w:rsid w:val="008B7022"/>
    <w:rsid w:val="008D2791"/>
    <w:rsid w:val="008D3685"/>
    <w:rsid w:val="008D64DD"/>
    <w:rsid w:val="008D6D31"/>
    <w:rsid w:val="008E03D3"/>
    <w:rsid w:val="008E4B93"/>
    <w:rsid w:val="008E6443"/>
    <w:rsid w:val="008F5F41"/>
    <w:rsid w:val="008F675C"/>
    <w:rsid w:val="00905C2A"/>
    <w:rsid w:val="00906370"/>
    <w:rsid w:val="00906C98"/>
    <w:rsid w:val="00921229"/>
    <w:rsid w:val="00925075"/>
    <w:rsid w:val="0093413A"/>
    <w:rsid w:val="00935A0B"/>
    <w:rsid w:val="00943BE1"/>
    <w:rsid w:val="00947CC1"/>
    <w:rsid w:val="00955A07"/>
    <w:rsid w:val="009602AD"/>
    <w:rsid w:val="00962B3B"/>
    <w:rsid w:val="009654D7"/>
    <w:rsid w:val="00965D85"/>
    <w:rsid w:val="009712C2"/>
    <w:rsid w:val="00974D0D"/>
    <w:rsid w:val="00975305"/>
    <w:rsid w:val="00976011"/>
    <w:rsid w:val="00984591"/>
    <w:rsid w:val="009A0649"/>
    <w:rsid w:val="009B16BC"/>
    <w:rsid w:val="009B2943"/>
    <w:rsid w:val="009B652C"/>
    <w:rsid w:val="009D30CD"/>
    <w:rsid w:val="009D628A"/>
    <w:rsid w:val="009D67F1"/>
    <w:rsid w:val="009E1BC7"/>
    <w:rsid w:val="009F7A9C"/>
    <w:rsid w:val="00A01771"/>
    <w:rsid w:val="00A03665"/>
    <w:rsid w:val="00A06A2F"/>
    <w:rsid w:val="00A07E22"/>
    <w:rsid w:val="00A07FCB"/>
    <w:rsid w:val="00A12B95"/>
    <w:rsid w:val="00A14467"/>
    <w:rsid w:val="00A148C0"/>
    <w:rsid w:val="00A16D31"/>
    <w:rsid w:val="00A17D51"/>
    <w:rsid w:val="00A24358"/>
    <w:rsid w:val="00A3793C"/>
    <w:rsid w:val="00A44F1A"/>
    <w:rsid w:val="00A55880"/>
    <w:rsid w:val="00A61ACE"/>
    <w:rsid w:val="00A65E75"/>
    <w:rsid w:val="00A666C8"/>
    <w:rsid w:val="00A715CC"/>
    <w:rsid w:val="00A72059"/>
    <w:rsid w:val="00A7288A"/>
    <w:rsid w:val="00A73DDF"/>
    <w:rsid w:val="00A75DCF"/>
    <w:rsid w:val="00A7616B"/>
    <w:rsid w:val="00A80A3A"/>
    <w:rsid w:val="00A85577"/>
    <w:rsid w:val="00A86372"/>
    <w:rsid w:val="00A8680C"/>
    <w:rsid w:val="00A92122"/>
    <w:rsid w:val="00A943C8"/>
    <w:rsid w:val="00AA28F9"/>
    <w:rsid w:val="00AA42B4"/>
    <w:rsid w:val="00AA5CD1"/>
    <w:rsid w:val="00AA7785"/>
    <w:rsid w:val="00AA79C2"/>
    <w:rsid w:val="00AB619D"/>
    <w:rsid w:val="00AD0339"/>
    <w:rsid w:val="00AD5B05"/>
    <w:rsid w:val="00AE389B"/>
    <w:rsid w:val="00AE49DA"/>
    <w:rsid w:val="00B02B86"/>
    <w:rsid w:val="00B068E0"/>
    <w:rsid w:val="00B071D2"/>
    <w:rsid w:val="00B1292F"/>
    <w:rsid w:val="00B156FF"/>
    <w:rsid w:val="00B2003A"/>
    <w:rsid w:val="00B23819"/>
    <w:rsid w:val="00B319FA"/>
    <w:rsid w:val="00B51B42"/>
    <w:rsid w:val="00B543FA"/>
    <w:rsid w:val="00B55D7D"/>
    <w:rsid w:val="00B60C6B"/>
    <w:rsid w:val="00B911E5"/>
    <w:rsid w:val="00B91736"/>
    <w:rsid w:val="00B92148"/>
    <w:rsid w:val="00B92863"/>
    <w:rsid w:val="00BA1A02"/>
    <w:rsid w:val="00BA1C92"/>
    <w:rsid w:val="00BA2350"/>
    <w:rsid w:val="00BA45C3"/>
    <w:rsid w:val="00BB229B"/>
    <w:rsid w:val="00BB76BF"/>
    <w:rsid w:val="00BC3361"/>
    <w:rsid w:val="00BC7629"/>
    <w:rsid w:val="00BD4455"/>
    <w:rsid w:val="00BD7F16"/>
    <w:rsid w:val="00BE292D"/>
    <w:rsid w:val="00BE6D84"/>
    <w:rsid w:val="00BE6E2F"/>
    <w:rsid w:val="00BF3476"/>
    <w:rsid w:val="00BF3F97"/>
    <w:rsid w:val="00BF5B56"/>
    <w:rsid w:val="00BF63F9"/>
    <w:rsid w:val="00C0129F"/>
    <w:rsid w:val="00C028D0"/>
    <w:rsid w:val="00C031C6"/>
    <w:rsid w:val="00C12C1D"/>
    <w:rsid w:val="00C141C3"/>
    <w:rsid w:val="00C1734C"/>
    <w:rsid w:val="00C30411"/>
    <w:rsid w:val="00C40095"/>
    <w:rsid w:val="00C4234E"/>
    <w:rsid w:val="00C434B3"/>
    <w:rsid w:val="00C5707A"/>
    <w:rsid w:val="00C57B75"/>
    <w:rsid w:val="00C75251"/>
    <w:rsid w:val="00C85A64"/>
    <w:rsid w:val="00C94FA8"/>
    <w:rsid w:val="00C96403"/>
    <w:rsid w:val="00CA0844"/>
    <w:rsid w:val="00CA1565"/>
    <w:rsid w:val="00CA4B0F"/>
    <w:rsid w:val="00CA5AFF"/>
    <w:rsid w:val="00CA5F12"/>
    <w:rsid w:val="00CB22A7"/>
    <w:rsid w:val="00CB6B55"/>
    <w:rsid w:val="00CC4E19"/>
    <w:rsid w:val="00CE113D"/>
    <w:rsid w:val="00CE29DC"/>
    <w:rsid w:val="00CE60A3"/>
    <w:rsid w:val="00CF7ECA"/>
    <w:rsid w:val="00D012EB"/>
    <w:rsid w:val="00D025A7"/>
    <w:rsid w:val="00D0420B"/>
    <w:rsid w:val="00D0502B"/>
    <w:rsid w:val="00D0576D"/>
    <w:rsid w:val="00D058BA"/>
    <w:rsid w:val="00D14A3F"/>
    <w:rsid w:val="00D15400"/>
    <w:rsid w:val="00D17624"/>
    <w:rsid w:val="00D17D1F"/>
    <w:rsid w:val="00D242DB"/>
    <w:rsid w:val="00D27508"/>
    <w:rsid w:val="00D30F42"/>
    <w:rsid w:val="00D33EA7"/>
    <w:rsid w:val="00D34093"/>
    <w:rsid w:val="00D35713"/>
    <w:rsid w:val="00D36F50"/>
    <w:rsid w:val="00D37E3B"/>
    <w:rsid w:val="00D4027D"/>
    <w:rsid w:val="00D45F5F"/>
    <w:rsid w:val="00D460B5"/>
    <w:rsid w:val="00D470CF"/>
    <w:rsid w:val="00D60235"/>
    <w:rsid w:val="00D6180B"/>
    <w:rsid w:val="00D66165"/>
    <w:rsid w:val="00D67DE7"/>
    <w:rsid w:val="00D73583"/>
    <w:rsid w:val="00D76572"/>
    <w:rsid w:val="00D9116D"/>
    <w:rsid w:val="00D91775"/>
    <w:rsid w:val="00DB0549"/>
    <w:rsid w:val="00DB3BA3"/>
    <w:rsid w:val="00DB778C"/>
    <w:rsid w:val="00DC2A04"/>
    <w:rsid w:val="00DD1602"/>
    <w:rsid w:val="00DD2E9C"/>
    <w:rsid w:val="00DD4166"/>
    <w:rsid w:val="00DE4AC2"/>
    <w:rsid w:val="00DE4F2B"/>
    <w:rsid w:val="00DE54E1"/>
    <w:rsid w:val="00DF6001"/>
    <w:rsid w:val="00E05A56"/>
    <w:rsid w:val="00E1629E"/>
    <w:rsid w:val="00E177F9"/>
    <w:rsid w:val="00E20ADF"/>
    <w:rsid w:val="00E22DE4"/>
    <w:rsid w:val="00E33C98"/>
    <w:rsid w:val="00E351FC"/>
    <w:rsid w:val="00E35695"/>
    <w:rsid w:val="00E42E55"/>
    <w:rsid w:val="00E445B2"/>
    <w:rsid w:val="00E44649"/>
    <w:rsid w:val="00E55F6B"/>
    <w:rsid w:val="00E57171"/>
    <w:rsid w:val="00E628BC"/>
    <w:rsid w:val="00E64ED2"/>
    <w:rsid w:val="00E72825"/>
    <w:rsid w:val="00E728E9"/>
    <w:rsid w:val="00E7359E"/>
    <w:rsid w:val="00E85F47"/>
    <w:rsid w:val="00E86D0A"/>
    <w:rsid w:val="00E92BE5"/>
    <w:rsid w:val="00EA2C38"/>
    <w:rsid w:val="00EA7457"/>
    <w:rsid w:val="00EB47B0"/>
    <w:rsid w:val="00EB60CC"/>
    <w:rsid w:val="00EC4037"/>
    <w:rsid w:val="00EC624B"/>
    <w:rsid w:val="00ED01F9"/>
    <w:rsid w:val="00ED3BAD"/>
    <w:rsid w:val="00ED4D3C"/>
    <w:rsid w:val="00ED5085"/>
    <w:rsid w:val="00ED68AB"/>
    <w:rsid w:val="00ED7B03"/>
    <w:rsid w:val="00EE1C36"/>
    <w:rsid w:val="00EF7D6A"/>
    <w:rsid w:val="00F15F3F"/>
    <w:rsid w:val="00F20259"/>
    <w:rsid w:val="00F212B6"/>
    <w:rsid w:val="00F26ED8"/>
    <w:rsid w:val="00F30D88"/>
    <w:rsid w:val="00F326B0"/>
    <w:rsid w:val="00F32E2D"/>
    <w:rsid w:val="00F32F18"/>
    <w:rsid w:val="00F5635C"/>
    <w:rsid w:val="00F616C1"/>
    <w:rsid w:val="00F651AC"/>
    <w:rsid w:val="00F73757"/>
    <w:rsid w:val="00F90CFD"/>
    <w:rsid w:val="00F945E8"/>
    <w:rsid w:val="00FA4312"/>
    <w:rsid w:val="00FA52A3"/>
    <w:rsid w:val="00FA54E0"/>
    <w:rsid w:val="00FA6036"/>
    <w:rsid w:val="00FB0AD0"/>
    <w:rsid w:val="00FC1F91"/>
    <w:rsid w:val="00FC2151"/>
    <w:rsid w:val="00FC7D0A"/>
    <w:rsid w:val="00FD3788"/>
    <w:rsid w:val="00FE5611"/>
    <w:rsid w:val="00FE6A5B"/>
    <w:rsid w:val="00FF3FE9"/>
    <w:rsid w:val="00FF6C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3A222361"/>
  <w15:chartTrackingRefBased/>
  <w15:docId w15:val="{1F3EC64D-380D-4DE3-8C27-E7E71DEE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D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186424"/>
    <w:pPr>
      <w:widowControl w:val="0"/>
      <w:ind w:firstLine="426"/>
      <w:jc w:val="both"/>
    </w:pPr>
    <w:rPr>
      <w:szCs w:val="20"/>
      <w:lang w:eastAsia="en-US"/>
    </w:rPr>
  </w:style>
  <w:style w:type="character" w:customStyle="1" w:styleId="BodyTextIndent3Char">
    <w:name w:val="Body Text Indent 3 Char"/>
    <w:basedOn w:val="DefaultParagraphFont"/>
    <w:link w:val="BodyTextIndent3"/>
    <w:rsid w:val="00186424"/>
    <w:rPr>
      <w:rFonts w:ascii="Times New Roman" w:eastAsia="Times New Roman" w:hAnsi="Times New Roman" w:cs="Times New Roman"/>
      <w:sz w:val="24"/>
      <w:szCs w:val="20"/>
    </w:rPr>
  </w:style>
  <w:style w:type="table" w:styleId="TableGrid">
    <w:name w:val="Table Grid"/>
    <w:basedOn w:val="TableNormal"/>
    <w:uiPriority w:val="39"/>
    <w:rsid w:val="0018642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86424"/>
    <w:pPr>
      <w:spacing w:after="0"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86424"/>
    <w:pPr>
      <w:tabs>
        <w:tab w:val="center" w:pos="4513"/>
        <w:tab w:val="right" w:pos="9026"/>
      </w:tabs>
    </w:pPr>
  </w:style>
  <w:style w:type="character" w:customStyle="1" w:styleId="HeaderChar">
    <w:name w:val="Header Char"/>
    <w:basedOn w:val="DefaultParagraphFont"/>
    <w:link w:val="Header"/>
    <w:uiPriority w:val="99"/>
    <w:rsid w:val="00186424"/>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86424"/>
    <w:pPr>
      <w:tabs>
        <w:tab w:val="center" w:pos="4513"/>
        <w:tab w:val="right" w:pos="9026"/>
      </w:tabs>
    </w:pPr>
  </w:style>
  <w:style w:type="character" w:customStyle="1" w:styleId="FooterChar">
    <w:name w:val="Footer Char"/>
    <w:basedOn w:val="DefaultParagraphFont"/>
    <w:link w:val="Footer"/>
    <w:uiPriority w:val="99"/>
    <w:rsid w:val="00186424"/>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F30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H&amp;P List Paragraph,Syle 1,Normal bullet 2,Bullet list,Saistīto dokumentu saraksts,List Paragraph1,Numurets,Colorful List - Accent 12,PPS_Bullet,Virsraksti,Saraksta rindkopa,Colorful List - Accent 11,Paragrafo elenco,Bullet 1"/>
    <w:basedOn w:val="Normal"/>
    <w:link w:val="ListParagraphChar"/>
    <w:uiPriority w:val="34"/>
    <w:qFormat/>
    <w:rsid w:val="00D4027D"/>
    <w:pPr>
      <w:spacing w:after="160" w:line="259" w:lineRule="auto"/>
      <w:ind w:left="720"/>
      <w:contextualSpacing/>
    </w:pPr>
    <w:rPr>
      <w:rFonts w:eastAsiaTheme="minorHAnsi" w:cs="Verdana"/>
      <w:sz w:val="22"/>
      <w:szCs w:val="18"/>
      <w:lang w:eastAsia="en-US"/>
    </w:rPr>
  </w:style>
  <w:style w:type="character" w:customStyle="1" w:styleId="ListParagraphChar">
    <w:name w:val="List Paragraph Char"/>
    <w:aliases w:val="2 Char,Strip Char,H&amp;P List Paragraph Char,Syle 1 Char,Normal bullet 2 Char,Bullet list Char,Saistīto dokumentu saraksts Char,List Paragraph1 Char,Numurets Char,Colorful List - Accent 12 Char,PPS_Bullet Char,Virsraksti Char"/>
    <w:link w:val="ListParagraph"/>
    <w:uiPriority w:val="34"/>
    <w:qFormat/>
    <w:locked/>
    <w:rsid w:val="00D4027D"/>
    <w:rPr>
      <w:rFonts w:ascii="Times New Roman" w:hAnsi="Times New Roman" w:cs="Verdana"/>
      <w:szCs w:val="18"/>
    </w:rPr>
  </w:style>
  <w:style w:type="character" w:styleId="CommentReference">
    <w:name w:val="annotation reference"/>
    <w:basedOn w:val="DefaultParagraphFont"/>
    <w:uiPriority w:val="99"/>
    <w:unhideWhenUsed/>
    <w:rsid w:val="00A3793C"/>
    <w:rPr>
      <w:sz w:val="16"/>
      <w:szCs w:val="16"/>
    </w:rPr>
  </w:style>
  <w:style w:type="paragraph" w:styleId="CommentText">
    <w:name w:val="annotation text"/>
    <w:basedOn w:val="Normal"/>
    <w:link w:val="CommentTextChar"/>
    <w:uiPriority w:val="99"/>
    <w:unhideWhenUsed/>
    <w:rsid w:val="00A3793C"/>
    <w:rPr>
      <w:sz w:val="20"/>
      <w:szCs w:val="20"/>
    </w:rPr>
  </w:style>
  <w:style w:type="character" w:customStyle="1" w:styleId="CommentTextChar">
    <w:name w:val="Comment Text Char"/>
    <w:basedOn w:val="DefaultParagraphFont"/>
    <w:link w:val="CommentText"/>
    <w:uiPriority w:val="99"/>
    <w:rsid w:val="00A3793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3793C"/>
    <w:rPr>
      <w:b/>
      <w:bCs/>
    </w:rPr>
  </w:style>
  <w:style w:type="character" w:customStyle="1" w:styleId="CommentSubjectChar">
    <w:name w:val="Comment Subject Char"/>
    <w:basedOn w:val="CommentTextChar"/>
    <w:link w:val="CommentSubject"/>
    <w:uiPriority w:val="99"/>
    <w:semiHidden/>
    <w:rsid w:val="00A3793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A379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93C"/>
    <w:rPr>
      <w:rFonts w:ascii="Segoe UI" w:eastAsia="Times New Roman" w:hAnsi="Segoe UI" w:cs="Segoe UI"/>
      <w:sz w:val="18"/>
      <w:szCs w:val="18"/>
      <w:lang w:eastAsia="lv-LV"/>
    </w:rPr>
  </w:style>
  <w:style w:type="character" w:styleId="Hyperlink">
    <w:name w:val="Hyperlink"/>
    <w:basedOn w:val="DefaultParagraphFont"/>
    <w:unhideWhenUsed/>
    <w:rsid w:val="00A7616B"/>
    <w:rPr>
      <w:color w:val="0563C1" w:themeColor="hyperlink"/>
      <w:u w:val="single"/>
    </w:rPr>
  </w:style>
  <w:style w:type="paragraph" w:customStyle="1" w:styleId="Default">
    <w:name w:val="Default"/>
    <w:rsid w:val="0034392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62458"/>
    <w:rPr>
      <w:color w:val="605E5C"/>
      <w:shd w:val="clear" w:color="auto" w:fill="E1DFDD"/>
    </w:rPr>
  </w:style>
  <w:style w:type="character" w:customStyle="1" w:styleId="NoSpacingChar">
    <w:name w:val="No Spacing Char"/>
    <w:link w:val="NoSpacing"/>
    <w:uiPriority w:val="1"/>
    <w:locked/>
    <w:rsid w:val="00C5707A"/>
    <w:rPr>
      <w:rFonts w:ascii="Times New Roman" w:eastAsia="Times New Roman" w:hAnsi="Times New Roman" w:cs="Times New Roman"/>
      <w:sz w:val="24"/>
      <w:szCs w:val="24"/>
      <w:lang w:eastAsia="lv-LV"/>
    </w:rPr>
  </w:style>
  <w:style w:type="paragraph" w:styleId="Title">
    <w:name w:val="Title"/>
    <w:basedOn w:val="Normal"/>
    <w:link w:val="TitleChar"/>
    <w:qFormat/>
    <w:rsid w:val="002F4BDE"/>
    <w:pPr>
      <w:jc w:val="center"/>
      <w:outlineLvl w:val="0"/>
    </w:pPr>
    <w:rPr>
      <w:rFonts w:ascii="RimTimes" w:hAnsi="RimTimes"/>
      <w:sz w:val="28"/>
      <w:szCs w:val="20"/>
    </w:rPr>
  </w:style>
  <w:style w:type="character" w:customStyle="1" w:styleId="TitleChar">
    <w:name w:val="Title Char"/>
    <w:basedOn w:val="DefaultParagraphFont"/>
    <w:link w:val="Title"/>
    <w:rsid w:val="002F4BDE"/>
    <w:rPr>
      <w:rFonts w:ascii="RimTimes" w:eastAsia="Times New Roman" w:hAnsi="RimTimes" w:cs="Times New Roman"/>
      <w:sz w:val="28"/>
      <w:szCs w:val="20"/>
      <w:lang w:eastAsia="lv-LV"/>
    </w:rPr>
  </w:style>
  <w:style w:type="table" w:customStyle="1" w:styleId="TableGrid11">
    <w:name w:val="Table Grid11"/>
    <w:basedOn w:val="TableNormal"/>
    <w:next w:val="TableGrid"/>
    <w:uiPriority w:val="59"/>
    <w:rsid w:val="0044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762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19087">
      <w:bodyDiv w:val="1"/>
      <w:marLeft w:val="0"/>
      <w:marRight w:val="0"/>
      <w:marTop w:val="0"/>
      <w:marBottom w:val="0"/>
      <w:divBdr>
        <w:top w:val="none" w:sz="0" w:space="0" w:color="auto"/>
        <w:left w:val="none" w:sz="0" w:space="0" w:color="auto"/>
        <w:bottom w:val="none" w:sz="0" w:space="0" w:color="auto"/>
        <w:right w:val="none" w:sz="0" w:space="0" w:color="auto"/>
      </w:divBdr>
    </w:div>
    <w:div w:id="18725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0B69-13D1-4369-900D-81F44FF2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4303</Words>
  <Characters>2453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Smilgdrīva</dc:creator>
  <cp:keywords/>
  <dc:description/>
  <cp:lastModifiedBy>Linda Stafecka</cp:lastModifiedBy>
  <cp:revision>61</cp:revision>
  <cp:lastPrinted>2023-11-08T11:52:00Z</cp:lastPrinted>
  <dcterms:created xsi:type="dcterms:W3CDTF">2025-06-12T18:35:00Z</dcterms:created>
  <dcterms:modified xsi:type="dcterms:W3CDTF">2026-04-16T10:42:00Z</dcterms:modified>
</cp:coreProperties>
</file>