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A82A" w14:textId="77777777" w:rsidR="00D4027D" w:rsidRPr="000A090C" w:rsidRDefault="00D4027D" w:rsidP="00D4027D">
      <w:pPr>
        <w:jc w:val="center"/>
        <w:rPr>
          <w:rFonts w:eastAsiaTheme="minorHAnsi"/>
          <w:b/>
          <w:lang w:eastAsia="en-US"/>
        </w:rPr>
      </w:pPr>
      <w:bookmarkStart w:id="0" w:name="_Hlk124406586"/>
      <w:r w:rsidRPr="000A090C">
        <w:rPr>
          <w:rFonts w:eastAsiaTheme="minorHAnsi"/>
          <w:b/>
          <w:lang w:eastAsia="en-US"/>
        </w:rPr>
        <w:t>Valsts aizsardzības loģistikas un iepirkumu centrs</w:t>
      </w:r>
    </w:p>
    <w:p w14:paraId="52E20C34" w14:textId="77777777" w:rsidR="00D4027D" w:rsidRPr="000A090C" w:rsidRDefault="00D4027D" w:rsidP="00D4027D">
      <w:pPr>
        <w:jc w:val="center"/>
        <w:rPr>
          <w:rFonts w:eastAsiaTheme="minorHAnsi"/>
          <w:lang w:eastAsia="en-US"/>
        </w:rPr>
      </w:pPr>
      <w:r w:rsidRPr="000A090C">
        <w:rPr>
          <w:rFonts w:eastAsiaTheme="minorHAnsi"/>
          <w:lang w:eastAsia="en-US"/>
        </w:rPr>
        <w:t>(</w:t>
      </w:r>
      <w:proofErr w:type="spellStart"/>
      <w:r w:rsidRPr="000A090C">
        <w:rPr>
          <w:rFonts w:eastAsiaTheme="minorHAnsi"/>
          <w:lang w:eastAsia="en-US"/>
        </w:rPr>
        <w:t>reģ</w:t>
      </w:r>
      <w:proofErr w:type="spellEnd"/>
      <w:r w:rsidRPr="000A090C">
        <w:rPr>
          <w:rFonts w:eastAsiaTheme="minorHAnsi"/>
          <w:lang w:eastAsia="en-US"/>
        </w:rPr>
        <w:t>. Nr. 40900035122)</w:t>
      </w:r>
    </w:p>
    <w:p w14:paraId="44FB0287" w14:textId="77777777" w:rsidR="00D4027D" w:rsidRPr="000A090C" w:rsidRDefault="00D4027D" w:rsidP="00D4027D">
      <w:pPr>
        <w:jc w:val="center"/>
        <w:rPr>
          <w:rFonts w:eastAsiaTheme="minorHAnsi"/>
          <w:b/>
          <w:bCs/>
          <w:lang w:eastAsia="en-US"/>
        </w:rPr>
      </w:pPr>
      <w:r w:rsidRPr="000A090C">
        <w:rPr>
          <w:rFonts w:eastAsiaTheme="minorHAnsi"/>
          <w:b/>
          <w:bCs/>
          <w:lang w:eastAsia="en-US"/>
        </w:rPr>
        <w:t>APSPRIEDES ZIŅOJUMS</w:t>
      </w:r>
    </w:p>
    <w:p w14:paraId="6C9CD480" w14:textId="77777777" w:rsidR="00D4027D" w:rsidRPr="000A090C" w:rsidRDefault="00D4027D" w:rsidP="00D4027D">
      <w:pPr>
        <w:jc w:val="center"/>
        <w:rPr>
          <w:rFonts w:eastAsiaTheme="minorHAnsi"/>
          <w:bCs/>
          <w:lang w:eastAsia="en-US"/>
        </w:rPr>
      </w:pPr>
      <w:r w:rsidRPr="000A090C">
        <w:rPr>
          <w:rFonts w:eastAsiaTheme="minorHAnsi"/>
          <w:bCs/>
          <w:lang w:eastAsia="en-US"/>
        </w:rPr>
        <w:t>atklātā konkursā</w:t>
      </w:r>
    </w:p>
    <w:p w14:paraId="5907EAFC" w14:textId="159A2799" w:rsidR="00DF5345" w:rsidRPr="000A090C" w:rsidRDefault="00116B5A" w:rsidP="00DF5345">
      <w:pPr>
        <w:spacing w:line="276" w:lineRule="auto"/>
        <w:jc w:val="center"/>
        <w:rPr>
          <w:b/>
          <w:bCs/>
        </w:rPr>
      </w:pPr>
      <w:r w:rsidRPr="000A090C">
        <w:rPr>
          <w:b/>
          <w:bCs/>
        </w:rPr>
        <w:t>“</w:t>
      </w:r>
      <w:r w:rsidR="006D134D">
        <w:rPr>
          <w:b/>
          <w:bCs/>
        </w:rPr>
        <w:t>Transportlīdzekļu akumulatoru bateriju iegāde</w:t>
      </w:r>
      <w:r w:rsidR="00DF5345" w:rsidRPr="000A090C">
        <w:rPr>
          <w:b/>
          <w:bCs/>
        </w:rPr>
        <w:t>”</w:t>
      </w:r>
    </w:p>
    <w:p w14:paraId="1FCEA130" w14:textId="7050C421" w:rsidR="00DF5345" w:rsidRPr="000A090C" w:rsidRDefault="00DF5345" w:rsidP="00DF5345">
      <w:pPr>
        <w:spacing w:line="276" w:lineRule="auto"/>
        <w:jc w:val="center"/>
        <w:rPr>
          <w:b/>
          <w:bCs/>
        </w:rPr>
      </w:pPr>
      <w:r w:rsidRPr="000A090C">
        <w:rPr>
          <w:b/>
          <w:bCs/>
        </w:rPr>
        <w:t>identifikācijas Nr. VALIC 202</w:t>
      </w:r>
      <w:r w:rsidR="00066758">
        <w:rPr>
          <w:b/>
          <w:bCs/>
        </w:rPr>
        <w:t>5</w:t>
      </w:r>
      <w:r w:rsidRPr="000A090C">
        <w:rPr>
          <w:b/>
          <w:bCs/>
        </w:rPr>
        <w:t>/0</w:t>
      </w:r>
      <w:r w:rsidR="006D134D">
        <w:rPr>
          <w:b/>
          <w:bCs/>
        </w:rPr>
        <w:t>82</w:t>
      </w:r>
      <w:r w:rsidRPr="000A090C">
        <w:rPr>
          <w:b/>
          <w:bCs/>
        </w:rPr>
        <w:t>/TN-P-AK</w:t>
      </w:r>
    </w:p>
    <w:p w14:paraId="3C51197E" w14:textId="550A6788" w:rsidR="00677072" w:rsidRPr="000A090C" w:rsidRDefault="00677072" w:rsidP="00DF5345">
      <w:pPr>
        <w:jc w:val="center"/>
        <w:rPr>
          <w:rFonts w:eastAsiaTheme="minorHAnsi"/>
          <w:lang w:eastAsia="en-US"/>
        </w:rPr>
      </w:pPr>
    </w:p>
    <w:p w14:paraId="0C5596CF" w14:textId="7A867C5E" w:rsidR="00677072" w:rsidRPr="000A090C" w:rsidRDefault="00D4027D" w:rsidP="00DE54E1">
      <w:pPr>
        <w:tabs>
          <w:tab w:val="left" w:pos="11057"/>
        </w:tabs>
        <w:jc w:val="right"/>
        <w:rPr>
          <w:rFonts w:eastAsiaTheme="minorHAnsi"/>
          <w:lang w:eastAsia="en-US"/>
        </w:rPr>
      </w:pPr>
      <w:r w:rsidRPr="000A090C">
        <w:rPr>
          <w:rFonts w:eastAsiaTheme="minorHAnsi"/>
          <w:lang w:eastAsia="en-US"/>
        </w:rPr>
        <w:t>Rīgā, 202</w:t>
      </w:r>
      <w:r w:rsidR="00DF5345" w:rsidRPr="000A090C">
        <w:rPr>
          <w:rFonts w:eastAsiaTheme="minorHAnsi"/>
          <w:lang w:eastAsia="en-US"/>
        </w:rPr>
        <w:t>5</w:t>
      </w:r>
      <w:r w:rsidRPr="000A090C">
        <w:rPr>
          <w:rFonts w:eastAsiaTheme="minorHAnsi"/>
          <w:lang w:eastAsia="en-US"/>
        </w:rPr>
        <w:t>. </w:t>
      </w:r>
      <w:r w:rsidRPr="00BF65E7">
        <w:rPr>
          <w:rFonts w:eastAsiaTheme="minorHAnsi"/>
          <w:lang w:eastAsia="en-US"/>
        </w:rPr>
        <w:t xml:space="preserve">gada </w:t>
      </w:r>
      <w:r w:rsidR="00544A6A">
        <w:rPr>
          <w:rFonts w:eastAsiaTheme="minorHAnsi"/>
          <w:lang w:eastAsia="en-US"/>
        </w:rPr>
        <w:t>22</w:t>
      </w:r>
      <w:r w:rsidR="0056127F" w:rsidRPr="00BF65E7">
        <w:rPr>
          <w:rFonts w:eastAsiaTheme="minorHAnsi"/>
          <w:lang w:eastAsia="en-US"/>
        </w:rPr>
        <w:t>. </w:t>
      </w:r>
      <w:r w:rsidR="006D134D">
        <w:rPr>
          <w:rFonts w:eastAsiaTheme="minorHAnsi"/>
          <w:lang w:eastAsia="en-US"/>
        </w:rPr>
        <w:t>august</w:t>
      </w:r>
      <w:r w:rsidR="00066758" w:rsidRPr="00BF65E7">
        <w:rPr>
          <w:rFonts w:eastAsiaTheme="minorHAnsi"/>
          <w:lang w:eastAsia="en-US"/>
        </w:rPr>
        <w:t>ā</w:t>
      </w:r>
    </w:p>
    <w:p w14:paraId="731D9DB3" w14:textId="77777777" w:rsidR="00DE54E1" w:rsidRPr="000A090C" w:rsidRDefault="00DE54E1" w:rsidP="00DE54E1">
      <w:pPr>
        <w:tabs>
          <w:tab w:val="left" w:pos="11057"/>
        </w:tabs>
        <w:jc w:val="right"/>
        <w:rPr>
          <w:rFonts w:eastAsiaTheme="minorHAnsi"/>
          <w:lang w:eastAsia="en-US"/>
        </w:rPr>
      </w:pPr>
    </w:p>
    <w:p w14:paraId="4B535E6B" w14:textId="77777777" w:rsidR="00D4027D" w:rsidRPr="000A090C" w:rsidRDefault="00D4027D" w:rsidP="00DE54E1">
      <w:pPr>
        <w:pStyle w:val="ListParagraph"/>
        <w:numPr>
          <w:ilvl w:val="0"/>
          <w:numId w:val="2"/>
        </w:numPr>
        <w:spacing w:after="0" w:line="240" w:lineRule="auto"/>
        <w:ind w:left="357" w:hanging="357"/>
        <w:contextualSpacing w:val="0"/>
        <w:jc w:val="both"/>
        <w:rPr>
          <w:rFonts w:cs="Times New Roman"/>
          <w:sz w:val="24"/>
          <w:szCs w:val="24"/>
        </w:rPr>
      </w:pPr>
      <w:r w:rsidRPr="000A090C">
        <w:rPr>
          <w:rFonts w:cs="Times New Roman"/>
          <w:b/>
          <w:sz w:val="24"/>
          <w:szCs w:val="24"/>
        </w:rPr>
        <w:t>Apspriedes rīkotājs:</w:t>
      </w:r>
      <w:r w:rsidRPr="000A090C">
        <w:rPr>
          <w:rFonts w:cs="Times New Roman"/>
          <w:sz w:val="24"/>
          <w:szCs w:val="24"/>
        </w:rPr>
        <w:t xml:space="preserve"> Valsts aizsardzības loģistikas un iepirkumu centrs, </w:t>
      </w:r>
      <w:proofErr w:type="spellStart"/>
      <w:r w:rsidRPr="000A090C">
        <w:rPr>
          <w:rFonts w:cs="Times New Roman"/>
          <w:sz w:val="24"/>
          <w:szCs w:val="24"/>
        </w:rPr>
        <w:t>Biksēres</w:t>
      </w:r>
      <w:proofErr w:type="spellEnd"/>
      <w:r w:rsidRPr="000A090C">
        <w:rPr>
          <w:rFonts w:cs="Times New Roman"/>
          <w:sz w:val="24"/>
          <w:szCs w:val="24"/>
        </w:rPr>
        <w:t xml:space="preserve"> iela 6, Rīga.</w:t>
      </w:r>
    </w:p>
    <w:p w14:paraId="5859FF45" w14:textId="7B273E75" w:rsidR="00D4027D" w:rsidRPr="000A090C" w:rsidRDefault="00D4027D" w:rsidP="00DE54E1">
      <w:pPr>
        <w:pStyle w:val="ListParagraph"/>
        <w:numPr>
          <w:ilvl w:val="0"/>
          <w:numId w:val="2"/>
        </w:numPr>
        <w:spacing w:after="0" w:line="240" w:lineRule="auto"/>
        <w:ind w:left="357" w:hanging="357"/>
        <w:contextualSpacing w:val="0"/>
        <w:jc w:val="both"/>
        <w:rPr>
          <w:rFonts w:cs="Times New Roman"/>
          <w:sz w:val="24"/>
          <w:szCs w:val="24"/>
        </w:rPr>
      </w:pPr>
      <w:r w:rsidRPr="000A090C">
        <w:rPr>
          <w:rFonts w:cs="Times New Roman"/>
          <w:b/>
          <w:bCs/>
          <w:sz w:val="24"/>
          <w:szCs w:val="24"/>
        </w:rPr>
        <w:t>Apspriedes termiņš:</w:t>
      </w:r>
      <w:r w:rsidRPr="000A090C">
        <w:rPr>
          <w:rFonts w:cs="Times New Roman"/>
          <w:sz w:val="24"/>
          <w:szCs w:val="24"/>
        </w:rPr>
        <w:t xml:space="preserve"> no 202</w:t>
      </w:r>
      <w:r w:rsidR="00DF5345" w:rsidRPr="000A090C">
        <w:rPr>
          <w:rFonts w:cs="Times New Roman"/>
          <w:sz w:val="24"/>
          <w:szCs w:val="24"/>
        </w:rPr>
        <w:t>5</w:t>
      </w:r>
      <w:r w:rsidRPr="000A090C">
        <w:rPr>
          <w:rFonts w:cs="Times New Roman"/>
          <w:sz w:val="24"/>
          <w:szCs w:val="24"/>
        </w:rPr>
        <w:t xml:space="preserve">. gada </w:t>
      </w:r>
      <w:r w:rsidR="00F7693C">
        <w:rPr>
          <w:rFonts w:cs="Times New Roman"/>
          <w:sz w:val="24"/>
          <w:szCs w:val="24"/>
        </w:rPr>
        <w:t>4</w:t>
      </w:r>
      <w:r w:rsidR="0056127F" w:rsidRPr="000A090C">
        <w:rPr>
          <w:rFonts w:cs="Times New Roman"/>
          <w:sz w:val="24"/>
          <w:szCs w:val="24"/>
        </w:rPr>
        <w:t>. </w:t>
      </w:r>
      <w:r w:rsidR="006D134D">
        <w:rPr>
          <w:rFonts w:cs="Times New Roman"/>
          <w:sz w:val="24"/>
          <w:szCs w:val="24"/>
        </w:rPr>
        <w:t>augusta</w:t>
      </w:r>
      <w:r w:rsidRPr="000A090C">
        <w:rPr>
          <w:rFonts w:cs="Times New Roman"/>
          <w:sz w:val="24"/>
          <w:szCs w:val="24"/>
        </w:rPr>
        <w:t xml:space="preserve"> līdz 202</w:t>
      </w:r>
      <w:r w:rsidR="00DF5345" w:rsidRPr="000A090C">
        <w:rPr>
          <w:rFonts w:cs="Times New Roman"/>
          <w:sz w:val="24"/>
          <w:szCs w:val="24"/>
        </w:rPr>
        <w:t>5</w:t>
      </w:r>
      <w:r w:rsidRPr="000A090C">
        <w:rPr>
          <w:rFonts w:cs="Times New Roman"/>
          <w:sz w:val="24"/>
          <w:szCs w:val="24"/>
        </w:rPr>
        <w:t xml:space="preserve">. gada </w:t>
      </w:r>
      <w:r w:rsidR="006D134D">
        <w:rPr>
          <w:rFonts w:cs="Times New Roman"/>
          <w:sz w:val="24"/>
          <w:szCs w:val="24"/>
        </w:rPr>
        <w:t>18</w:t>
      </w:r>
      <w:r w:rsidR="00755497" w:rsidRPr="000A090C">
        <w:rPr>
          <w:rFonts w:cs="Times New Roman"/>
          <w:sz w:val="24"/>
          <w:szCs w:val="24"/>
        </w:rPr>
        <w:t>. </w:t>
      </w:r>
      <w:r w:rsidR="006D134D">
        <w:rPr>
          <w:rFonts w:cs="Times New Roman"/>
          <w:sz w:val="24"/>
          <w:szCs w:val="24"/>
        </w:rPr>
        <w:t>augustam</w:t>
      </w:r>
      <w:r w:rsidR="00062458" w:rsidRPr="000A090C">
        <w:rPr>
          <w:rFonts w:cs="Times New Roman"/>
          <w:sz w:val="24"/>
          <w:szCs w:val="24"/>
        </w:rPr>
        <w:t>.</w:t>
      </w:r>
    </w:p>
    <w:p w14:paraId="54CFAF16" w14:textId="428298B4" w:rsidR="007B5D3F" w:rsidRPr="000A090C" w:rsidRDefault="00B1292F" w:rsidP="00DE54E1">
      <w:pPr>
        <w:pStyle w:val="ListParagraph"/>
        <w:numPr>
          <w:ilvl w:val="0"/>
          <w:numId w:val="2"/>
        </w:numPr>
        <w:spacing w:after="0" w:line="240" w:lineRule="auto"/>
        <w:ind w:left="357" w:hanging="357"/>
        <w:contextualSpacing w:val="0"/>
        <w:jc w:val="both"/>
        <w:rPr>
          <w:rFonts w:cs="Times New Roman"/>
          <w:sz w:val="24"/>
          <w:szCs w:val="24"/>
        </w:rPr>
      </w:pPr>
      <w:r w:rsidRPr="000A090C">
        <w:rPr>
          <w:rFonts w:cs="Times New Roman"/>
          <w:b/>
          <w:bCs/>
          <w:sz w:val="24"/>
          <w:szCs w:val="24"/>
        </w:rPr>
        <w:t xml:space="preserve">Apspriedes priekšmets: </w:t>
      </w:r>
      <w:r w:rsidR="006D134D">
        <w:rPr>
          <w:sz w:val="24"/>
          <w:szCs w:val="24"/>
        </w:rPr>
        <w:t>transportlīdzekļu</w:t>
      </w:r>
      <w:r w:rsidR="00066758">
        <w:rPr>
          <w:sz w:val="24"/>
          <w:szCs w:val="24"/>
        </w:rPr>
        <w:t xml:space="preserve"> </w:t>
      </w:r>
      <w:r w:rsidR="006D134D">
        <w:rPr>
          <w:sz w:val="24"/>
          <w:szCs w:val="24"/>
        </w:rPr>
        <w:t xml:space="preserve">akumulatoru bateriju </w:t>
      </w:r>
      <w:r w:rsidR="00066758">
        <w:rPr>
          <w:sz w:val="24"/>
          <w:szCs w:val="24"/>
        </w:rPr>
        <w:t>iegāde.</w:t>
      </w:r>
    </w:p>
    <w:p w14:paraId="47DFF22B" w14:textId="2FF2858F" w:rsidR="00702FFA" w:rsidRPr="00A03642" w:rsidRDefault="00B1292F" w:rsidP="00905C2A">
      <w:pPr>
        <w:pStyle w:val="ListParagraph"/>
        <w:numPr>
          <w:ilvl w:val="0"/>
          <w:numId w:val="2"/>
        </w:numPr>
        <w:spacing w:after="0" w:line="240" w:lineRule="auto"/>
        <w:ind w:left="357" w:hanging="357"/>
        <w:jc w:val="both"/>
        <w:rPr>
          <w:rFonts w:eastAsia="Times New Roman"/>
          <w:sz w:val="24"/>
          <w:szCs w:val="24"/>
          <w:lang w:eastAsia="lv-LV"/>
        </w:rPr>
      </w:pPr>
      <w:r w:rsidRPr="000A090C">
        <w:rPr>
          <w:rFonts w:cs="Times New Roman"/>
          <w:b/>
          <w:bCs/>
          <w:sz w:val="24"/>
          <w:szCs w:val="24"/>
        </w:rPr>
        <w:t>Apspriedes dalībniek</w:t>
      </w:r>
      <w:r w:rsidR="007B5D3F" w:rsidRPr="000A090C">
        <w:rPr>
          <w:rFonts w:cs="Times New Roman"/>
          <w:b/>
          <w:bCs/>
          <w:sz w:val="24"/>
          <w:szCs w:val="24"/>
        </w:rPr>
        <w:t>i</w:t>
      </w:r>
      <w:r w:rsidRPr="000A090C">
        <w:rPr>
          <w:rFonts w:cs="Times New Roman"/>
          <w:b/>
          <w:bCs/>
          <w:sz w:val="24"/>
          <w:szCs w:val="24"/>
        </w:rPr>
        <w:t>:</w:t>
      </w:r>
      <w:r w:rsidR="007B5D3F" w:rsidRPr="000A090C">
        <w:rPr>
          <w:rFonts w:cs="Times New Roman"/>
          <w:sz w:val="24"/>
          <w:szCs w:val="24"/>
        </w:rPr>
        <w:t xml:space="preserve"> </w:t>
      </w:r>
      <w:r w:rsidR="00354AD2" w:rsidRPr="000A090C">
        <w:rPr>
          <w:rFonts w:eastAsia="Times New Roman"/>
          <w:sz w:val="24"/>
          <w:szCs w:val="24"/>
          <w:lang w:eastAsia="lv-LV"/>
        </w:rPr>
        <w:t xml:space="preserve">apspriedes laikā Elektronisko iepirkumu sistēmā e-konkursu apakšsistēmā </w:t>
      </w:r>
      <w:r w:rsidR="00354AD2" w:rsidRPr="000A090C">
        <w:rPr>
          <w:rFonts w:eastAsia="Times New Roman" w:cs="Times New Roman"/>
          <w:sz w:val="24"/>
          <w:szCs w:val="24"/>
          <w:lang w:eastAsia="lv-LV"/>
        </w:rPr>
        <w:t>tika saņemti priekšlikumi no</w:t>
      </w:r>
      <w:r w:rsidR="00354AD2" w:rsidRPr="000A090C">
        <w:rPr>
          <w:bCs/>
          <w:sz w:val="24"/>
          <w:szCs w:val="24"/>
        </w:rPr>
        <w:t xml:space="preserve"> </w:t>
      </w:r>
      <w:bookmarkStart w:id="1" w:name="_Hlk184564579"/>
      <w:r w:rsidR="006D134D" w:rsidRPr="006D134D">
        <w:rPr>
          <w:bCs/>
          <w:sz w:val="24"/>
          <w:szCs w:val="24"/>
        </w:rPr>
        <w:t>"SENSON AUTO" SIA</w:t>
      </w:r>
      <w:bookmarkEnd w:id="1"/>
      <w:r w:rsidR="006D134D">
        <w:rPr>
          <w:rFonts w:cs="Times New Roman"/>
          <w:bCs/>
          <w:sz w:val="24"/>
          <w:szCs w:val="24"/>
        </w:rPr>
        <w:t xml:space="preserve"> un</w:t>
      </w:r>
      <w:r w:rsidR="00F7693C">
        <w:rPr>
          <w:bCs/>
          <w:sz w:val="24"/>
          <w:szCs w:val="24"/>
        </w:rPr>
        <w:t xml:space="preserve"> </w:t>
      </w:r>
      <w:r w:rsidR="00B36794">
        <w:rPr>
          <w:bCs/>
          <w:sz w:val="24"/>
          <w:szCs w:val="24"/>
        </w:rPr>
        <w:t>s</w:t>
      </w:r>
      <w:r w:rsidR="006D134D" w:rsidRPr="006D134D">
        <w:rPr>
          <w:bCs/>
          <w:sz w:val="24"/>
          <w:szCs w:val="24"/>
        </w:rPr>
        <w:t>abiedrība</w:t>
      </w:r>
      <w:r w:rsidR="006D134D">
        <w:rPr>
          <w:bCs/>
          <w:sz w:val="24"/>
          <w:szCs w:val="24"/>
        </w:rPr>
        <w:t>s</w:t>
      </w:r>
      <w:r w:rsidR="006D134D" w:rsidRPr="006D134D">
        <w:rPr>
          <w:bCs/>
          <w:sz w:val="24"/>
          <w:szCs w:val="24"/>
        </w:rPr>
        <w:t xml:space="preserve"> ar ierobežotu atbildību "</w:t>
      </w:r>
      <w:proofErr w:type="spellStart"/>
      <w:r w:rsidR="006D134D" w:rsidRPr="006D134D">
        <w:rPr>
          <w:bCs/>
          <w:sz w:val="24"/>
          <w:szCs w:val="24"/>
        </w:rPr>
        <w:t>Tobis</w:t>
      </w:r>
      <w:proofErr w:type="spellEnd"/>
      <w:r w:rsidR="006D134D" w:rsidRPr="006D134D">
        <w:rPr>
          <w:bCs/>
          <w:sz w:val="24"/>
          <w:szCs w:val="24"/>
        </w:rPr>
        <w:t xml:space="preserve"> Latvia"</w:t>
      </w:r>
      <w:r w:rsidR="009401A2">
        <w:rPr>
          <w:bCs/>
          <w:sz w:val="24"/>
          <w:szCs w:val="24"/>
        </w:rPr>
        <w:t>.</w:t>
      </w:r>
    </w:p>
    <w:p w14:paraId="09EC2C71" w14:textId="11CDC864" w:rsidR="00A03642" w:rsidRPr="000A090C" w:rsidRDefault="00A03642" w:rsidP="00905C2A">
      <w:pPr>
        <w:pStyle w:val="ListParagraph"/>
        <w:numPr>
          <w:ilvl w:val="0"/>
          <w:numId w:val="2"/>
        </w:numPr>
        <w:spacing w:after="0" w:line="240" w:lineRule="auto"/>
        <w:ind w:left="357" w:hanging="357"/>
        <w:jc w:val="both"/>
        <w:rPr>
          <w:rFonts w:eastAsia="Times New Roman"/>
          <w:sz w:val="24"/>
          <w:szCs w:val="24"/>
          <w:lang w:eastAsia="lv-LV"/>
        </w:rPr>
      </w:pPr>
      <w:r>
        <w:rPr>
          <w:rFonts w:cs="Times New Roman"/>
          <w:b/>
          <w:bCs/>
          <w:sz w:val="24"/>
          <w:szCs w:val="24"/>
        </w:rPr>
        <w:t>Par kvalifikācijas prasībām:</w:t>
      </w:r>
      <w:r>
        <w:rPr>
          <w:rFonts w:cs="Times New Roman"/>
          <w:sz w:val="24"/>
          <w:szCs w:val="24"/>
        </w:rPr>
        <w:t xml:space="preserve"> </w:t>
      </w:r>
      <w:r w:rsidR="00286F43">
        <w:rPr>
          <w:rFonts w:cs="Times New Roman"/>
          <w:sz w:val="24"/>
          <w:szCs w:val="24"/>
        </w:rPr>
        <w:t>nav</w:t>
      </w:r>
      <w:r>
        <w:rPr>
          <w:rFonts w:cs="Times New Roman"/>
          <w:sz w:val="24"/>
          <w:szCs w:val="24"/>
        </w:rPr>
        <w:t xml:space="preserve"> izteikti priekšlikumi</w:t>
      </w:r>
      <w:r w:rsidR="00AA68C0">
        <w:rPr>
          <w:rFonts w:cs="Times New Roman"/>
          <w:sz w:val="24"/>
          <w:szCs w:val="24"/>
        </w:rPr>
        <w:t>.</w:t>
      </w:r>
    </w:p>
    <w:bookmarkEnd w:id="0"/>
    <w:p w14:paraId="30670204" w14:textId="659E2813" w:rsidR="00AA68C0" w:rsidRDefault="00E67B0B" w:rsidP="00AA68C0">
      <w:pPr>
        <w:pStyle w:val="ListParagraph"/>
        <w:numPr>
          <w:ilvl w:val="0"/>
          <w:numId w:val="2"/>
        </w:numPr>
        <w:tabs>
          <w:tab w:val="center" w:pos="4153"/>
          <w:tab w:val="right" w:pos="8306"/>
        </w:tabs>
        <w:outlineLvl w:val="0"/>
        <w:rPr>
          <w:rFonts w:cs="Times New Roman"/>
          <w:sz w:val="24"/>
          <w:szCs w:val="24"/>
        </w:rPr>
      </w:pPr>
      <w:r w:rsidRPr="005B4A2E">
        <w:rPr>
          <w:rFonts w:cs="Times New Roman"/>
          <w:b/>
          <w:bCs/>
          <w:sz w:val="24"/>
          <w:szCs w:val="24"/>
        </w:rPr>
        <w:t>Par tehniskās specifikācijas projektu</w:t>
      </w:r>
      <w:r w:rsidR="005B4A2E" w:rsidRPr="005B4A2E">
        <w:rPr>
          <w:rFonts w:cs="Times New Roman"/>
          <w:b/>
          <w:bCs/>
          <w:sz w:val="24"/>
          <w:szCs w:val="24"/>
        </w:rPr>
        <w:t xml:space="preserve">: </w:t>
      </w:r>
      <w:r w:rsidR="005B4A2E" w:rsidRPr="00286F43">
        <w:rPr>
          <w:rFonts w:cs="Times New Roman"/>
          <w:sz w:val="24"/>
          <w:szCs w:val="24"/>
        </w:rPr>
        <w:t>ir izteikti priekšlikumi</w:t>
      </w:r>
      <w:r w:rsidR="00AA68C0">
        <w:rPr>
          <w:rFonts w:cs="Times New Roman"/>
          <w:sz w:val="24"/>
          <w:szCs w:val="24"/>
        </w:rPr>
        <w:t xml:space="preserve">. </w:t>
      </w:r>
      <w:r w:rsidR="00AA68C0" w:rsidRPr="00AA68C0">
        <w:rPr>
          <w:rFonts w:cs="Times New Roman"/>
          <w:sz w:val="24"/>
          <w:szCs w:val="24"/>
        </w:rPr>
        <w:t>Norādīta tikai tā informācija, par kuru ir izteikti priekšlikumi.</w:t>
      </w:r>
    </w:p>
    <w:p w14:paraId="7F743F75" w14:textId="465E23C3" w:rsidR="00AC7E50" w:rsidRPr="00AC7E50" w:rsidRDefault="00AC7E50" w:rsidP="00AC7E50">
      <w:pPr>
        <w:pStyle w:val="ListParagraph"/>
        <w:numPr>
          <w:ilvl w:val="0"/>
          <w:numId w:val="2"/>
        </w:numPr>
        <w:rPr>
          <w:rFonts w:cs="Times New Roman"/>
          <w:sz w:val="24"/>
          <w:szCs w:val="24"/>
        </w:rPr>
      </w:pPr>
      <w:r w:rsidRPr="001E3F29">
        <w:rPr>
          <w:rFonts w:cs="Times New Roman"/>
          <w:b/>
          <w:bCs/>
          <w:sz w:val="24"/>
          <w:szCs w:val="24"/>
        </w:rPr>
        <w:t>Par termiņiem ir izteikti priekšlikumi:</w:t>
      </w:r>
      <w:r w:rsidRPr="00AC7E50">
        <w:rPr>
          <w:rFonts w:cs="Times New Roman"/>
          <w:sz w:val="24"/>
          <w:szCs w:val="24"/>
        </w:rPr>
        <w:t xml:space="preserve"> ir izteikti priekšlikumi. Norādīta tikai tā informācija, par kuru ir izteikti priekšlikumi.</w:t>
      </w:r>
    </w:p>
    <w:p w14:paraId="6242FA29" w14:textId="248EC57C" w:rsidR="00E67B0B" w:rsidRDefault="00E67B0B" w:rsidP="00AA68C0">
      <w:pPr>
        <w:pStyle w:val="ListParagraph"/>
        <w:tabs>
          <w:tab w:val="center" w:pos="4153"/>
          <w:tab w:val="right" w:pos="8306"/>
        </w:tabs>
        <w:ind w:left="360"/>
        <w:outlineLvl w:val="0"/>
        <w:rPr>
          <w:rFonts w:cs="Times New Roman"/>
          <w:sz w:val="24"/>
          <w:szCs w:val="24"/>
        </w:rPr>
      </w:pPr>
    </w:p>
    <w:p w14:paraId="68394CE4" w14:textId="5CAF8969" w:rsidR="00AA68C0" w:rsidRDefault="00AA68C0" w:rsidP="00AA68C0">
      <w:pPr>
        <w:spacing w:line="276" w:lineRule="auto"/>
        <w:jc w:val="center"/>
      </w:pPr>
      <w:r w:rsidRPr="006C0D15">
        <w:rPr>
          <w:b/>
        </w:rPr>
        <w:t>Par tehniskās specifikācijas projektu</w:t>
      </w:r>
      <w:r w:rsidRPr="006C0D15">
        <w:t xml:space="preserve"> </w:t>
      </w:r>
    </w:p>
    <w:p w14:paraId="553759A2" w14:textId="77777777" w:rsidR="00AA68C0" w:rsidRPr="006C0D15" w:rsidRDefault="00AA68C0" w:rsidP="00AA68C0">
      <w:pPr>
        <w:spacing w:line="276" w:lineRule="auto"/>
        <w:jc w:val="center"/>
        <w:rPr>
          <w:b/>
        </w:rPr>
      </w:pPr>
    </w:p>
    <w:tbl>
      <w:tblPr>
        <w:tblStyle w:val="TableGrid"/>
        <w:tblW w:w="14034" w:type="dxa"/>
        <w:tblInd w:w="-5" w:type="dxa"/>
        <w:tblLook w:val="04A0" w:firstRow="1" w:lastRow="0" w:firstColumn="1" w:lastColumn="0" w:noHBand="0" w:noVBand="1"/>
      </w:tblPr>
      <w:tblGrid>
        <w:gridCol w:w="4253"/>
        <w:gridCol w:w="6095"/>
        <w:gridCol w:w="3686"/>
      </w:tblGrid>
      <w:tr w:rsidR="00E67B0B" w:rsidRPr="000A090C" w14:paraId="0D5F65B1" w14:textId="2B840630" w:rsidTr="004878AE">
        <w:tc>
          <w:tcPr>
            <w:tcW w:w="4253" w:type="dxa"/>
            <w:shd w:val="clear" w:color="auto" w:fill="FBE4D5" w:themeFill="accent2" w:themeFillTint="33"/>
            <w:vAlign w:val="center"/>
          </w:tcPr>
          <w:p w14:paraId="1DC98C89" w14:textId="5FA529AF" w:rsidR="00E67B0B" w:rsidRPr="000A090C" w:rsidRDefault="00E67B0B" w:rsidP="00E67B0B">
            <w:pPr>
              <w:spacing w:line="276" w:lineRule="auto"/>
              <w:jc w:val="center"/>
              <w:rPr>
                <w:b/>
                <w:bCs/>
                <w:lang w:val="lv-LV"/>
              </w:rPr>
            </w:pPr>
            <w:r w:rsidRPr="000A090C">
              <w:rPr>
                <w:b/>
                <w:lang w:val="lv-LV"/>
              </w:rPr>
              <w:t>Tehniskās specifikācijas prasība</w:t>
            </w:r>
          </w:p>
        </w:tc>
        <w:tc>
          <w:tcPr>
            <w:tcW w:w="6095" w:type="dxa"/>
            <w:shd w:val="clear" w:color="auto" w:fill="FBE4D5" w:themeFill="accent2" w:themeFillTint="33"/>
          </w:tcPr>
          <w:p w14:paraId="5821379D" w14:textId="6C80D92C" w:rsidR="00E67B0B" w:rsidRPr="000A090C" w:rsidRDefault="00E67B0B" w:rsidP="00E67B0B">
            <w:pPr>
              <w:spacing w:line="276" w:lineRule="auto"/>
              <w:jc w:val="center"/>
              <w:rPr>
                <w:b/>
                <w:bCs/>
                <w:lang w:val="lv-LV"/>
              </w:rPr>
            </w:pPr>
            <w:r w:rsidRPr="000A090C">
              <w:rPr>
                <w:b/>
                <w:bCs/>
                <w:lang w:val="lv-LV"/>
              </w:rPr>
              <w:t>Ieinteresēt</w:t>
            </w:r>
            <w:r w:rsidR="00286F43">
              <w:rPr>
                <w:b/>
                <w:bCs/>
                <w:lang w:val="lv-LV"/>
              </w:rPr>
              <w:t>ā</w:t>
            </w:r>
            <w:r w:rsidRPr="000A090C">
              <w:rPr>
                <w:b/>
                <w:bCs/>
                <w:lang w:val="lv-LV"/>
              </w:rPr>
              <w:t xml:space="preserve"> piegādātāj</w:t>
            </w:r>
            <w:r w:rsidR="00286F43">
              <w:rPr>
                <w:b/>
                <w:bCs/>
                <w:lang w:val="lv-LV"/>
              </w:rPr>
              <w:t>a</w:t>
            </w:r>
            <w:r w:rsidRPr="000A090C">
              <w:rPr>
                <w:b/>
                <w:bCs/>
                <w:lang w:val="lv-LV"/>
              </w:rPr>
              <w:t xml:space="preserve"> priekšlikums, komentārs</w:t>
            </w:r>
          </w:p>
        </w:tc>
        <w:tc>
          <w:tcPr>
            <w:tcW w:w="3686" w:type="dxa"/>
            <w:shd w:val="clear" w:color="auto" w:fill="FBE4D5" w:themeFill="accent2" w:themeFillTint="33"/>
          </w:tcPr>
          <w:p w14:paraId="02EE2F2A" w14:textId="6CECDF83" w:rsidR="00E67B0B" w:rsidRPr="000A090C" w:rsidRDefault="00E67B0B" w:rsidP="00E67B0B">
            <w:pPr>
              <w:spacing w:line="276" w:lineRule="auto"/>
              <w:jc w:val="center"/>
              <w:rPr>
                <w:b/>
                <w:bCs/>
                <w:lang w:val="lv-LV"/>
              </w:rPr>
            </w:pPr>
            <w:r w:rsidRPr="000A090C">
              <w:rPr>
                <w:b/>
                <w:lang w:val="lv-LV"/>
              </w:rPr>
              <w:t xml:space="preserve">Komisijas </w:t>
            </w:r>
            <w:r w:rsidR="00A84940" w:rsidRPr="000A090C">
              <w:rPr>
                <w:b/>
                <w:lang w:val="lv-LV"/>
              </w:rPr>
              <w:t>galvenie secinājumi un vērtējums</w:t>
            </w:r>
          </w:p>
        </w:tc>
      </w:tr>
      <w:tr w:rsidR="0064699C" w:rsidRPr="000A090C" w14:paraId="3973A5E9" w14:textId="06941BED" w:rsidTr="004878AE">
        <w:tc>
          <w:tcPr>
            <w:tcW w:w="4253" w:type="dxa"/>
          </w:tcPr>
          <w:p w14:paraId="16B03F6E" w14:textId="5CEA232C" w:rsidR="0064699C" w:rsidRPr="00F7693C" w:rsidRDefault="0064699C" w:rsidP="0064699C">
            <w:pPr>
              <w:spacing w:line="276" w:lineRule="auto"/>
              <w:jc w:val="both"/>
              <w:rPr>
                <w:lang w:val="lv-LV"/>
              </w:rPr>
            </w:pPr>
            <w:r w:rsidRPr="00286F43">
              <w:rPr>
                <w:lang w:val="lv-LV"/>
              </w:rPr>
              <w:t>Nr. 18, N2BB, prasības 256x239x170mm, 135Ah un 625A</w:t>
            </w:r>
          </w:p>
        </w:tc>
        <w:tc>
          <w:tcPr>
            <w:tcW w:w="6095" w:type="dxa"/>
          </w:tcPr>
          <w:p w14:paraId="3F3CFA30" w14:textId="77777777" w:rsidR="0064699C" w:rsidRPr="00286F43" w:rsidRDefault="0064699C" w:rsidP="0064699C">
            <w:pPr>
              <w:pStyle w:val="ListParagraph"/>
              <w:spacing w:line="276" w:lineRule="auto"/>
              <w:ind w:left="31"/>
              <w:jc w:val="both"/>
              <w:rPr>
                <w:lang w:val="lv-LV"/>
              </w:rPr>
            </w:pPr>
            <w:r w:rsidRPr="00286F43">
              <w:rPr>
                <w:lang w:val="lv-LV"/>
              </w:rPr>
              <w:t xml:space="preserve">Sērijveida akumulatoru ar šādiem parametriem tirgū nav. Atvēlētā telpa ir ~10.4 L (256×239×170 mm). 12 V 135 </w:t>
            </w:r>
            <w:proofErr w:type="spellStart"/>
            <w:r w:rsidRPr="00286F43">
              <w:rPr>
                <w:lang w:val="lv-LV"/>
              </w:rPr>
              <w:t>Ah</w:t>
            </w:r>
            <w:proofErr w:type="spellEnd"/>
            <w:r w:rsidRPr="00286F43">
              <w:rPr>
                <w:lang w:val="lv-LV"/>
              </w:rPr>
              <w:t xml:space="preserve"> ≈ 1.6 </w:t>
            </w:r>
            <w:proofErr w:type="spellStart"/>
            <w:r w:rsidRPr="00286F43">
              <w:rPr>
                <w:lang w:val="lv-LV"/>
              </w:rPr>
              <w:t>kWh</w:t>
            </w:r>
            <w:proofErr w:type="spellEnd"/>
            <w:r w:rsidRPr="00286F43">
              <w:rPr>
                <w:lang w:val="lv-LV"/>
              </w:rPr>
              <w:t xml:space="preserve">. Šādu ietilpību nodrošina svina-skābes/AGM akumulatori, kas parasti prasa 13–20 L, tāpēc tirgū pieejamie modeļi izmēros neiekļaujas. </w:t>
            </w:r>
          </w:p>
          <w:p w14:paraId="027E118B" w14:textId="2156D14A" w:rsidR="0064699C" w:rsidRPr="00F7693C" w:rsidRDefault="0064699C" w:rsidP="0064699C">
            <w:pPr>
              <w:spacing w:line="276" w:lineRule="auto"/>
              <w:jc w:val="both"/>
              <w:rPr>
                <w:lang w:val="lv-LV"/>
              </w:rPr>
            </w:pPr>
            <w:r w:rsidRPr="00286F43">
              <w:rPr>
                <w:lang w:val="lv-LV"/>
              </w:rPr>
              <w:t>Sērijveida akumulatori ar nepieciešamo jaudu pieejami izmēros (</w:t>
            </w:r>
            <w:proofErr w:type="spellStart"/>
            <w:r w:rsidRPr="00286F43">
              <w:rPr>
                <w:lang w:val="lv-LV"/>
              </w:rPr>
              <w:t>GxPxA</w:t>
            </w:r>
            <w:proofErr w:type="spellEnd"/>
            <w:r w:rsidRPr="00286F43">
              <w:rPr>
                <w:lang w:val="lv-LV"/>
              </w:rPr>
              <w:t>) 360x253x237mm</w:t>
            </w:r>
          </w:p>
        </w:tc>
        <w:tc>
          <w:tcPr>
            <w:tcW w:w="3686" w:type="dxa"/>
          </w:tcPr>
          <w:p w14:paraId="7B001961" w14:textId="5D281A68" w:rsidR="0064699C" w:rsidRPr="00286F43" w:rsidRDefault="0064699C" w:rsidP="0064699C">
            <w:pPr>
              <w:spacing w:line="276" w:lineRule="auto"/>
              <w:jc w:val="both"/>
              <w:rPr>
                <w:szCs w:val="22"/>
                <w:highlight w:val="yellow"/>
                <w:lang w:val="lv-LV"/>
              </w:rPr>
            </w:pPr>
            <w:r w:rsidRPr="0064699C">
              <w:rPr>
                <w:szCs w:val="22"/>
                <w:lang w:val="lv-LV"/>
              </w:rPr>
              <w:t>Tehniskās specifikācijas prasības tiks pārskatītas, un nepieciešamības gadījumā tiks veikti grozījumi.</w:t>
            </w:r>
          </w:p>
        </w:tc>
      </w:tr>
      <w:tr w:rsidR="0064699C" w:rsidRPr="000A090C" w14:paraId="5F6EF47A" w14:textId="77777777" w:rsidTr="004878AE">
        <w:trPr>
          <w:trHeight w:val="586"/>
        </w:trPr>
        <w:tc>
          <w:tcPr>
            <w:tcW w:w="4253" w:type="dxa"/>
          </w:tcPr>
          <w:p w14:paraId="74A37496" w14:textId="7E35D059" w:rsidR="0064699C" w:rsidRPr="00351B05" w:rsidRDefault="0064699C" w:rsidP="0064699C">
            <w:pPr>
              <w:jc w:val="both"/>
              <w:rPr>
                <w:color w:val="000000"/>
                <w:lang w:val="lv-LV"/>
              </w:rPr>
            </w:pPr>
            <w:r w:rsidRPr="00286F43">
              <w:rPr>
                <w:rFonts w:eastAsia="Calibri" w:cs="Verdana"/>
                <w:lang w:val="lv-LV" w:eastAsia="en-US"/>
              </w:rPr>
              <w:lastRenderedPageBreak/>
              <w:t>Nr. 46, M1SG, prasības 335x175x190mm, 95Ah un 850A</w:t>
            </w:r>
          </w:p>
        </w:tc>
        <w:tc>
          <w:tcPr>
            <w:tcW w:w="6095" w:type="dxa"/>
          </w:tcPr>
          <w:p w14:paraId="3DBC9507" w14:textId="202DF69D" w:rsidR="0064699C" w:rsidRPr="00BA42DD" w:rsidRDefault="0064699C" w:rsidP="0064699C">
            <w:pPr>
              <w:spacing w:line="276" w:lineRule="auto"/>
              <w:jc w:val="both"/>
              <w:rPr>
                <w:lang w:val="lv-LV"/>
              </w:rPr>
            </w:pPr>
            <w:r w:rsidRPr="00286F43">
              <w:rPr>
                <w:lang w:val="lv-LV"/>
              </w:rPr>
              <w:t xml:space="preserve">Sērijveida akumulatoru L5 Eiropas standarts paredz, ka akumulatori ar jaudu 90–100 </w:t>
            </w:r>
            <w:proofErr w:type="spellStart"/>
            <w:r w:rsidRPr="00286F43">
              <w:rPr>
                <w:lang w:val="lv-LV"/>
              </w:rPr>
              <w:t>Ah</w:t>
            </w:r>
            <w:proofErr w:type="spellEnd"/>
            <w:r w:rsidRPr="00286F43">
              <w:rPr>
                <w:lang w:val="lv-LV"/>
              </w:rPr>
              <w:t xml:space="preserve"> un ~800–900 A atbilst izmēriem 353 × 175 × 190mm. Prasītais garums 335mm sērijveida akumulatoriem nav pieejams.</w:t>
            </w:r>
          </w:p>
        </w:tc>
        <w:tc>
          <w:tcPr>
            <w:tcW w:w="3686" w:type="dxa"/>
          </w:tcPr>
          <w:p w14:paraId="06AE152C" w14:textId="4167FC23" w:rsidR="0064699C" w:rsidRPr="00286F43" w:rsidRDefault="0064699C" w:rsidP="0064699C">
            <w:pPr>
              <w:spacing w:line="276" w:lineRule="auto"/>
              <w:jc w:val="both"/>
              <w:rPr>
                <w:szCs w:val="22"/>
                <w:highlight w:val="yellow"/>
                <w:lang w:val="lv-LV"/>
              </w:rPr>
            </w:pPr>
            <w:r w:rsidRPr="0064699C">
              <w:rPr>
                <w:szCs w:val="22"/>
                <w:lang w:val="lv-LV"/>
              </w:rPr>
              <w:t>Tehniskās specifikācijas prasības tiks pārskatītas, un</w:t>
            </w:r>
            <w:r w:rsidR="00805792">
              <w:rPr>
                <w:szCs w:val="22"/>
                <w:lang w:val="lv-LV"/>
              </w:rPr>
              <w:t xml:space="preserve"> nepieciešamības gadījumā</w:t>
            </w:r>
            <w:r w:rsidRPr="0064699C">
              <w:rPr>
                <w:szCs w:val="22"/>
                <w:lang w:val="lv-LV"/>
              </w:rPr>
              <w:t xml:space="preserve"> tiks veikti grozījumi.</w:t>
            </w:r>
          </w:p>
        </w:tc>
      </w:tr>
      <w:tr w:rsidR="0064699C" w:rsidRPr="000A090C" w14:paraId="5EDA5400" w14:textId="77777777" w:rsidTr="004878AE">
        <w:tc>
          <w:tcPr>
            <w:tcW w:w="4253" w:type="dxa"/>
          </w:tcPr>
          <w:p w14:paraId="47DB2A98" w14:textId="0C7DB5DA" w:rsidR="0064699C" w:rsidRPr="00BD0944" w:rsidRDefault="0064699C" w:rsidP="0064699C">
            <w:pPr>
              <w:jc w:val="both"/>
              <w:rPr>
                <w:lang w:val="lv-LV"/>
              </w:rPr>
            </w:pPr>
            <w:r w:rsidRPr="00286F43">
              <w:rPr>
                <w:rFonts w:eastAsia="Calibri"/>
                <w:lang w:val="lv-LV"/>
              </w:rPr>
              <w:t>Nr. 135, prasības 303x173x203, 85Ah un 512A</w:t>
            </w:r>
          </w:p>
        </w:tc>
        <w:tc>
          <w:tcPr>
            <w:tcW w:w="6095" w:type="dxa"/>
          </w:tcPr>
          <w:p w14:paraId="3DFDED19" w14:textId="49BF314C" w:rsidR="0064699C" w:rsidRPr="00C76E97" w:rsidRDefault="0064699C" w:rsidP="0064699C">
            <w:pPr>
              <w:spacing w:line="276" w:lineRule="auto"/>
              <w:jc w:val="both"/>
              <w:rPr>
                <w:lang w:val="lv-LV"/>
              </w:rPr>
            </w:pPr>
            <w:r w:rsidRPr="00286F43">
              <w:rPr>
                <w:lang w:val="lv-LV"/>
              </w:rPr>
              <w:t xml:space="preserve">Augstums 203mm norādīts bez </w:t>
            </w:r>
            <w:proofErr w:type="spellStart"/>
            <w:r w:rsidRPr="00286F43">
              <w:rPr>
                <w:lang w:val="lv-LV"/>
              </w:rPr>
              <w:t>klemmēm</w:t>
            </w:r>
            <w:proofErr w:type="spellEnd"/>
            <w:r w:rsidRPr="00286F43">
              <w:rPr>
                <w:lang w:val="lv-LV"/>
              </w:rPr>
              <w:t xml:space="preserve"> (tikai pašas kastes augstums), augstums ar </w:t>
            </w:r>
            <w:proofErr w:type="spellStart"/>
            <w:r w:rsidRPr="00286F43">
              <w:rPr>
                <w:lang w:val="lv-LV"/>
              </w:rPr>
              <w:t>klemmēm</w:t>
            </w:r>
            <w:proofErr w:type="spellEnd"/>
            <w:r w:rsidRPr="00286F43">
              <w:rPr>
                <w:lang w:val="lv-LV"/>
              </w:rPr>
              <w:t xml:space="preserve"> 225mm, iespējams, nepieciešams precizēt pieprasītos izmērus</w:t>
            </w:r>
            <w:r>
              <w:rPr>
                <w:lang w:val="lv-LV"/>
              </w:rPr>
              <w:t>.</w:t>
            </w:r>
          </w:p>
        </w:tc>
        <w:tc>
          <w:tcPr>
            <w:tcW w:w="3686" w:type="dxa"/>
          </w:tcPr>
          <w:p w14:paraId="517DB6CA" w14:textId="25989021" w:rsidR="0064699C" w:rsidRPr="00286F43" w:rsidRDefault="0064699C" w:rsidP="0064699C">
            <w:pPr>
              <w:spacing w:line="276" w:lineRule="auto"/>
              <w:jc w:val="both"/>
              <w:rPr>
                <w:szCs w:val="22"/>
                <w:highlight w:val="yellow"/>
                <w:lang w:val="lv-LV"/>
              </w:rPr>
            </w:pPr>
            <w:r w:rsidRPr="0064699C">
              <w:rPr>
                <w:szCs w:val="22"/>
                <w:lang w:val="lv-LV"/>
              </w:rPr>
              <w:t>Tehniskās specifikācijas prasības tiks pārskatītas, un nepieciešamības gadījumā tiks veikti grozījumi.</w:t>
            </w:r>
          </w:p>
        </w:tc>
      </w:tr>
      <w:tr w:rsidR="0064699C" w:rsidRPr="000A090C" w14:paraId="1912FE1E" w14:textId="77777777" w:rsidTr="004878AE">
        <w:tc>
          <w:tcPr>
            <w:tcW w:w="4253" w:type="dxa"/>
          </w:tcPr>
          <w:p w14:paraId="4626573D" w14:textId="2B3D2253" w:rsidR="0064699C" w:rsidRPr="00675AD4" w:rsidRDefault="0064699C" w:rsidP="0064699C">
            <w:pPr>
              <w:jc w:val="both"/>
              <w:rPr>
                <w:lang w:val="lv-LV"/>
              </w:rPr>
            </w:pPr>
            <w:r w:rsidRPr="00286F43">
              <w:rPr>
                <w:rFonts w:eastAsiaTheme="minorHAnsi" w:cs="Verdana"/>
                <w:lang w:val="lv-LV" w:eastAsia="en-US"/>
              </w:rPr>
              <w:t>Nr. 146, prasības 355x175x190mm, 105Ah un 800A</w:t>
            </w:r>
          </w:p>
        </w:tc>
        <w:tc>
          <w:tcPr>
            <w:tcW w:w="6095" w:type="dxa"/>
          </w:tcPr>
          <w:p w14:paraId="47EDA7E9" w14:textId="28C4715F" w:rsidR="0064699C" w:rsidRPr="00C76E97" w:rsidRDefault="0064699C" w:rsidP="0064699C">
            <w:pPr>
              <w:spacing w:line="276" w:lineRule="auto"/>
              <w:jc w:val="both"/>
              <w:rPr>
                <w:lang w:val="lv-LV"/>
              </w:rPr>
            </w:pPr>
            <w:r w:rsidRPr="00286F43">
              <w:rPr>
                <w:lang w:val="lv-LV"/>
              </w:rPr>
              <w:t>Sērijveida akumulatoriem ar jaudu virs 100Ah mazāks garums par 392mm nav pieejams tirgū. Iespējams, nepieciešams precizēt garumu, lai tas atbilstu tirgū pieejamiem produktiem</w:t>
            </w:r>
          </w:p>
        </w:tc>
        <w:tc>
          <w:tcPr>
            <w:tcW w:w="3686" w:type="dxa"/>
          </w:tcPr>
          <w:p w14:paraId="034F6CF1" w14:textId="294F032D" w:rsidR="0064699C" w:rsidRPr="00286F43" w:rsidRDefault="0064699C" w:rsidP="0064699C">
            <w:pPr>
              <w:spacing w:line="276" w:lineRule="auto"/>
              <w:jc w:val="both"/>
              <w:rPr>
                <w:szCs w:val="22"/>
                <w:highlight w:val="yellow"/>
                <w:lang w:val="lv-LV"/>
              </w:rPr>
            </w:pPr>
            <w:r w:rsidRPr="0064699C">
              <w:rPr>
                <w:szCs w:val="22"/>
                <w:lang w:val="lv-LV"/>
              </w:rPr>
              <w:t>Tehniskās specifikācijas prasības tiks pārskatītas, un nepieciešamības gadījumā tiks veikti grozījumi.</w:t>
            </w:r>
          </w:p>
        </w:tc>
      </w:tr>
      <w:tr w:rsidR="0064699C" w:rsidRPr="000A090C" w14:paraId="207CC370" w14:textId="77777777" w:rsidTr="004878AE">
        <w:tc>
          <w:tcPr>
            <w:tcW w:w="4253" w:type="dxa"/>
          </w:tcPr>
          <w:p w14:paraId="7ECA4849" w14:textId="67D793A6" w:rsidR="0064699C" w:rsidRPr="00286F43" w:rsidRDefault="0064699C" w:rsidP="0064699C">
            <w:pPr>
              <w:spacing w:line="254" w:lineRule="auto"/>
              <w:contextualSpacing/>
              <w:jc w:val="both"/>
              <w:rPr>
                <w:rFonts w:eastAsia="Calibri"/>
                <w:lang w:val="lv-LV"/>
              </w:rPr>
            </w:pPr>
            <w:r w:rsidRPr="00286F43">
              <w:t xml:space="preserve">Nr. 148, </w:t>
            </w:r>
            <w:proofErr w:type="spellStart"/>
            <w:r w:rsidRPr="00286F43">
              <w:t>prasības</w:t>
            </w:r>
            <w:proofErr w:type="spellEnd"/>
            <w:r w:rsidRPr="00286F43">
              <w:t xml:space="preserve"> 355x175x190mm, 110Ah un 760A</w:t>
            </w:r>
          </w:p>
        </w:tc>
        <w:tc>
          <w:tcPr>
            <w:tcW w:w="6095" w:type="dxa"/>
          </w:tcPr>
          <w:p w14:paraId="3144186C" w14:textId="0C2F5409" w:rsidR="0064699C" w:rsidRPr="00C76E97" w:rsidRDefault="0064699C" w:rsidP="0064699C">
            <w:pPr>
              <w:spacing w:line="276" w:lineRule="auto"/>
              <w:jc w:val="both"/>
              <w:rPr>
                <w:lang w:val="lv-LV"/>
              </w:rPr>
            </w:pPr>
            <w:r w:rsidRPr="00286F43">
              <w:rPr>
                <w:lang w:val="lv-LV"/>
              </w:rPr>
              <w:t>Sērijveida akumulatoriem ar jaudu virs 100Ah mazāks garums par 392mm nav pieejams tirgū. Iespējams, nepieciešams precizēt garumu, lai tas atbilstu tirgū pieejamiem produktiem</w:t>
            </w:r>
          </w:p>
        </w:tc>
        <w:tc>
          <w:tcPr>
            <w:tcW w:w="3686" w:type="dxa"/>
          </w:tcPr>
          <w:p w14:paraId="1C69C379" w14:textId="426CC625" w:rsidR="0064699C" w:rsidRPr="00286F43" w:rsidRDefault="0064699C" w:rsidP="0064699C">
            <w:pPr>
              <w:spacing w:line="276" w:lineRule="auto"/>
              <w:jc w:val="both"/>
              <w:rPr>
                <w:szCs w:val="22"/>
                <w:highlight w:val="yellow"/>
                <w:lang w:val="lv-LV"/>
              </w:rPr>
            </w:pPr>
            <w:r w:rsidRPr="0064699C">
              <w:rPr>
                <w:szCs w:val="22"/>
                <w:lang w:val="lv-LV"/>
              </w:rPr>
              <w:t>Tehniskās specifikācijas prasības tiks pārskatītas, un nepieciešamības gadījumā tiks veikti grozījumi.</w:t>
            </w:r>
          </w:p>
        </w:tc>
      </w:tr>
    </w:tbl>
    <w:p w14:paraId="172FC26C" w14:textId="77777777" w:rsidR="00474D2B" w:rsidRPr="000A090C" w:rsidRDefault="00474D2B" w:rsidP="00905C2A">
      <w:pPr>
        <w:rPr>
          <w:b/>
        </w:rPr>
      </w:pPr>
    </w:p>
    <w:p w14:paraId="70C8E56D" w14:textId="31E6B4CD" w:rsidR="00CE113D" w:rsidRPr="005B4A2E" w:rsidRDefault="006E2C44" w:rsidP="008537E5">
      <w:pPr>
        <w:pStyle w:val="ListParagraph"/>
        <w:tabs>
          <w:tab w:val="center" w:pos="4153"/>
          <w:tab w:val="right" w:pos="8306"/>
        </w:tabs>
        <w:ind w:left="360"/>
        <w:jc w:val="center"/>
        <w:outlineLvl w:val="0"/>
        <w:rPr>
          <w:rFonts w:cs="Times New Roman"/>
          <w:b/>
          <w:bCs/>
          <w:sz w:val="24"/>
          <w:szCs w:val="24"/>
        </w:rPr>
      </w:pPr>
      <w:r w:rsidRPr="005B4A2E">
        <w:rPr>
          <w:rFonts w:cs="Times New Roman"/>
          <w:b/>
          <w:bCs/>
          <w:sz w:val="24"/>
          <w:szCs w:val="24"/>
        </w:rPr>
        <w:t>Par termiņ</w:t>
      </w:r>
      <w:r w:rsidR="008537E5">
        <w:rPr>
          <w:rFonts w:cs="Times New Roman"/>
          <w:b/>
          <w:bCs/>
          <w:sz w:val="24"/>
          <w:szCs w:val="24"/>
        </w:rPr>
        <w:t>iem</w:t>
      </w:r>
    </w:p>
    <w:tbl>
      <w:tblPr>
        <w:tblStyle w:val="TableGrid"/>
        <w:tblW w:w="14034" w:type="dxa"/>
        <w:tblInd w:w="-5" w:type="dxa"/>
        <w:tblLook w:val="04A0" w:firstRow="1" w:lastRow="0" w:firstColumn="1" w:lastColumn="0" w:noHBand="0" w:noVBand="1"/>
      </w:tblPr>
      <w:tblGrid>
        <w:gridCol w:w="3828"/>
        <w:gridCol w:w="5953"/>
        <w:gridCol w:w="4253"/>
      </w:tblGrid>
      <w:tr w:rsidR="000C6C74" w:rsidRPr="000A090C" w14:paraId="01A1563D" w14:textId="77777777" w:rsidTr="004878AE">
        <w:trPr>
          <w:trHeight w:val="694"/>
        </w:trPr>
        <w:tc>
          <w:tcPr>
            <w:tcW w:w="3828" w:type="dxa"/>
            <w:shd w:val="clear" w:color="auto" w:fill="FBE4D5" w:themeFill="accent2" w:themeFillTint="33"/>
          </w:tcPr>
          <w:p w14:paraId="357A273F" w14:textId="76C7E807" w:rsidR="000C6C74" w:rsidRPr="000A090C" w:rsidRDefault="000C6C74" w:rsidP="00E0309B">
            <w:pPr>
              <w:jc w:val="center"/>
              <w:rPr>
                <w:b/>
                <w:lang w:val="lv-LV"/>
              </w:rPr>
            </w:pPr>
            <w:r w:rsidRPr="000A090C">
              <w:rPr>
                <w:b/>
                <w:lang w:val="lv-LV"/>
              </w:rPr>
              <w:t>Nosaukums</w:t>
            </w:r>
          </w:p>
        </w:tc>
        <w:tc>
          <w:tcPr>
            <w:tcW w:w="5953" w:type="dxa"/>
            <w:shd w:val="clear" w:color="auto" w:fill="FBE4D5" w:themeFill="accent2" w:themeFillTint="33"/>
          </w:tcPr>
          <w:p w14:paraId="2A407CC5" w14:textId="7741663F" w:rsidR="000C6C74" w:rsidRPr="000A5C07" w:rsidRDefault="000C6C74" w:rsidP="000A090C">
            <w:pPr>
              <w:tabs>
                <w:tab w:val="center" w:pos="4153"/>
                <w:tab w:val="right" w:pos="8306"/>
              </w:tabs>
              <w:jc w:val="center"/>
              <w:outlineLvl w:val="0"/>
              <w:rPr>
                <w:b/>
                <w:lang w:val="lv-LV"/>
              </w:rPr>
            </w:pPr>
            <w:r w:rsidRPr="0095514A">
              <w:rPr>
                <w:b/>
                <w:lang w:val="lv-LV"/>
              </w:rPr>
              <w:t>Ieinteresēt</w:t>
            </w:r>
            <w:r>
              <w:rPr>
                <w:b/>
                <w:lang w:val="lv-LV"/>
              </w:rPr>
              <w:t>o</w:t>
            </w:r>
            <w:r w:rsidRPr="0095514A">
              <w:rPr>
                <w:b/>
                <w:lang w:val="lv-LV"/>
              </w:rPr>
              <w:t xml:space="preserve"> piegādātāj</w:t>
            </w:r>
            <w:r>
              <w:rPr>
                <w:b/>
                <w:lang w:val="lv-LV"/>
              </w:rPr>
              <w:t>u norādītais termiņš</w:t>
            </w:r>
          </w:p>
        </w:tc>
        <w:tc>
          <w:tcPr>
            <w:tcW w:w="4253" w:type="dxa"/>
            <w:shd w:val="clear" w:color="auto" w:fill="FBE4D5" w:themeFill="accent2" w:themeFillTint="33"/>
          </w:tcPr>
          <w:p w14:paraId="7BBC4B4A" w14:textId="34632BC3" w:rsidR="000C6C74" w:rsidRPr="000A090C" w:rsidRDefault="000C6C74" w:rsidP="00E0309B">
            <w:pPr>
              <w:jc w:val="center"/>
              <w:rPr>
                <w:b/>
                <w:lang w:val="lv-LV"/>
              </w:rPr>
            </w:pPr>
            <w:r w:rsidRPr="000A090C">
              <w:rPr>
                <w:b/>
                <w:lang w:val="lv-LV"/>
              </w:rPr>
              <w:t>Komisijas galvenie secinājumi un vērtējums</w:t>
            </w:r>
          </w:p>
        </w:tc>
      </w:tr>
      <w:tr w:rsidR="006D134D" w:rsidRPr="000A090C" w14:paraId="5BE95FAE" w14:textId="77777777" w:rsidTr="00DF56FA">
        <w:tc>
          <w:tcPr>
            <w:tcW w:w="3828" w:type="dxa"/>
            <w:vAlign w:val="center"/>
          </w:tcPr>
          <w:p w14:paraId="25761B7B" w14:textId="1E8A009F" w:rsidR="006D134D" w:rsidRPr="004525DC" w:rsidRDefault="006D134D" w:rsidP="006D134D">
            <w:pPr>
              <w:tabs>
                <w:tab w:val="center" w:pos="4153"/>
                <w:tab w:val="right" w:pos="8306"/>
              </w:tabs>
              <w:spacing w:line="276" w:lineRule="auto"/>
              <w:outlineLvl w:val="0"/>
              <w:rPr>
                <w:u w:val="single"/>
                <w:lang w:val="lv-LV"/>
              </w:rPr>
            </w:pPr>
            <w:r w:rsidRPr="006D134D">
              <w:rPr>
                <w:lang w:val="lv-LV"/>
              </w:rPr>
              <w:t xml:space="preserve">Piedāvājuma sagatavošanai un iesniegšanai nepieciešamais termiņš </w:t>
            </w:r>
            <w:r w:rsidRPr="006D134D">
              <w:rPr>
                <w:u w:val="single"/>
                <w:lang w:val="lv-LV"/>
              </w:rPr>
              <w:t>kalendārajās dienās.</w:t>
            </w:r>
          </w:p>
        </w:tc>
        <w:tc>
          <w:tcPr>
            <w:tcW w:w="5953" w:type="dxa"/>
          </w:tcPr>
          <w:p w14:paraId="752153E8" w14:textId="7F43F654" w:rsidR="006D134D" w:rsidRPr="000C6C74" w:rsidRDefault="00286F43" w:rsidP="006D134D">
            <w:pPr>
              <w:pStyle w:val="ListParagraph"/>
              <w:numPr>
                <w:ilvl w:val="0"/>
                <w:numId w:val="34"/>
              </w:numPr>
              <w:ind w:left="318"/>
              <w:jc w:val="both"/>
              <w:rPr>
                <w:bCs/>
                <w:sz w:val="24"/>
                <w:szCs w:val="20"/>
                <w:lang w:val="lv-LV"/>
              </w:rPr>
            </w:pPr>
            <w:r>
              <w:rPr>
                <w:bCs/>
                <w:sz w:val="24"/>
                <w:szCs w:val="20"/>
                <w:lang w:val="lv-LV"/>
              </w:rPr>
              <w:t>30</w:t>
            </w:r>
            <w:r w:rsidR="006D134D" w:rsidRPr="000C6C74">
              <w:rPr>
                <w:bCs/>
                <w:sz w:val="24"/>
                <w:szCs w:val="20"/>
                <w:lang w:val="lv-LV"/>
              </w:rPr>
              <w:t xml:space="preserve"> dienas;</w:t>
            </w:r>
          </w:p>
          <w:p w14:paraId="3F0915CD" w14:textId="1C7D129A" w:rsidR="006D134D" w:rsidRPr="00286F43" w:rsidRDefault="00286F43" w:rsidP="00286F43">
            <w:pPr>
              <w:pStyle w:val="ListParagraph"/>
              <w:numPr>
                <w:ilvl w:val="0"/>
                <w:numId w:val="34"/>
              </w:numPr>
              <w:ind w:left="324"/>
              <w:jc w:val="both"/>
              <w:rPr>
                <w:bCs/>
                <w:szCs w:val="20"/>
                <w:lang w:val="lv-LV"/>
              </w:rPr>
            </w:pPr>
            <w:r w:rsidRPr="00286F43">
              <w:rPr>
                <w:bCs/>
                <w:szCs w:val="20"/>
                <w:lang w:val="lv-LV"/>
              </w:rPr>
              <w:t>Priekšlikums izmantot darba dienas, nevis kalendārās, ņemot vērā gadu mijas u.tml. svētkus, kur iespējamas vairākas brīvdienas pēc kārtas, t.sk. pārceltās darba dienas.</w:t>
            </w:r>
            <w:r>
              <w:rPr>
                <w:bCs/>
                <w:szCs w:val="20"/>
                <w:lang w:val="lv-LV"/>
              </w:rPr>
              <w:br/>
            </w:r>
            <w:r w:rsidRPr="00286F43">
              <w:rPr>
                <w:bCs/>
                <w:szCs w:val="20"/>
                <w:lang w:val="lv-LV"/>
              </w:rPr>
              <w:t>5 kalendārās dienas</w:t>
            </w:r>
            <w:r>
              <w:rPr>
                <w:bCs/>
                <w:szCs w:val="20"/>
                <w:lang w:val="lv-LV"/>
              </w:rPr>
              <w:t>.</w:t>
            </w:r>
          </w:p>
        </w:tc>
        <w:tc>
          <w:tcPr>
            <w:tcW w:w="4253" w:type="dxa"/>
          </w:tcPr>
          <w:p w14:paraId="2A8C1AB5" w14:textId="08FC97D8" w:rsidR="006D134D" w:rsidRPr="00286F43" w:rsidRDefault="006D134D" w:rsidP="006D134D">
            <w:pPr>
              <w:jc w:val="both"/>
              <w:rPr>
                <w:b/>
                <w:highlight w:val="yellow"/>
                <w:lang w:val="lv-LV"/>
              </w:rPr>
            </w:pPr>
            <w:r w:rsidRPr="0064699C">
              <w:rPr>
                <w:szCs w:val="22"/>
                <w:lang w:val="lv-LV"/>
              </w:rPr>
              <w:t>Piedāvājumu iesniegšanas termiņš tiks noteikts atbilstoši Publisko iepirkumu likuma regulējumam.</w:t>
            </w:r>
          </w:p>
        </w:tc>
      </w:tr>
      <w:tr w:rsidR="006D134D" w:rsidRPr="000A090C" w14:paraId="611EB19B" w14:textId="77777777" w:rsidTr="004878AE">
        <w:tc>
          <w:tcPr>
            <w:tcW w:w="3828" w:type="dxa"/>
            <w:vAlign w:val="center"/>
          </w:tcPr>
          <w:p w14:paraId="23086C75" w14:textId="229CC71A" w:rsidR="006D134D" w:rsidRPr="006D134D" w:rsidRDefault="006D134D" w:rsidP="006D134D">
            <w:pPr>
              <w:tabs>
                <w:tab w:val="center" w:pos="4153"/>
                <w:tab w:val="right" w:pos="8306"/>
              </w:tabs>
              <w:spacing w:line="276" w:lineRule="auto"/>
              <w:outlineLvl w:val="0"/>
              <w:rPr>
                <w:lang w:val="lv-LV"/>
              </w:rPr>
            </w:pPr>
            <w:r w:rsidRPr="006D134D">
              <w:rPr>
                <w:lang w:val="lv-LV"/>
              </w:rPr>
              <w:t xml:space="preserve">Preces piegādes termiņš </w:t>
            </w:r>
            <w:r w:rsidRPr="006D134D">
              <w:rPr>
                <w:u w:val="single"/>
                <w:lang w:val="lv-LV"/>
              </w:rPr>
              <w:t>kalendārajās dienās.</w:t>
            </w:r>
          </w:p>
        </w:tc>
        <w:tc>
          <w:tcPr>
            <w:tcW w:w="5953" w:type="dxa"/>
          </w:tcPr>
          <w:p w14:paraId="2F766A0D" w14:textId="2C6C1732" w:rsidR="006D134D" w:rsidRPr="000C6C74" w:rsidRDefault="00286F43" w:rsidP="006D134D">
            <w:pPr>
              <w:pStyle w:val="ListParagraph"/>
              <w:numPr>
                <w:ilvl w:val="0"/>
                <w:numId w:val="35"/>
              </w:numPr>
              <w:ind w:left="318"/>
              <w:jc w:val="both"/>
              <w:rPr>
                <w:bCs/>
                <w:sz w:val="24"/>
                <w:szCs w:val="20"/>
                <w:lang w:val="lv-LV"/>
              </w:rPr>
            </w:pPr>
            <w:r>
              <w:rPr>
                <w:bCs/>
                <w:sz w:val="24"/>
                <w:szCs w:val="20"/>
                <w:lang w:val="lv-LV"/>
              </w:rPr>
              <w:t>10</w:t>
            </w:r>
            <w:r w:rsidR="006D134D" w:rsidRPr="000C6C74">
              <w:rPr>
                <w:bCs/>
                <w:sz w:val="24"/>
                <w:szCs w:val="20"/>
                <w:lang w:val="lv-LV"/>
              </w:rPr>
              <w:t xml:space="preserve"> dienas;</w:t>
            </w:r>
          </w:p>
          <w:p w14:paraId="15357A9B" w14:textId="053F4F07" w:rsidR="006D134D" w:rsidRPr="00286F43" w:rsidRDefault="00286F43" w:rsidP="00286F43">
            <w:pPr>
              <w:pStyle w:val="ListParagraph"/>
              <w:numPr>
                <w:ilvl w:val="0"/>
                <w:numId w:val="35"/>
              </w:numPr>
              <w:ind w:left="324"/>
              <w:jc w:val="both"/>
              <w:rPr>
                <w:bCs/>
                <w:szCs w:val="20"/>
                <w:lang w:val="lv-LV"/>
              </w:rPr>
            </w:pPr>
            <w:r w:rsidRPr="00286F43">
              <w:rPr>
                <w:bCs/>
                <w:szCs w:val="20"/>
                <w:lang w:val="lv-LV"/>
              </w:rPr>
              <w:t>Priekšlikums izmantot darba dienas, nevis kalendārās, ņemot vērā gadu mijas u.tml. svētkus, kur iespējamas vairākas brīvdienas pēc kārtas, t.sk. pārceltās darba dienas</w:t>
            </w:r>
            <w:r>
              <w:rPr>
                <w:bCs/>
                <w:szCs w:val="20"/>
                <w:lang w:val="lv-LV"/>
              </w:rPr>
              <w:t>.</w:t>
            </w:r>
            <w:r>
              <w:rPr>
                <w:bCs/>
                <w:szCs w:val="20"/>
                <w:lang w:val="lv-LV"/>
              </w:rPr>
              <w:br/>
            </w:r>
            <w:r w:rsidRPr="00286F43">
              <w:rPr>
                <w:bCs/>
                <w:szCs w:val="20"/>
                <w:lang w:val="lv-LV"/>
              </w:rPr>
              <w:lastRenderedPageBreak/>
              <w:t>Praksē tiek pielietoti dažādi piegādes termiņi atkarībā no preces pieejamības – 7, 14, 21, 30 vai 42 kalendārās dienas</w:t>
            </w:r>
            <w:r>
              <w:rPr>
                <w:bCs/>
                <w:szCs w:val="20"/>
                <w:lang w:val="lv-LV"/>
              </w:rPr>
              <w:t>.</w:t>
            </w:r>
          </w:p>
        </w:tc>
        <w:tc>
          <w:tcPr>
            <w:tcW w:w="4253" w:type="dxa"/>
          </w:tcPr>
          <w:p w14:paraId="2144A29A" w14:textId="7F713569" w:rsidR="006D134D" w:rsidRPr="00286F43" w:rsidRDefault="006D134D" w:rsidP="006D134D">
            <w:pPr>
              <w:jc w:val="both"/>
              <w:rPr>
                <w:b/>
                <w:highlight w:val="yellow"/>
                <w:lang w:val="lv-LV"/>
              </w:rPr>
            </w:pPr>
            <w:r w:rsidRPr="0064699C">
              <w:rPr>
                <w:lang w:val="lv-LV"/>
              </w:rPr>
              <w:lastRenderedPageBreak/>
              <w:t xml:space="preserve">Iepirkuma komisija lems par preces piegādes termiņu, kārtību un noteiks to atklāta konkursa nolikumā. </w:t>
            </w:r>
          </w:p>
        </w:tc>
      </w:tr>
      <w:tr w:rsidR="006D134D" w:rsidRPr="000A090C" w14:paraId="54E2FD5B" w14:textId="77777777" w:rsidTr="004878AE">
        <w:tc>
          <w:tcPr>
            <w:tcW w:w="3828" w:type="dxa"/>
            <w:vAlign w:val="center"/>
          </w:tcPr>
          <w:p w14:paraId="719061F8" w14:textId="7BBEDEDD" w:rsidR="006D134D" w:rsidRPr="002C750E" w:rsidRDefault="006D134D" w:rsidP="006D134D">
            <w:pPr>
              <w:pStyle w:val="Subtitle"/>
              <w:spacing w:before="120" w:after="120"/>
              <w:jc w:val="both"/>
              <w:rPr>
                <w:szCs w:val="24"/>
                <w:lang w:val="lv-LV"/>
              </w:rPr>
            </w:pPr>
            <w:r w:rsidRPr="006D134D">
              <w:rPr>
                <w:szCs w:val="24"/>
                <w:lang w:val="lv-LV"/>
              </w:rPr>
              <w:t>Nekvalitatīvas un līguma noteikumiem neatbilstošas Preces apmaiņas termiņš garantijas laikā,</w:t>
            </w:r>
            <w:r w:rsidRPr="006D134D">
              <w:rPr>
                <w:u w:val="single"/>
                <w:lang w:val="lv-LV"/>
              </w:rPr>
              <w:t xml:space="preserve"> kalendārajās dienās.</w:t>
            </w:r>
          </w:p>
        </w:tc>
        <w:tc>
          <w:tcPr>
            <w:tcW w:w="5953" w:type="dxa"/>
          </w:tcPr>
          <w:p w14:paraId="6622267D" w14:textId="0876F242" w:rsidR="006D134D" w:rsidRPr="00C84460" w:rsidRDefault="00286F43" w:rsidP="006D134D">
            <w:pPr>
              <w:pStyle w:val="ListParagraph"/>
              <w:numPr>
                <w:ilvl w:val="0"/>
                <w:numId w:val="36"/>
              </w:numPr>
              <w:ind w:left="318"/>
              <w:jc w:val="both"/>
              <w:rPr>
                <w:bCs/>
                <w:sz w:val="24"/>
                <w:szCs w:val="20"/>
                <w:lang w:val="lv-LV"/>
              </w:rPr>
            </w:pPr>
            <w:r>
              <w:rPr>
                <w:bCs/>
                <w:sz w:val="24"/>
                <w:szCs w:val="20"/>
                <w:lang w:val="lv-LV"/>
              </w:rPr>
              <w:t>5</w:t>
            </w:r>
            <w:r w:rsidR="006D134D" w:rsidRPr="00C84460">
              <w:rPr>
                <w:bCs/>
                <w:sz w:val="24"/>
                <w:szCs w:val="20"/>
                <w:lang w:val="lv-LV"/>
              </w:rPr>
              <w:t xml:space="preserve"> dienas;</w:t>
            </w:r>
          </w:p>
          <w:p w14:paraId="4B0B5F0E" w14:textId="4D409950" w:rsidR="006D134D" w:rsidRPr="00286F43" w:rsidRDefault="00286F43" w:rsidP="00286F43">
            <w:pPr>
              <w:pStyle w:val="ListParagraph"/>
              <w:numPr>
                <w:ilvl w:val="0"/>
                <w:numId w:val="36"/>
              </w:numPr>
              <w:tabs>
                <w:tab w:val="center" w:pos="4153"/>
                <w:tab w:val="right" w:pos="8306"/>
              </w:tabs>
              <w:spacing w:line="276" w:lineRule="auto"/>
              <w:ind w:left="324"/>
              <w:outlineLvl w:val="0"/>
              <w:rPr>
                <w:color w:val="000000"/>
                <w:lang w:val="lv-LV"/>
              </w:rPr>
            </w:pPr>
            <w:r w:rsidRPr="00286F43">
              <w:rPr>
                <w:color w:val="000000"/>
                <w:lang w:val="lv-LV"/>
              </w:rPr>
              <w:t>Priekšlikums izmantot darba dienas, nevis kalendārās, ņemot vērā gadu mijas u.tml. svētkus, kur iespējamas vairākas brīvdienas pēc kārtas, t.sk. pārceltās darba dienas</w:t>
            </w:r>
            <w:r>
              <w:rPr>
                <w:color w:val="000000"/>
                <w:lang w:val="lv-LV"/>
              </w:rPr>
              <w:t>.</w:t>
            </w:r>
            <w:r>
              <w:rPr>
                <w:color w:val="000000"/>
                <w:lang w:val="lv-LV"/>
              </w:rPr>
              <w:br/>
            </w:r>
            <w:r w:rsidRPr="00286F43">
              <w:rPr>
                <w:bCs/>
              </w:rPr>
              <w:t xml:space="preserve">7 </w:t>
            </w:r>
            <w:r w:rsidRPr="00805792">
              <w:rPr>
                <w:bCs/>
                <w:lang w:val="lv-LV"/>
              </w:rPr>
              <w:t>kalendārās dienas.</w:t>
            </w:r>
          </w:p>
        </w:tc>
        <w:tc>
          <w:tcPr>
            <w:tcW w:w="4253" w:type="dxa"/>
          </w:tcPr>
          <w:p w14:paraId="6D3993AB" w14:textId="1EC02DC1" w:rsidR="006D134D" w:rsidRPr="0064699C" w:rsidRDefault="006D134D" w:rsidP="006D134D">
            <w:pPr>
              <w:jc w:val="both"/>
              <w:rPr>
                <w:b/>
                <w:lang w:val="lv-LV"/>
              </w:rPr>
            </w:pPr>
            <w:r w:rsidRPr="0064699C">
              <w:rPr>
                <w:lang w:val="lv-LV"/>
              </w:rPr>
              <w:t>Iepirkuma komisija lems par nekvalitatīvas un līguma noteikumiem neatbilstošas Preces apmaiņas termiņu garantijas laikā un noteiks to atklāta konkursa nolikumā.</w:t>
            </w:r>
          </w:p>
        </w:tc>
      </w:tr>
    </w:tbl>
    <w:p w14:paraId="255B0126" w14:textId="77777777" w:rsidR="0086643D" w:rsidRDefault="0086643D" w:rsidP="00DE54E1">
      <w:pPr>
        <w:jc w:val="center"/>
        <w:rPr>
          <w:b/>
        </w:rPr>
      </w:pPr>
    </w:p>
    <w:p w14:paraId="187AD52E" w14:textId="77777777" w:rsidR="00470CAF" w:rsidRDefault="00470CAF" w:rsidP="00470CAF">
      <w:pPr>
        <w:numPr>
          <w:ilvl w:val="0"/>
          <w:numId w:val="5"/>
        </w:numPr>
        <w:ind w:left="426" w:right="253"/>
        <w:contextualSpacing/>
        <w:jc w:val="both"/>
      </w:pPr>
      <w:r w:rsidRPr="006C0D15">
        <w:rPr>
          <w:u w:val="single"/>
        </w:rPr>
        <w:t>Vērtējums par apspriedes laikā saņemtajiem ieinteresēto piegādātāju priekšlikumiem:</w:t>
      </w:r>
      <w:r w:rsidRPr="006C0D15">
        <w:t xml:space="preserve"> visi saņemtie priekšlikumi ir izvērtēti un iespēju robežās tiks ņemti vērā, izstrādājot iepirkuma dokumentāciju.</w:t>
      </w:r>
    </w:p>
    <w:p w14:paraId="4F6F7595" w14:textId="77777777" w:rsidR="00470CAF" w:rsidRDefault="00470CAF" w:rsidP="00470CAF">
      <w:pPr>
        <w:numPr>
          <w:ilvl w:val="0"/>
          <w:numId w:val="5"/>
        </w:numPr>
        <w:ind w:left="426" w:right="253"/>
        <w:contextualSpacing/>
        <w:jc w:val="both"/>
      </w:pPr>
      <w:r w:rsidRPr="006C0D15">
        <w:rPr>
          <w:u w:val="single"/>
        </w:rPr>
        <w:t>Iespējamā konkurence iepirkumā</w:t>
      </w:r>
      <w:r w:rsidRPr="006C0D15">
        <w:t>: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p>
    <w:p w14:paraId="558BC8F4" w14:textId="0418C3FA" w:rsidR="002C63BE" w:rsidRPr="000A090C" w:rsidRDefault="002C63BE" w:rsidP="004A4C26">
      <w:pPr>
        <w:ind w:left="66" w:right="253"/>
        <w:contextualSpacing/>
        <w:jc w:val="both"/>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19"/>
        <w:gridCol w:w="2835"/>
      </w:tblGrid>
      <w:tr w:rsidR="004A4C26" w:rsidRPr="000A090C" w14:paraId="3C973178" w14:textId="77777777" w:rsidTr="000A090C">
        <w:trPr>
          <w:trHeight w:val="567"/>
        </w:trPr>
        <w:tc>
          <w:tcPr>
            <w:tcW w:w="3544" w:type="dxa"/>
            <w:tcBorders>
              <w:top w:val="nil"/>
              <w:left w:val="nil"/>
              <w:bottom w:val="nil"/>
              <w:right w:val="nil"/>
            </w:tcBorders>
            <w:shd w:val="clear" w:color="auto" w:fill="auto"/>
            <w:vAlign w:val="bottom"/>
          </w:tcPr>
          <w:p w14:paraId="2C295C38" w14:textId="77777777" w:rsidR="004A4C26" w:rsidRPr="000A090C" w:rsidRDefault="004A4C26" w:rsidP="004A4C26">
            <w:pPr>
              <w:jc w:val="both"/>
              <w:rPr>
                <w:rFonts w:eastAsiaTheme="minorHAnsi" w:cs="Verdana"/>
                <w:lang w:eastAsia="en-US"/>
              </w:rPr>
            </w:pPr>
          </w:p>
          <w:p w14:paraId="49C3968D" w14:textId="6F6D6264" w:rsidR="004A4C26" w:rsidRPr="000A090C" w:rsidRDefault="004A4C26" w:rsidP="004A4C26">
            <w:pPr>
              <w:jc w:val="both"/>
              <w:rPr>
                <w:rFonts w:eastAsiaTheme="minorHAnsi" w:cs="Verdana"/>
                <w:lang w:eastAsia="en-US"/>
              </w:rPr>
            </w:pPr>
            <w:r w:rsidRPr="000A090C">
              <w:rPr>
                <w:rFonts w:eastAsiaTheme="minorHAnsi" w:cs="Verdana"/>
                <w:lang w:eastAsia="en-US"/>
              </w:rPr>
              <w:t>Komisijas priekšsēdētāj</w:t>
            </w:r>
            <w:r w:rsidR="004525DC">
              <w:rPr>
                <w:rFonts w:eastAsiaTheme="minorHAnsi" w:cs="Verdana"/>
                <w:lang w:eastAsia="en-US"/>
              </w:rPr>
              <w:t>a</w:t>
            </w:r>
            <w:r w:rsidRPr="000A090C">
              <w:rPr>
                <w:rFonts w:eastAsiaTheme="minorHAnsi" w:cs="Verdana"/>
                <w:lang w:eastAsia="en-US"/>
              </w:rPr>
              <w:t>:</w:t>
            </w:r>
          </w:p>
        </w:tc>
        <w:tc>
          <w:tcPr>
            <w:tcW w:w="3119" w:type="dxa"/>
            <w:tcBorders>
              <w:top w:val="nil"/>
              <w:left w:val="nil"/>
              <w:bottom w:val="nil"/>
              <w:right w:val="nil"/>
            </w:tcBorders>
            <w:shd w:val="clear" w:color="auto" w:fill="auto"/>
            <w:vAlign w:val="bottom"/>
          </w:tcPr>
          <w:p w14:paraId="6F7380A0" w14:textId="41E38237" w:rsidR="004A4C26" w:rsidRPr="000A090C" w:rsidRDefault="004A4C26" w:rsidP="004A4C26">
            <w:pPr>
              <w:jc w:val="both"/>
              <w:rPr>
                <w:rFonts w:eastAsiaTheme="minorHAnsi" w:cs="Verdana"/>
                <w:lang w:eastAsia="en-US"/>
              </w:rPr>
            </w:pPr>
            <w:r w:rsidRPr="000A090C">
              <w:rPr>
                <w:rFonts w:eastAsiaTheme="minorHAnsi" w:cs="Verdana"/>
                <w:lang w:eastAsia="en-US"/>
              </w:rPr>
              <w:t>(paraksts)*</w:t>
            </w:r>
          </w:p>
        </w:tc>
        <w:tc>
          <w:tcPr>
            <w:tcW w:w="2835" w:type="dxa"/>
            <w:tcBorders>
              <w:top w:val="nil"/>
              <w:left w:val="nil"/>
              <w:bottom w:val="nil"/>
              <w:right w:val="nil"/>
            </w:tcBorders>
            <w:shd w:val="clear" w:color="auto" w:fill="auto"/>
            <w:vAlign w:val="bottom"/>
          </w:tcPr>
          <w:p w14:paraId="3D1A7F6C" w14:textId="1316998F" w:rsidR="004A4C26" w:rsidRPr="000A090C" w:rsidRDefault="004525DC" w:rsidP="004A4C26">
            <w:pPr>
              <w:jc w:val="both"/>
              <w:rPr>
                <w:rFonts w:eastAsiaTheme="minorHAnsi" w:cs="Verdana"/>
                <w:lang w:eastAsia="en-US"/>
              </w:rPr>
            </w:pPr>
            <w:r>
              <w:rPr>
                <w:rFonts w:eastAsiaTheme="minorHAnsi" w:cs="Verdana"/>
                <w:lang w:eastAsia="en-US"/>
              </w:rPr>
              <w:t>L</w:t>
            </w:r>
            <w:r w:rsidR="00E35E07">
              <w:rPr>
                <w:rFonts w:eastAsiaTheme="minorHAnsi" w:cs="Verdana"/>
                <w:lang w:eastAsia="en-US"/>
              </w:rPr>
              <w:t>. </w:t>
            </w:r>
            <w:r>
              <w:rPr>
                <w:rFonts w:eastAsiaTheme="minorHAnsi" w:cs="Verdana"/>
                <w:lang w:eastAsia="en-US"/>
              </w:rPr>
              <w:t>Pudāne</w:t>
            </w:r>
          </w:p>
        </w:tc>
      </w:tr>
    </w:tbl>
    <w:p w14:paraId="1A76D1CA" w14:textId="5BEAF04F" w:rsidR="000A090C" w:rsidRDefault="000A090C" w:rsidP="000A090C">
      <w:pPr>
        <w:jc w:val="both"/>
        <w:rPr>
          <w:rFonts w:eastAsia="Calibri"/>
          <w:noProof/>
          <w:sz w:val="16"/>
          <w:szCs w:val="16"/>
          <w:lang w:eastAsia="en-US"/>
        </w:rPr>
      </w:pPr>
    </w:p>
    <w:p w14:paraId="5F11ED6D" w14:textId="4DCE498F" w:rsidR="00FF5C16" w:rsidRDefault="00FF5C16" w:rsidP="000A090C">
      <w:pPr>
        <w:jc w:val="both"/>
        <w:rPr>
          <w:rFonts w:eastAsia="Calibri"/>
          <w:noProof/>
          <w:sz w:val="16"/>
          <w:szCs w:val="16"/>
          <w:lang w:eastAsia="en-US"/>
        </w:rPr>
      </w:pPr>
    </w:p>
    <w:p w14:paraId="7DE8E06A" w14:textId="69F6512B" w:rsidR="00FF5C16" w:rsidRDefault="00FF5C16" w:rsidP="000A090C">
      <w:pPr>
        <w:jc w:val="both"/>
        <w:rPr>
          <w:rFonts w:eastAsia="Calibri"/>
          <w:noProof/>
          <w:sz w:val="16"/>
          <w:szCs w:val="16"/>
          <w:lang w:eastAsia="en-US"/>
        </w:rPr>
      </w:pPr>
    </w:p>
    <w:p w14:paraId="053FF660" w14:textId="01DB79E6" w:rsidR="00FF5C16" w:rsidRDefault="00FF5C16" w:rsidP="000A090C">
      <w:pPr>
        <w:jc w:val="both"/>
        <w:rPr>
          <w:rFonts w:eastAsia="Calibri"/>
          <w:noProof/>
          <w:sz w:val="16"/>
          <w:szCs w:val="16"/>
          <w:lang w:eastAsia="en-US"/>
        </w:rPr>
      </w:pPr>
    </w:p>
    <w:p w14:paraId="5BE028CC" w14:textId="4189F573" w:rsidR="00FF5C16" w:rsidRDefault="00FF5C16" w:rsidP="000A090C">
      <w:pPr>
        <w:jc w:val="both"/>
        <w:rPr>
          <w:rFonts w:eastAsia="Calibri"/>
          <w:noProof/>
          <w:sz w:val="16"/>
          <w:szCs w:val="16"/>
          <w:lang w:eastAsia="en-US"/>
        </w:rPr>
      </w:pPr>
    </w:p>
    <w:p w14:paraId="649A175D" w14:textId="067F3BC8" w:rsidR="00FF5C16" w:rsidRDefault="00FF5C16" w:rsidP="000A090C">
      <w:pPr>
        <w:jc w:val="both"/>
        <w:rPr>
          <w:rFonts w:eastAsia="Calibri"/>
          <w:noProof/>
          <w:sz w:val="16"/>
          <w:szCs w:val="16"/>
          <w:lang w:eastAsia="en-US"/>
        </w:rPr>
      </w:pPr>
    </w:p>
    <w:p w14:paraId="5A2517D5" w14:textId="77777777" w:rsidR="00FF5C16" w:rsidRPr="000A090C" w:rsidRDefault="00FF5C16" w:rsidP="000A090C">
      <w:pPr>
        <w:jc w:val="both"/>
        <w:rPr>
          <w:rFonts w:eastAsia="Calibri"/>
          <w:noProof/>
          <w:sz w:val="16"/>
          <w:szCs w:val="16"/>
          <w:lang w:eastAsia="en-US"/>
        </w:rPr>
      </w:pPr>
    </w:p>
    <w:p w14:paraId="6C5DF4E8" w14:textId="5C85F78D" w:rsidR="000A090C" w:rsidRPr="000A090C" w:rsidRDefault="000A090C" w:rsidP="000A090C">
      <w:pPr>
        <w:jc w:val="both"/>
        <w:rPr>
          <w:rFonts w:eastAsia="Calibri"/>
          <w:sz w:val="16"/>
          <w:szCs w:val="16"/>
          <w:lang w:eastAsia="en-US"/>
        </w:rPr>
      </w:pPr>
      <w:r w:rsidRPr="000A090C">
        <w:rPr>
          <w:rFonts w:eastAsia="Calibri"/>
          <w:noProof/>
          <w:sz w:val="16"/>
          <w:szCs w:val="16"/>
          <w:lang w:eastAsia="en-US"/>
        </w:rPr>
        <w:t>Daiga Lindiša</w:t>
      </w:r>
      <w:r w:rsidRPr="000A090C">
        <w:rPr>
          <w:rFonts w:eastAsia="Calibri"/>
          <w:sz w:val="16"/>
          <w:szCs w:val="16"/>
          <w:lang w:eastAsia="en-US"/>
        </w:rPr>
        <w:t>,</w:t>
      </w:r>
      <w:r w:rsidRPr="000A090C">
        <w:rPr>
          <w:rFonts w:eastAsia="Calibri"/>
          <w:noProof/>
          <w:sz w:val="16"/>
          <w:szCs w:val="16"/>
          <w:lang w:eastAsia="en-US"/>
        </w:rPr>
        <w:t xml:space="preserve"> 26189775</w:t>
      </w:r>
      <w:r w:rsidRPr="000A090C">
        <w:rPr>
          <w:rFonts w:eastAsia="Calibri"/>
          <w:sz w:val="16"/>
          <w:szCs w:val="16"/>
          <w:lang w:eastAsia="en-US"/>
        </w:rPr>
        <w:t xml:space="preserve"> </w:t>
      </w:r>
    </w:p>
    <w:p w14:paraId="45230D22" w14:textId="0AB2A1DB" w:rsidR="004A4C26" w:rsidRPr="00C56A31" w:rsidRDefault="000A090C" w:rsidP="00C56A31">
      <w:pPr>
        <w:tabs>
          <w:tab w:val="center" w:pos="4513"/>
          <w:tab w:val="right" w:pos="9026"/>
        </w:tabs>
        <w:rPr>
          <w:rFonts w:eastAsia="Calibri"/>
          <w:sz w:val="20"/>
          <w:szCs w:val="20"/>
          <w:lang w:eastAsia="en-US"/>
        </w:rPr>
      </w:pPr>
      <w:r w:rsidRPr="000A090C">
        <w:rPr>
          <w:rFonts w:eastAsia="Calibri"/>
          <w:noProof/>
          <w:sz w:val="16"/>
          <w:szCs w:val="16"/>
          <w:lang w:eastAsia="en-US"/>
        </w:rPr>
        <w:t>daiga.lindisa@valic.gov.lv</w:t>
      </w:r>
    </w:p>
    <w:sectPr w:rsidR="004A4C26" w:rsidRPr="00C56A31" w:rsidSect="00975305">
      <w:footerReference w:type="default" r:id="rId8"/>
      <w:footerReference w:type="first" r:id="rId9"/>
      <w:pgSz w:w="16838" w:h="11906" w:orient="landscape"/>
      <w:pgMar w:top="851" w:right="1800" w:bottom="1276" w:left="1134" w:header="708" w:footer="3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00F5" w14:textId="77777777" w:rsidR="009654D7" w:rsidRDefault="009654D7" w:rsidP="00186424">
      <w:r>
        <w:separator/>
      </w:r>
    </w:p>
  </w:endnote>
  <w:endnote w:type="continuationSeparator" w:id="0">
    <w:p w14:paraId="6ABF1B8E" w14:textId="77777777" w:rsidR="009654D7" w:rsidRDefault="009654D7" w:rsidP="001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imTimes">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508121"/>
      <w:docPartObj>
        <w:docPartGallery w:val="Page Numbers (Bottom of Page)"/>
        <w:docPartUnique/>
      </w:docPartObj>
    </w:sdtPr>
    <w:sdtEndPr>
      <w:rPr>
        <w:noProof/>
        <w:sz w:val="20"/>
        <w:szCs w:val="20"/>
      </w:rPr>
    </w:sdtEndPr>
    <w:sdtContent>
      <w:p w14:paraId="2A781093" w14:textId="09D59585" w:rsidR="003D1B9A" w:rsidRPr="003D1B9A" w:rsidRDefault="003D1B9A">
        <w:pPr>
          <w:pStyle w:val="Footer"/>
          <w:jc w:val="center"/>
          <w:rPr>
            <w:sz w:val="20"/>
            <w:szCs w:val="20"/>
          </w:rPr>
        </w:pPr>
        <w:r w:rsidRPr="003D1B9A">
          <w:rPr>
            <w:sz w:val="20"/>
            <w:szCs w:val="20"/>
          </w:rPr>
          <w:fldChar w:fldCharType="begin"/>
        </w:r>
        <w:r w:rsidRPr="003D1B9A">
          <w:rPr>
            <w:sz w:val="20"/>
            <w:szCs w:val="20"/>
          </w:rPr>
          <w:instrText xml:space="preserve"> PAGE   \* MERGEFORMAT </w:instrText>
        </w:r>
        <w:r w:rsidRPr="003D1B9A">
          <w:rPr>
            <w:sz w:val="20"/>
            <w:szCs w:val="20"/>
          </w:rPr>
          <w:fldChar w:fldCharType="separate"/>
        </w:r>
        <w:r w:rsidR="00E16C70">
          <w:rPr>
            <w:noProof/>
            <w:sz w:val="20"/>
            <w:szCs w:val="20"/>
          </w:rPr>
          <w:t>10</w:t>
        </w:r>
        <w:r w:rsidRPr="003D1B9A">
          <w:rPr>
            <w:noProof/>
            <w:sz w:val="20"/>
            <w:szCs w:val="20"/>
          </w:rPr>
          <w:fldChar w:fldCharType="end"/>
        </w:r>
      </w:p>
    </w:sdtContent>
  </w:sdt>
  <w:p w14:paraId="5AAD6452" w14:textId="52D7754C" w:rsidR="003D1B9A" w:rsidRPr="007C04B1" w:rsidRDefault="003D1B9A" w:rsidP="003D1B9A">
    <w:pPr>
      <w:pStyle w:val="Footer"/>
      <w:rPr>
        <w:sz w:val="16"/>
        <w:szCs w:val="16"/>
      </w:rPr>
    </w:pPr>
    <w:r>
      <w:rPr>
        <w:rFonts w:eastAsia="Calibri"/>
        <w:noProof/>
        <w:sz w:val="16"/>
        <w:szCs w:val="16"/>
        <w:lang w:eastAsia="en-US"/>
      </w:rPr>
      <w:t xml:space="preserve">VALIC </w:t>
    </w:r>
    <w:r w:rsidRPr="007C04B1">
      <w:rPr>
        <w:rFonts w:eastAsia="Calibri"/>
        <w:noProof/>
        <w:sz w:val="16"/>
        <w:szCs w:val="16"/>
        <w:lang w:eastAsia="en-US"/>
      </w:rPr>
      <w:t>202</w:t>
    </w:r>
    <w:r w:rsidR="00066758">
      <w:rPr>
        <w:rFonts w:eastAsia="Calibri"/>
        <w:noProof/>
        <w:sz w:val="16"/>
        <w:szCs w:val="16"/>
        <w:lang w:eastAsia="en-US"/>
      </w:rPr>
      <w:t>5</w:t>
    </w:r>
    <w:r w:rsidRPr="007C04B1">
      <w:rPr>
        <w:rFonts w:eastAsia="Calibri"/>
        <w:noProof/>
        <w:sz w:val="16"/>
        <w:szCs w:val="16"/>
        <w:lang w:eastAsia="en-US"/>
      </w:rPr>
      <w:t>/0</w:t>
    </w:r>
    <w:r w:rsidR="006D134D">
      <w:rPr>
        <w:rFonts w:eastAsia="Calibri"/>
        <w:noProof/>
        <w:sz w:val="16"/>
        <w:szCs w:val="16"/>
        <w:lang w:eastAsia="en-US"/>
      </w:rPr>
      <w:t>82</w:t>
    </w:r>
    <w:r w:rsidRPr="007C04B1">
      <w:rPr>
        <w:rFonts w:eastAsia="Calibri"/>
        <w:noProof/>
        <w:sz w:val="16"/>
        <w:szCs w:val="16"/>
        <w:lang w:eastAsia="en-US"/>
      </w:rPr>
      <w:t>/TN-P</w:t>
    </w:r>
    <w:r>
      <w:rPr>
        <w:rFonts w:eastAsia="Calibri"/>
        <w:noProof/>
        <w:sz w:val="16"/>
        <w:szCs w:val="16"/>
        <w:lang w:eastAsia="en-US"/>
      </w:rPr>
      <w:t>-AK</w:t>
    </w:r>
  </w:p>
  <w:p w14:paraId="62B634D6" w14:textId="77777777" w:rsidR="005E508A" w:rsidRPr="005E508A" w:rsidRDefault="005E508A" w:rsidP="005E508A">
    <w:pPr>
      <w:spacing w:before="120" w:after="120" w:line="276" w:lineRule="auto"/>
      <w:jc w:val="center"/>
      <w:rPr>
        <w:rFonts w:eastAsia="Calibri" w:cs="Verdana"/>
        <w:iCs/>
        <w:sz w:val="22"/>
        <w:szCs w:val="22"/>
        <w:lang w:eastAsia="en-US"/>
      </w:rPr>
    </w:pPr>
    <w:bookmarkStart w:id="2" w:name="_Hlk195688684"/>
    <w:r w:rsidRPr="005E508A">
      <w:rPr>
        <w:rFonts w:eastAsia="Calibri" w:cs="Verdana"/>
        <w:iCs/>
        <w:sz w:val="22"/>
        <w:szCs w:val="22"/>
        <w:lang w:eastAsia="en-US"/>
      </w:rPr>
      <w:t>DOKUMENTS IR ELEKTRONISKI PARAKSTĪTS AR DROŠU ELEKTRONISKO PARAKSTU UN SATUR LAIKA ZĪMOGU</w:t>
    </w:r>
  </w:p>
  <w:bookmarkEnd w:id="2"/>
  <w:p w14:paraId="63B36E90" w14:textId="2AEEE947" w:rsidR="00E728E9" w:rsidRPr="00430FF5" w:rsidRDefault="00E728E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5357" w14:textId="55E6AF4B" w:rsidR="003D1B9A" w:rsidRDefault="003D1B9A" w:rsidP="003D1B9A">
    <w:pPr>
      <w:pStyle w:val="Footer"/>
      <w:jc w:val="center"/>
    </w:pPr>
  </w:p>
  <w:p w14:paraId="0C27FDEF" w14:textId="117622F0" w:rsidR="003D1B9A" w:rsidRPr="007C04B1" w:rsidRDefault="003D1B9A" w:rsidP="003D1B9A">
    <w:pPr>
      <w:pStyle w:val="Footer"/>
      <w:rPr>
        <w:sz w:val="16"/>
        <w:szCs w:val="16"/>
      </w:rPr>
    </w:pPr>
    <w:r>
      <w:rPr>
        <w:rFonts w:eastAsia="Calibri"/>
        <w:noProof/>
        <w:sz w:val="16"/>
        <w:szCs w:val="16"/>
        <w:lang w:eastAsia="en-US"/>
      </w:rPr>
      <w:t xml:space="preserve">VALIC </w:t>
    </w:r>
    <w:r w:rsidRPr="007C04B1">
      <w:rPr>
        <w:rFonts w:eastAsia="Calibri"/>
        <w:noProof/>
        <w:sz w:val="16"/>
        <w:szCs w:val="16"/>
        <w:lang w:eastAsia="en-US"/>
      </w:rPr>
      <w:t>20</w:t>
    </w:r>
    <w:r w:rsidR="0056127F">
      <w:rPr>
        <w:rFonts w:eastAsia="Calibri"/>
        <w:noProof/>
        <w:sz w:val="16"/>
        <w:szCs w:val="16"/>
        <w:lang w:eastAsia="en-US"/>
      </w:rPr>
      <w:t>2</w:t>
    </w:r>
    <w:r w:rsidR="00066758">
      <w:rPr>
        <w:rFonts w:eastAsia="Calibri"/>
        <w:noProof/>
        <w:sz w:val="16"/>
        <w:szCs w:val="16"/>
        <w:lang w:eastAsia="en-US"/>
      </w:rPr>
      <w:t>5</w:t>
    </w:r>
    <w:r w:rsidRPr="007C04B1">
      <w:rPr>
        <w:rFonts w:eastAsia="Calibri"/>
        <w:noProof/>
        <w:sz w:val="16"/>
        <w:szCs w:val="16"/>
        <w:lang w:eastAsia="en-US"/>
      </w:rPr>
      <w:t>/0</w:t>
    </w:r>
    <w:r w:rsidR="006D134D">
      <w:rPr>
        <w:rFonts w:eastAsia="Calibri"/>
        <w:noProof/>
        <w:sz w:val="16"/>
        <w:szCs w:val="16"/>
        <w:lang w:eastAsia="en-US"/>
      </w:rPr>
      <w:t>82</w:t>
    </w:r>
    <w:r w:rsidRPr="007C04B1">
      <w:rPr>
        <w:rFonts w:eastAsia="Calibri"/>
        <w:noProof/>
        <w:sz w:val="16"/>
        <w:szCs w:val="16"/>
        <w:lang w:eastAsia="en-US"/>
      </w:rPr>
      <w:t>/TN-P-AK</w:t>
    </w:r>
  </w:p>
  <w:p w14:paraId="6B55EF0D" w14:textId="77777777" w:rsidR="00F34718" w:rsidRPr="005E508A" w:rsidRDefault="00F34718" w:rsidP="00F34718">
    <w:pPr>
      <w:spacing w:before="120" w:after="120" w:line="276" w:lineRule="auto"/>
      <w:jc w:val="center"/>
      <w:rPr>
        <w:rFonts w:eastAsia="Calibri" w:cs="Verdana"/>
        <w:iCs/>
        <w:sz w:val="22"/>
        <w:szCs w:val="22"/>
        <w:lang w:eastAsia="en-US"/>
      </w:rPr>
    </w:pPr>
    <w:r>
      <w:tab/>
    </w:r>
    <w:r w:rsidRPr="005E508A">
      <w:rPr>
        <w:rFonts w:eastAsia="Calibri" w:cs="Verdana"/>
        <w:iCs/>
        <w:sz w:val="22"/>
        <w:szCs w:val="22"/>
        <w:lang w:eastAsia="en-US"/>
      </w:rPr>
      <w:t>DOKUMENTS IR ELEKTRONISKI PARAKSTĪTS AR DROŠU ELEKTRONISKO PARAKSTU UN SATUR LAIKA ZĪMOGU</w:t>
    </w:r>
  </w:p>
  <w:p w14:paraId="50B20BB9" w14:textId="45C1B13A" w:rsidR="003D1B9A" w:rsidRDefault="003D1B9A" w:rsidP="009C5FE2">
    <w:pPr>
      <w:pStyle w:val="Footer"/>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C0A1" w14:textId="77777777" w:rsidR="009654D7" w:rsidRDefault="009654D7" w:rsidP="00186424">
      <w:r>
        <w:separator/>
      </w:r>
    </w:p>
  </w:footnote>
  <w:footnote w:type="continuationSeparator" w:id="0">
    <w:p w14:paraId="3344F3DE" w14:textId="77777777" w:rsidR="009654D7" w:rsidRDefault="009654D7" w:rsidP="0018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442"/>
    <w:multiLevelType w:val="hybridMultilevel"/>
    <w:tmpl w:val="A67C6948"/>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31" w:hanging="360"/>
      </w:pPr>
      <w:rPr>
        <w:rFonts w:ascii="Courier New" w:hAnsi="Courier New" w:cs="Courier New" w:hint="default"/>
      </w:rPr>
    </w:lvl>
    <w:lvl w:ilvl="2" w:tplc="04260005" w:tentative="1">
      <w:start w:val="1"/>
      <w:numFmt w:val="bullet"/>
      <w:lvlText w:val=""/>
      <w:lvlJc w:val="left"/>
      <w:pPr>
        <w:ind w:left="689" w:hanging="360"/>
      </w:pPr>
      <w:rPr>
        <w:rFonts w:ascii="Wingdings" w:hAnsi="Wingdings" w:hint="default"/>
      </w:rPr>
    </w:lvl>
    <w:lvl w:ilvl="3" w:tplc="04260001" w:tentative="1">
      <w:start w:val="1"/>
      <w:numFmt w:val="bullet"/>
      <w:lvlText w:val=""/>
      <w:lvlJc w:val="left"/>
      <w:pPr>
        <w:ind w:left="1409" w:hanging="360"/>
      </w:pPr>
      <w:rPr>
        <w:rFonts w:ascii="Symbol" w:hAnsi="Symbol" w:hint="default"/>
      </w:rPr>
    </w:lvl>
    <w:lvl w:ilvl="4" w:tplc="04260003" w:tentative="1">
      <w:start w:val="1"/>
      <w:numFmt w:val="bullet"/>
      <w:lvlText w:val="o"/>
      <w:lvlJc w:val="left"/>
      <w:pPr>
        <w:ind w:left="2129" w:hanging="360"/>
      </w:pPr>
      <w:rPr>
        <w:rFonts w:ascii="Courier New" w:hAnsi="Courier New" w:cs="Courier New" w:hint="default"/>
      </w:rPr>
    </w:lvl>
    <w:lvl w:ilvl="5" w:tplc="04260005" w:tentative="1">
      <w:start w:val="1"/>
      <w:numFmt w:val="bullet"/>
      <w:lvlText w:val=""/>
      <w:lvlJc w:val="left"/>
      <w:pPr>
        <w:ind w:left="2849" w:hanging="360"/>
      </w:pPr>
      <w:rPr>
        <w:rFonts w:ascii="Wingdings" w:hAnsi="Wingdings" w:hint="default"/>
      </w:rPr>
    </w:lvl>
    <w:lvl w:ilvl="6" w:tplc="04260001" w:tentative="1">
      <w:start w:val="1"/>
      <w:numFmt w:val="bullet"/>
      <w:lvlText w:val=""/>
      <w:lvlJc w:val="left"/>
      <w:pPr>
        <w:ind w:left="3569" w:hanging="360"/>
      </w:pPr>
      <w:rPr>
        <w:rFonts w:ascii="Symbol" w:hAnsi="Symbol" w:hint="default"/>
      </w:rPr>
    </w:lvl>
    <w:lvl w:ilvl="7" w:tplc="04260003" w:tentative="1">
      <w:start w:val="1"/>
      <w:numFmt w:val="bullet"/>
      <w:lvlText w:val="o"/>
      <w:lvlJc w:val="left"/>
      <w:pPr>
        <w:ind w:left="4289" w:hanging="360"/>
      </w:pPr>
      <w:rPr>
        <w:rFonts w:ascii="Courier New" w:hAnsi="Courier New" w:cs="Courier New" w:hint="default"/>
      </w:rPr>
    </w:lvl>
    <w:lvl w:ilvl="8" w:tplc="04260005" w:tentative="1">
      <w:start w:val="1"/>
      <w:numFmt w:val="bullet"/>
      <w:lvlText w:val=""/>
      <w:lvlJc w:val="left"/>
      <w:pPr>
        <w:ind w:left="5009" w:hanging="360"/>
      </w:pPr>
      <w:rPr>
        <w:rFonts w:ascii="Wingdings" w:hAnsi="Wingdings" w:hint="default"/>
      </w:rPr>
    </w:lvl>
  </w:abstractNum>
  <w:abstractNum w:abstractNumId="1" w15:restartNumberingAfterBreak="0">
    <w:nsid w:val="066340C4"/>
    <w:multiLevelType w:val="multilevel"/>
    <w:tmpl w:val="9F8A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8610F"/>
    <w:multiLevelType w:val="hybridMultilevel"/>
    <w:tmpl w:val="B3565F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A1296"/>
    <w:multiLevelType w:val="hybridMultilevel"/>
    <w:tmpl w:val="4ED6E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DE233C"/>
    <w:multiLevelType w:val="hybridMultilevel"/>
    <w:tmpl w:val="7A32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03154E"/>
    <w:multiLevelType w:val="hybridMultilevel"/>
    <w:tmpl w:val="7B7844B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4126B1"/>
    <w:multiLevelType w:val="hybridMultilevel"/>
    <w:tmpl w:val="9A727AEA"/>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E3917"/>
    <w:multiLevelType w:val="hybridMultilevel"/>
    <w:tmpl w:val="D4A8CC70"/>
    <w:lvl w:ilvl="0" w:tplc="2264DAF0">
      <w:start w:val="1"/>
      <w:numFmt w:val="lowerLetter"/>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8" w15:restartNumberingAfterBreak="0">
    <w:nsid w:val="1AD8136E"/>
    <w:multiLevelType w:val="hybridMultilevel"/>
    <w:tmpl w:val="EDB4B3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04425"/>
    <w:multiLevelType w:val="hybridMultilevel"/>
    <w:tmpl w:val="E3B4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4B6D"/>
    <w:multiLevelType w:val="hybridMultilevel"/>
    <w:tmpl w:val="B82A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A61AF"/>
    <w:multiLevelType w:val="hybridMultilevel"/>
    <w:tmpl w:val="5DF64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F3621F"/>
    <w:multiLevelType w:val="hybridMultilevel"/>
    <w:tmpl w:val="1D48A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57509B"/>
    <w:multiLevelType w:val="hybridMultilevel"/>
    <w:tmpl w:val="29FAB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026FC1"/>
    <w:multiLevelType w:val="hybridMultilevel"/>
    <w:tmpl w:val="FBDE1134"/>
    <w:lvl w:ilvl="0" w:tplc="872059FE">
      <w:start w:val="1"/>
      <w:numFmt w:val="decimal"/>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4644A"/>
    <w:multiLevelType w:val="hybridMultilevel"/>
    <w:tmpl w:val="F9ACE304"/>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410243"/>
    <w:multiLevelType w:val="hybridMultilevel"/>
    <w:tmpl w:val="D69CE144"/>
    <w:lvl w:ilvl="0" w:tplc="040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3D178A6"/>
    <w:multiLevelType w:val="hybridMultilevel"/>
    <w:tmpl w:val="2B3E5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F0D75CC"/>
    <w:multiLevelType w:val="hybridMultilevel"/>
    <w:tmpl w:val="B330C4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9D035C"/>
    <w:multiLevelType w:val="hybridMultilevel"/>
    <w:tmpl w:val="2E38A48A"/>
    <w:lvl w:ilvl="0" w:tplc="5BE617B8">
      <w:start w:val="1"/>
      <w:numFmt w:val="bullet"/>
      <w:lvlText w:val=""/>
      <w:lvlJc w:val="left"/>
      <w:pPr>
        <w:ind w:left="683" w:hanging="360"/>
      </w:pPr>
      <w:rPr>
        <w:rFonts w:ascii="Symbol" w:hAnsi="Symbol" w:hint="default"/>
        <w:sz w:val="24"/>
        <w:szCs w:val="24"/>
      </w:rPr>
    </w:lvl>
    <w:lvl w:ilvl="1" w:tplc="04260003" w:tentative="1">
      <w:start w:val="1"/>
      <w:numFmt w:val="bullet"/>
      <w:lvlText w:val="o"/>
      <w:lvlJc w:val="left"/>
      <w:pPr>
        <w:ind w:left="1403" w:hanging="360"/>
      </w:pPr>
      <w:rPr>
        <w:rFonts w:ascii="Courier New" w:hAnsi="Courier New" w:cs="Courier New" w:hint="default"/>
      </w:rPr>
    </w:lvl>
    <w:lvl w:ilvl="2" w:tplc="04260005" w:tentative="1">
      <w:start w:val="1"/>
      <w:numFmt w:val="bullet"/>
      <w:lvlText w:val=""/>
      <w:lvlJc w:val="left"/>
      <w:pPr>
        <w:ind w:left="2123" w:hanging="360"/>
      </w:pPr>
      <w:rPr>
        <w:rFonts w:ascii="Wingdings" w:hAnsi="Wingdings" w:hint="default"/>
      </w:rPr>
    </w:lvl>
    <w:lvl w:ilvl="3" w:tplc="04260001" w:tentative="1">
      <w:start w:val="1"/>
      <w:numFmt w:val="bullet"/>
      <w:lvlText w:val=""/>
      <w:lvlJc w:val="left"/>
      <w:pPr>
        <w:ind w:left="2843" w:hanging="360"/>
      </w:pPr>
      <w:rPr>
        <w:rFonts w:ascii="Symbol" w:hAnsi="Symbol" w:hint="default"/>
      </w:rPr>
    </w:lvl>
    <w:lvl w:ilvl="4" w:tplc="04260003" w:tentative="1">
      <w:start w:val="1"/>
      <w:numFmt w:val="bullet"/>
      <w:lvlText w:val="o"/>
      <w:lvlJc w:val="left"/>
      <w:pPr>
        <w:ind w:left="3563" w:hanging="360"/>
      </w:pPr>
      <w:rPr>
        <w:rFonts w:ascii="Courier New" w:hAnsi="Courier New" w:cs="Courier New" w:hint="default"/>
      </w:rPr>
    </w:lvl>
    <w:lvl w:ilvl="5" w:tplc="04260005" w:tentative="1">
      <w:start w:val="1"/>
      <w:numFmt w:val="bullet"/>
      <w:lvlText w:val=""/>
      <w:lvlJc w:val="left"/>
      <w:pPr>
        <w:ind w:left="4283" w:hanging="360"/>
      </w:pPr>
      <w:rPr>
        <w:rFonts w:ascii="Wingdings" w:hAnsi="Wingdings" w:hint="default"/>
      </w:rPr>
    </w:lvl>
    <w:lvl w:ilvl="6" w:tplc="04260001" w:tentative="1">
      <w:start w:val="1"/>
      <w:numFmt w:val="bullet"/>
      <w:lvlText w:val=""/>
      <w:lvlJc w:val="left"/>
      <w:pPr>
        <w:ind w:left="5003" w:hanging="360"/>
      </w:pPr>
      <w:rPr>
        <w:rFonts w:ascii="Symbol" w:hAnsi="Symbol" w:hint="default"/>
      </w:rPr>
    </w:lvl>
    <w:lvl w:ilvl="7" w:tplc="04260003" w:tentative="1">
      <w:start w:val="1"/>
      <w:numFmt w:val="bullet"/>
      <w:lvlText w:val="o"/>
      <w:lvlJc w:val="left"/>
      <w:pPr>
        <w:ind w:left="5723" w:hanging="360"/>
      </w:pPr>
      <w:rPr>
        <w:rFonts w:ascii="Courier New" w:hAnsi="Courier New" w:cs="Courier New" w:hint="default"/>
      </w:rPr>
    </w:lvl>
    <w:lvl w:ilvl="8" w:tplc="04260005" w:tentative="1">
      <w:start w:val="1"/>
      <w:numFmt w:val="bullet"/>
      <w:lvlText w:val=""/>
      <w:lvlJc w:val="left"/>
      <w:pPr>
        <w:ind w:left="6443" w:hanging="360"/>
      </w:pPr>
      <w:rPr>
        <w:rFonts w:ascii="Wingdings" w:hAnsi="Wingdings" w:hint="default"/>
      </w:rPr>
    </w:lvl>
  </w:abstractNum>
  <w:abstractNum w:abstractNumId="21" w15:restartNumberingAfterBreak="0">
    <w:nsid w:val="54B265B0"/>
    <w:multiLevelType w:val="multilevel"/>
    <w:tmpl w:val="7B1EA69E"/>
    <w:lvl w:ilvl="0">
      <w:start w:val="1"/>
      <w:numFmt w:val="decimal"/>
      <w:lvlText w:val="%1."/>
      <w:lvlJc w:val="left"/>
      <w:pPr>
        <w:ind w:left="360" w:hanging="360"/>
      </w:pPr>
      <w:rPr>
        <w:rFonts w:hint="default"/>
        <w:b/>
        <w:sz w:val="24"/>
        <w:szCs w:val="2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B77A0A"/>
    <w:multiLevelType w:val="hybridMultilevel"/>
    <w:tmpl w:val="0B8C4CE4"/>
    <w:lvl w:ilvl="0" w:tplc="5E10009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91995"/>
    <w:multiLevelType w:val="hybridMultilevel"/>
    <w:tmpl w:val="7AE2C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472AFF"/>
    <w:multiLevelType w:val="hybridMultilevel"/>
    <w:tmpl w:val="66844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1996652"/>
    <w:multiLevelType w:val="hybridMultilevel"/>
    <w:tmpl w:val="2E2A6F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8E3CAB"/>
    <w:multiLevelType w:val="hybridMultilevel"/>
    <w:tmpl w:val="657CB958"/>
    <w:lvl w:ilvl="0" w:tplc="ABC088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CA5418"/>
    <w:multiLevelType w:val="hybridMultilevel"/>
    <w:tmpl w:val="36500C6E"/>
    <w:lvl w:ilvl="0" w:tplc="EA9A9FA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8" w15:restartNumberingAfterBreak="0">
    <w:nsid w:val="678D50AC"/>
    <w:multiLevelType w:val="hybridMultilevel"/>
    <w:tmpl w:val="8DB86A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75337C"/>
    <w:multiLevelType w:val="hybridMultilevel"/>
    <w:tmpl w:val="F9ACE304"/>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897CCE"/>
    <w:multiLevelType w:val="hybridMultilevel"/>
    <w:tmpl w:val="4ED6E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AC6681"/>
    <w:multiLevelType w:val="hybridMultilevel"/>
    <w:tmpl w:val="6114CAD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1104B5D"/>
    <w:multiLevelType w:val="hybridMultilevel"/>
    <w:tmpl w:val="0B4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72835"/>
    <w:multiLevelType w:val="hybridMultilevel"/>
    <w:tmpl w:val="ACE6A6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4F21F9"/>
    <w:multiLevelType w:val="hybridMultilevel"/>
    <w:tmpl w:val="18247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274DCA"/>
    <w:multiLevelType w:val="hybridMultilevel"/>
    <w:tmpl w:val="ACE6A6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756BE4"/>
    <w:multiLevelType w:val="hybridMultilevel"/>
    <w:tmpl w:val="9FB68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CF390F"/>
    <w:multiLevelType w:val="hybridMultilevel"/>
    <w:tmpl w:val="6BB8E08C"/>
    <w:lvl w:ilvl="0" w:tplc="993E6440">
      <w:start w:val="1"/>
      <w:numFmt w:val="lowerLetter"/>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D82461"/>
    <w:multiLevelType w:val="hybridMultilevel"/>
    <w:tmpl w:val="AEC65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7"/>
  </w:num>
  <w:num w:numId="2">
    <w:abstractNumId w:val="21"/>
  </w:num>
  <w:num w:numId="3">
    <w:abstractNumId w:val="6"/>
  </w:num>
  <w:num w:numId="4">
    <w:abstractNumId w:val="9"/>
  </w:num>
  <w:num w:numId="5">
    <w:abstractNumId w:val="18"/>
  </w:num>
  <w:num w:numId="6">
    <w:abstractNumId w:val="32"/>
  </w:num>
  <w:num w:numId="7">
    <w:abstractNumId w:val="2"/>
  </w:num>
  <w:num w:numId="8">
    <w:abstractNumId w:val="17"/>
  </w:num>
  <w:num w:numId="9">
    <w:abstractNumId w:val="36"/>
  </w:num>
  <w:num w:numId="10">
    <w:abstractNumId w:val="24"/>
  </w:num>
  <w:num w:numId="11">
    <w:abstractNumId w:val="34"/>
  </w:num>
  <w:num w:numId="12">
    <w:abstractNumId w:val="16"/>
  </w:num>
  <w:num w:numId="13">
    <w:abstractNumId w:val="31"/>
  </w:num>
  <w:num w:numId="14">
    <w:abstractNumId w:val="11"/>
  </w:num>
  <w:num w:numId="15">
    <w:abstractNumId w:val="14"/>
  </w:num>
  <w:num w:numId="16">
    <w:abstractNumId w:val="38"/>
  </w:num>
  <w:num w:numId="17">
    <w:abstractNumId w:val="12"/>
  </w:num>
  <w:num w:numId="18">
    <w:abstractNumId w:val="19"/>
  </w:num>
  <w:num w:numId="19">
    <w:abstractNumId w:val="0"/>
  </w:num>
  <w:num w:numId="20">
    <w:abstractNumId w:val="25"/>
  </w:num>
  <w:num w:numId="21">
    <w:abstractNumId w:val="26"/>
  </w:num>
  <w:num w:numId="22">
    <w:abstractNumId w:val="13"/>
  </w:num>
  <w:num w:numId="23">
    <w:abstractNumId w:val="15"/>
  </w:num>
  <w:num w:numId="24">
    <w:abstractNumId w:val="20"/>
  </w:num>
  <w:num w:numId="25">
    <w:abstractNumId w:val="5"/>
  </w:num>
  <w:num w:numId="26">
    <w:abstractNumId w:val="10"/>
  </w:num>
  <w:num w:numId="27">
    <w:abstractNumId w:val="29"/>
  </w:num>
  <w:num w:numId="28">
    <w:abstractNumId w:val="1"/>
  </w:num>
  <w:num w:numId="29">
    <w:abstractNumId w:val="4"/>
  </w:num>
  <w:num w:numId="30">
    <w:abstractNumId w:val="8"/>
  </w:num>
  <w:num w:numId="31">
    <w:abstractNumId w:val="22"/>
  </w:num>
  <w:num w:numId="32">
    <w:abstractNumId w:val="7"/>
  </w:num>
  <w:num w:numId="33">
    <w:abstractNumId w:val="27"/>
  </w:num>
  <w:num w:numId="34">
    <w:abstractNumId w:val="3"/>
  </w:num>
  <w:num w:numId="35">
    <w:abstractNumId w:val="33"/>
  </w:num>
  <w:num w:numId="36">
    <w:abstractNumId w:val="28"/>
  </w:num>
  <w:num w:numId="37">
    <w:abstractNumId w:val="23"/>
  </w:num>
  <w:num w:numId="38">
    <w:abstractNumId w:val="3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24"/>
    <w:rsid w:val="00021B88"/>
    <w:rsid w:val="00031B3C"/>
    <w:rsid w:val="0004486D"/>
    <w:rsid w:val="00045ECC"/>
    <w:rsid w:val="00060AE2"/>
    <w:rsid w:val="0006241C"/>
    <w:rsid w:val="00062458"/>
    <w:rsid w:val="00066758"/>
    <w:rsid w:val="00074183"/>
    <w:rsid w:val="00076D5A"/>
    <w:rsid w:val="000816AA"/>
    <w:rsid w:val="00083705"/>
    <w:rsid w:val="00092CF8"/>
    <w:rsid w:val="000940EC"/>
    <w:rsid w:val="000A090C"/>
    <w:rsid w:val="000A582A"/>
    <w:rsid w:val="000A5C07"/>
    <w:rsid w:val="000B2A35"/>
    <w:rsid w:val="000B657E"/>
    <w:rsid w:val="000C2AB9"/>
    <w:rsid w:val="000C4F51"/>
    <w:rsid w:val="000C660F"/>
    <w:rsid w:val="000C6C74"/>
    <w:rsid w:val="000D6E9D"/>
    <w:rsid w:val="000F4635"/>
    <w:rsid w:val="000F6680"/>
    <w:rsid w:val="00116A4A"/>
    <w:rsid w:val="00116B5A"/>
    <w:rsid w:val="001230C8"/>
    <w:rsid w:val="00124FC0"/>
    <w:rsid w:val="0017232B"/>
    <w:rsid w:val="00172E62"/>
    <w:rsid w:val="00186424"/>
    <w:rsid w:val="00190AB6"/>
    <w:rsid w:val="00194113"/>
    <w:rsid w:val="00194F07"/>
    <w:rsid w:val="00195483"/>
    <w:rsid w:val="001A2A72"/>
    <w:rsid w:val="001A726B"/>
    <w:rsid w:val="001B550F"/>
    <w:rsid w:val="001D0165"/>
    <w:rsid w:val="001D7B83"/>
    <w:rsid w:val="001E3F29"/>
    <w:rsid w:val="00203C55"/>
    <w:rsid w:val="00206909"/>
    <w:rsid w:val="002205E7"/>
    <w:rsid w:val="002270A2"/>
    <w:rsid w:val="0024618D"/>
    <w:rsid w:val="00246D58"/>
    <w:rsid w:val="002535D3"/>
    <w:rsid w:val="0027402F"/>
    <w:rsid w:val="00286590"/>
    <w:rsid w:val="00286BE0"/>
    <w:rsid w:val="00286F43"/>
    <w:rsid w:val="002B67BD"/>
    <w:rsid w:val="002C14F4"/>
    <w:rsid w:val="002C524B"/>
    <w:rsid w:val="002C63BE"/>
    <w:rsid w:val="002C750E"/>
    <w:rsid w:val="002F4BDE"/>
    <w:rsid w:val="003143D8"/>
    <w:rsid w:val="00316685"/>
    <w:rsid w:val="00330D78"/>
    <w:rsid w:val="003340EF"/>
    <w:rsid w:val="0034128C"/>
    <w:rsid w:val="0034392C"/>
    <w:rsid w:val="00346FA8"/>
    <w:rsid w:val="00351B05"/>
    <w:rsid w:val="00354AD2"/>
    <w:rsid w:val="00371103"/>
    <w:rsid w:val="00377123"/>
    <w:rsid w:val="003808A3"/>
    <w:rsid w:val="00380906"/>
    <w:rsid w:val="00382810"/>
    <w:rsid w:val="00383CA1"/>
    <w:rsid w:val="003875F6"/>
    <w:rsid w:val="003B0FF0"/>
    <w:rsid w:val="003B2BE7"/>
    <w:rsid w:val="003B3182"/>
    <w:rsid w:val="003B3C16"/>
    <w:rsid w:val="003D1B9A"/>
    <w:rsid w:val="0041696F"/>
    <w:rsid w:val="00430FF5"/>
    <w:rsid w:val="004427D7"/>
    <w:rsid w:val="00444698"/>
    <w:rsid w:val="004525DC"/>
    <w:rsid w:val="00455DEC"/>
    <w:rsid w:val="0046356E"/>
    <w:rsid w:val="0046360A"/>
    <w:rsid w:val="004669AF"/>
    <w:rsid w:val="00470CAF"/>
    <w:rsid w:val="00474D2B"/>
    <w:rsid w:val="00487303"/>
    <w:rsid w:val="004878AE"/>
    <w:rsid w:val="0049010E"/>
    <w:rsid w:val="00495B93"/>
    <w:rsid w:val="004A004B"/>
    <w:rsid w:val="004A4C26"/>
    <w:rsid w:val="004B071E"/>
    <w:rsid w:val="004B30AA"/>
    <w:rsid w:val="004C0832"/>
    <w:rsid w:val="004D4111"/>
    <w:rsid w:val="004E59FE"/>
    <w:rsid w:val="00505A6C"/>
    <w:rsid w:val="00510D5D"/>
    <w:rsid w:val="005210B8"/>
    <w:rsid w:val="00543F6F"/>
    <w:rsid w:val="00544A6A"/>
    <w:rsid w:val="005520CC"/>
    <w:rsid w:val="00560379"/>
    <w:rsid w:val="0056127F"/>
    <w:rsid w:val="005724CB"/>
    <w:rsid w:val="0058270E"/>
    <w:rsid w:val="00584568"/>
    <w:rsid w:val="005903C7"/>
    <w:rsid w:val="00590C9F"/>
    <w:rsid w:val="005A2F0D"/>
    <w:rsid w:val="005A6A34"/>
    <w:rsid w:val="005B4A2E"/>
    <w:rsid w:val="005C36EC"/>
    <w:rsid w:val="005C3E1E"/>
    <w:rsid w:val="005C5871"/>
    <w:rsid w:val="005C769C"/>
    <w:rsid w:val="005D233D"/>
    <w:rsid w:val="005E508A"/>
    <w:rsid w:val="00616781"/>
    <w:rsid w:val="0062438F"/>
    <w:rsid w:val="00626E16"/>
    <w:rsid w:val="0062793C"/>
    <w:rsid w:val="00634399"/>
    <w:rsid w:val="00641E21"/>
    <w:rsid w:val="00642796"/>
    <w:rsid w:val="0064699C"/>
    <w:rsid w:val="00657894"/>
    <w:rsid w:val="00675AD4"/>
    <w:rsid w:val="00677072"/>
    <w:rsid w:val="006A6157"/>
    <w:rsid w:val="006D134D"/>
    <w:rsid w:val="006E2C44"/>
    <w:rsid w:val="006F022C"/>
    <w:rsid w:val="006F0DBA"/>
    <w:rsid w:val="00702FFA"/>
    <w:rsid w:val="007219C3"/>
    <w:rsid w:val="00731560"/>
    <w:rsid w:val="00731756"/>
    <w:rsid w:val="00741A0B"/>
    <w:rsid w:val="00743F5D"/>
    <w:rsid w:val="00743FD9"/>
    <w:rsid w:val="0074609D"/>
    <w:rsid w:val="00755497"/>
    <w:rsid w:val="007648DF"/>
    <w:rsid w:val="00765F28"/>
    <w:rsid w:val="00792B43"/>
    <w:rsid w:val="00795296"/>
    <w:rsid w:val="007A7F11"/>
    <w:rsid w:val="007B161F"/>
    <w:rsid w:val="007B5D3F"/>
    <w:rsid w:val="007B7CD8"/>
    <w:rsid w:val="007C6D9A"/>
    <w:rsid w:val="007F28BA"/>
    <w:rsid w:val="00800051"/>
    <w:rsid w:val="00802888"/>
    <w:rsid w:val="00804444"/>
    <w:rsid w:val="00805792"/>
    <w:rsid w:val="00812C2E"/>
    <w:rsid w:val="008465DC"/>
    <w:rsid w:val="00852FBD"/>
    <w:rsid w:val="008537E5"/>
    <w:rsid w:val="008623BF"/>
    <w:rsid w:val="0086643D"/>
    <w:rsid w:val="00871DFA"/>
    <w:rsid w:val="00875968"/>
    <w:rsid w:val="008B74B1"/>
    <w:rsid w:val="008D64DD"/>
    <w:rsid w:val="008E2287"/>
    <w:rsid w:val="008E6443"/>
    <w:rsid w:val="008E6A3B"/>
    <w:rsid w:val="008F5F41"/>
    <w:rsid w:val="008F6A4A"/>
    <w:rsid w:val="00901A69"/>
    <w:rsid w:val="00905C2A"/>
    <w:rsid w:val="00906370"/>
    <w:rsid w:val="00906C98"/>
    <w:rsid w:val="00920B52"/>
    <w:rsid w:val="00921517"/>
    <w:rsid w:val="00925075"/>
    <w:rsid w:val="00935A0B"/>
    <w:rsid w:val="009401A2"/>
    <w:rsid w:val="009436DA"/>
    <w:rsid w:val="00943BE1"/>
    <w:rsid w:val="00947CC1"/>
    <w:rsid w:val="0095514A"/>
    <w:rsid w:val="00955A07"/>
    <w:rsid w:val="009654D7"/>
    <w:rsid w:val="00974D0D"/>
    <w:rsid w:val="00975305"/>
    <w:rsid w:val="00976011"/>
    <w:rsid w:val="009A0B13"/>
    <w:rsid w:val="009B0D7F"/>
    <w:rsid w:val="009B3905"/>
    <w:rsid w:val="009C4BB4"/>
    <w:rsid w:val="009C5FE2"/>
    <w:rsid w:val="009D67F1"/>
    <w:rsid w:val="009F357C"/>
    <w:rsid w:val="009F7A9C"/>
    <w:rsid w:val="00A01771"/>
    <w:rsid w:val="00A03642"/>
    <w:rsid w:val="00A03665"/>
    <w:rsid w:val="00A07E22"/>
    <w:rsid w:val="00A07FCB"/>
    <w:rsid w:val="00A14467"/>
    <w:rsid w:val="00A16D31"/>
    <w:rsid w:val="00A3793C"/>
    <w:rsid w:val="00A6080B"/>
    <w:rsid w:val="00A61ACE"/>
    <w:rsid w:val="00A61FFF"/>
    <w:rsid w:val="00A666C8"/>
    <w:rsid w:val="00A715CC"/>
    <w:rsid w:val="00A72059"/>
    <w:rsid w:val="00A73DDF"/>
    <w:rsid w:val="00A7616B"/>
    <w:rsid w:val="00A80F3A"/>
    <w:rsid w:val="00A83228"/>
    <w:rsid w:val="00A84940"/>
    <w:rsid w:val="00A86372"/>
    <w:rsid w:val="00AA28F9"/>
    <w:rsid w:val="00AA42B4"/>
    <w:rsid w:val="00AA68C0"/>
    <w:rsid w:val="00AA7785"/>
    <w:rsid w:val="00AA79C2"/>
    <w:rsid w:val="00AB619D"/>
    <w:rsid w:val="00AC7E50"/>
    <w:rsid w:val="00AD38F1"/>
    <w:rsid w:val="00AF20A7"/>
    <w:rsid w:val="00B02B86"/>
    <w:rsid w:val="00B1292F"/>
    <w:rsid w:val="00B156FF"/>
    <w:rsid w:val="00B2003A"/>
    <w:rsid w:val="00B36794"/>
    <w:rsid w:val="00B36BC9"/>
    <w:rsid w:val="00B45129"/>
    <w:rsid w:val="00B51B42"/>
    <w:rsid w:val="00B54793"/>
    <w:rsid w:val="00B5798B"/>
    <w:rsid w:val="00B64DD4"/>
    <w:rsid w:val="00B911E5"/>
    <w:rsid w:val="00B91736"/>
    <w:rsid w:val="00B92863"/>
    <w:rsid w:val="00BA1A02"/>
    <w:rsid w:val="00BA1C92"/>
    <w:rsid w:val="00BA42DD"/>
    <w:rsid w:val="00BB76BF"/>
    <w:rsid w:val="00BC0461"/>
    <w:rsid w:val="00BC5FC5"/>
    <w:rsid w:val="00BC7629"/>
    <w:rsid w:val="00BD0944"/>
    <w:rsid w:val="00BE292D"/>
    <w:rsid w:val="00BF3476"/>
    <w:rsid w:val="00BF3F97"/>
    <w:rsid w:val="00BF65E7"/>
    <w:rsid w:val="00C028D0"/>
    <w:rsid w:val="00C12C1D"/>
    <w:rsid w:val="00C1734C"/>
    <w:rsid w:val="00C47383"/>
    <w:rsid w:val="00C56A31"/>
    <w:rsid w:val="00C5707A"/>
    <w:rsid w:val="00C57B75"/>
    <w:rsid w:val="00C76E97"/>
    <w:rsid w:val="00C84460"/>
    <w:rsid w:val="00C85A64"/>
    <w:rsid w:val="00C94FA8"/>
    <w:rsid w:val="00C9776F"/>
    <w:rsid w:val="00CA5F12"/>
    <w:rsid w:val="00CB22A7"/>
    <w:rsid w:val="00CC4E19"/>
    <w:rsid w:val="00CE113D"/>
    <w:rsid w:val="00CE29DC"/>
    <w:rsid w:val="00CE60A3"/>
    <w:rsid w:val="00CF7ECA"/>
    <w:rsid w:val="00D00879"/>
    <w:rsid w:val="00D012EB"/>
    <w:rsid w:val="00D0420B"/>
    <w:rsid w:val="00D058BA"/>
    <w:rsid w:val="00D14A3F"/>
    <w:rsid w:val="00D242DB"/>
    <w:rsid w:val="00D30F42"/>
    <w:rsid w:val="00D32353"/>
    <w:rsid w:val="00D33EA7"/>
    <w:rsid w:val="00D35713"/>
    <w:rsid w:val="00D4027D"/>
    <w:rsid w:val="00D40C77"/>
    <w:rsid w:val="00D45F5F"/>
    <w:rsid w:val="00D460B5"/>
    <w:rsid w:val="00D60235"/>
    <w:rsid w:val="00D6180B"/>
    <w:rsid w:val="00D66165"/>
    <w:rsid w:val="00D73583"/>
    <w:rsid w:val="00D7764F"/>
    <w:rsid w:val="00D82F44"/>
    <w:rsid w:val="00D878A2"/>
    <w:rsid w:val="00DB0549"/>
    <w:rsid w:val="00DB1137"/>
    <w:rsid w:val="00DB1497"/>
    <w:rsid w:val="00DB778C"/>
    <w:rsid w:val="00DE3D97"/>
    <w:rsid w:val="00DE54E1"/>
    <w:rsid w:val="00DF5345"/>
    <w:rsid w:val="00E0309B"/>
    <w:rsid w:val="00E1629E"/>
    <w:rsid w:val="00E16C70"/>
    <w:rsid w:val="00E33C98"/>
    <w:rsid w:val="00E35E07"/>
    <w:rsid w:val="00E445B2"/>
    <w:rsid w:val="00E44649"/>
    <w:rsid w:val="00E57171"/>
    <w:rsid w:val="00E628BC"/>
    <w:rsid w:val="00E641D8"/>
    <w:rsid w:val="00E67B0B"/>
    <w:rsid w:val="00E728E9"/>
    <w:rsid w:val="00E772CC"/>
    <w:rsid w:val="00E90338"/>
    <w:rsid w:val="00EA2C38"/>
    <w:rsid w:val="00EB47B0"/>
    <w:rsid w:val="00EB60CC"/>
    <w:rsid w:val="00EC4037"/>
    <w:rsid w:val="00EC624B"/>
    <w:rsid w:val="00ED5085"/>
    <w:rsid w:val="00ED68AB"/>
    <w:rsid w:val="00ED7B03"/>
    <w:rsid w:val="00EE1C36"/>
    <w:rsid w:val="00EF5521"/>
    <w:rsid w:val="00EF7D6A"/>
    <w:rsid w:val="00F20259"/>
    <w:rsid w:val="00F212B6"/>
    <w:rsid w:val="00F30D88"/>
    <w:rsid w:val="00F32E2D"/>
    <w:rsid w:val="00F34718"/>
    <w:rsid w:val="00F5635C"/>
    <w:rsid w:val="00F616C1"/>
    <w:rsid w:val="00F7693C"/>
    <w:rsid w:val="00F87106"/>
    <w:rsid w:val="00F93601"/>
    <w:rsid w:val="00F945E8"/>
    <w:rsid w:val="00FB0AD0"/>
    <w:rsid w:val="00FC0723"/>
    <w:rsid w:val="00FC2151"/>
    <w:rsid w:val="00FC7D0A"/>
    <w:rsid w:val="00FD3788"/>
    <w:rsid w:val="00FF3FE9"/>
    <w:rsid w:val="00FF5C16"/>
    <w:rsid w:val="00FF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A222361"/>
  <w15:chartTrackingRefBased/>
  <w15:docId w15:val="{1F3EC64D-380D-4DE3-8C27-E7E71DEE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2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86424"/>
    <w:pPr>
      <w:widowControl w:val="0"/>
      <w:ind w:firstLine="426"/>
      <w:jc w:val="both"/>
    </w:pPr>
    <w:rPr>
      <w:szCs w:val="20"/>
      <w:lang w:eastAsia="en-US"/>
    </w:rPr>
  </w:style>
  <w:style w:type="character" w:customStyle="1" w:styleId="BodyTextIndent3Char">
    <w:name w:val="Body Text Indent 3 Char"/>
    <w:basedOn w:val="DefaultParagraphFont"/>
    <w:link w:val="BodyTextIndent3"/>
    <w:rsid w:val="00186424"/>
    <w:rPr>
      <w:rFonts w:ascii="Times New Roman" w:eastAsia="Times New Roman" w:hAnsi="Times New Roman" w:cs="Times New Roman"/>
      <w:sz w:val="24"/>
      <w:szCs w:val="20"/>
    </w:rPr>
  </w:style>
  <w:style w:type="table" w:styleId="TableGrid">
    <w:name w:val="Table Grid"/>
    <w:basedOn w:val="TableNormal"/>
    <w:uiPriority w:val="39"/>
    <w:rsid w:val="0018642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6424"/>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86424"/>
    <w:pPr>
      <w:tabs>
        <w:tab w:val="center" w:pos="4513"/>
        <w:tab w:val="right" w:pos="9026"/>
      </w:tabs>
    </w:pPr>
  </w:style>
  <w:style w:type="character" w:customStyle="1" w:styleId="HeaderChar">
    <w:name w:val="Header Char"/>
    <w:basedOn w:val="DefaultParagraphFont"/>
    <w:link w:val="Header"/>
    <w:uiPriority w:val="99"/>
    <w:rsid w:val="0018642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6424"/>
    <w:pPr>
      <w:tabs>
        <w:tab w:val="center" w:pos="4513"/>
        <w:tab w:val="right" w:pos="9026"/>
      </w:tabs>
    </w:pPr>
  </w:style>
  <w:style w:type="character" w:customStyle="1" w:styleId="FooterChar">
    <w:name w:val="Footer Char"/>
    <w:basedOn w:val="DefaultParagraphFont"/>
    <w:link w:val="Footer"/>
    <w:uiPriority w:val="99"/>
    <w:rsid w:val="0018642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F3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Paragrafo elenco,Bullet 1"/>
    <w:basedOn w:val="Normal"/>
    <w:link w:val="ListParagraphChar"/>
    <w:uiPriority w:val="34"/>
    <w:qFormat/>
    <w:rsid w:val="00D4027D"/>
    <w:pPr>
      <w:spacing w:after="160" w:line="259" w:lineRule="auto"/>
      <w:ind w:left="720"/>
      <w:contextualSpacing/>
    </w:pPr>
    <w:rPr>
      <w:rFonts w:eastAsiaTheme="minorHAnsi" w:cs="Verdana"/>
      <w:sz w:val="22"/>
      <w:szCs w:val="18"/>
      <w:lang w:eastAsia="en-US"/>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
    <w:link w:val="ListParagraph"/>
    <w:uiPriority w:val="34"/>
    <w:qFormat/>
    <w:locked/>
    <w:rsid w:val="00D4027D"/>
    <w:rPr>
      <w:rFonts w:ascii="Times New Roman" w:hAnsi="Times New Roman" w:cs="Verdana"/>
      <w:szCs w:val="18"/>
    </w:rPr>
  </w:style>
  <w:style w:type="character" w:styleId="CommentReference">
    <w:name w:val="annotation reference"/>
    <w:basedOn w:val="DefaultParagraphFont"/>
    <w:uiPriority w:val="99"/>
    <w:unhideWhenUsed/>
    <w:rsid w:val="00A3793C"/>
    <w:rPr>
      <w:sz w:val="16"/>
      <w:szCs w:val="16"/>
    </w:rPr>
  </w:style>
  <w:style w:type="paragraph" w:styleId="CommentText">
    <w:name w:val="annotation text"/>
    <w:basedOn w:val="Normal"/>
    <w:link w:val="CommentTextChar"/>
    <w:uiPriority w:val="99"/>
    <w:semiHidden/>
    <w:unhideWhenUsed/>
    <w:rsid w:val="00A3793C"/>
    <w:rPr>
      <w:sz w:val="20"/>
      <w:szCs w:val="20"/>
    </w:rPr>
  </w:style>
  <w:style w:type="character" w:customStyle="1" w:styleId="CommentTextChar">
    <w:name w:val="Comment Text Char"/>
    <w:basedOn w:val="DefaultParagraphFont"/>
    <w:link w:val="CommentText"/>
    <w:uiPriority w:val="99"/>
    <w:semiHidden/>
    <w:rsid w:val="00A3793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3793C"/>
    <w:rPr>
      <w:b/>
      <w:bCs/>
    </w:rPr>
  </w:style>
  <w:style w:type="character" w:customStyle="1" w:styleId="CommentSubjectChar">
    <w:name w:val="Comment Subject Char"/>
    <w:basedOn w:val="CommentTextChar"/>
    <w:link w:val="CommentSubject"/>
    <w:uiPriority w:val="99"/>
    <w:semiHidden/>
    <w:rsid w:val="00A3793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37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93C"/>
    <w:rPr>
      <w:rFonts w:ascii="Segoe UI" w:eastAsia="Times New Roman" w:hAnsi="Segoe UI" w:cs="Segoe UI"/>
      <w:sz w:val="18"/>
      <w:szCs w:val="18"/>
      <w:lang w:eastAsia="lv-LV"/>
    </w:rPr>
  </w:style>
  <w:style w:type="character" w:styleId="Hyperlink">
    <w:name w:val="Hyperlink"/>
    <w:basedOn w:val="DefaultParagraphFont"/>
    <w:unhideWhenUsed/>
    <w:rsid w:val="00A7616B"/>
    <w:rPr>
      <w:color w:val="0563C1" w:themeColor="hyperlink"/>
      <w:u w:val="single"/>
    </w:rPr>
  </w:style>
  <w:style w:type="paragraph" w:customStyle="1" w:styleId="Default">
    <w:name w:val="Default"/>
    <w:rsid w:val="003439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62458"/>
    <w:rPr>
      <w:color w:val="605E5C"/>
      <w:shd w:val="clear" w:color="auto" w:fill="E1DFDD"/>
    </w:rPr>
  </w:style>
  <w:style w:type="character" w:customStyle="1" w:styleId="NoSpacingChar">
    <w:name w:val="No Spacing Char"/>
    <w:link w:val="NoSpacing"/>
    <w:uiPriority w:val="1"/>
    <w:locked/>
    <w:rsid w:val="00C5707A"/>
    <w:rPr>
      <w:rFonts w:ascii="Times New Roman" w:eastAsia="Times New Roman" w:hAnsi="Times New Roman" w:cs="Times New Roman"/>
      <w:sz w:val="24"/>
      <w:szCs w:val="24"/>
      <w:lang w:eastAsia="lv-LV"/>
    </w:rPr>
  </w:style>
  <w:style w:type="paragraph" w:styleId="Title">
    <w:name w:val="Title"/>
    <w:basedOn w:val="Normal"/>
    <w:link w:val="TitleChar"/>
    <w:qFormat/>
    <w:rsid w:val="002F4BDE"/>
    <w:pPr>
      <w:jc w:val="center"/>
      <w:outlineLvl w:val="0"/>
    </w:pPr>
    <w:rPr>
      <w:rFonts w:ascii="RimTimes" w:hAnsi="RimTimes"/>
      <w:sz w:val="28"/>
      <w:szCs w:val="20"/>
    </w:rPr>
  </w:style>
  <w:style w:type="character" w:customStyle="1" w:styleId="TitleChar">
    <w:name w:val="Title Char"/>
    <w:basedOn w:val="DefaultParagraphFont"/>
    <w:link w:val="Title"/>
    <w:rsid w:val="002F4BDE"/>
    <w:rPr>
      <w:rFonts w:ascii="RimTimes" w:eastAsia="Times New Roman" w:hAnsi="RimTimes" w:cs="Times New Roman"/>
      <w:sz w:val="28"/>
      <w:szCs w:val="20"/>
      <w:lang w:eastAsia="lv-LV"/>
    </w:rPr>
  </w:style>
  <w:style w:type="paragraph" w:styleId="FootnoteText">
    <w:name w:val="footnote text"/>
    <w:basedOn w:val="Normal"/>
    <w:link w:val="FootnoteTextChar"/>
    <w:uiPriority w:val="99"/>
    <w:semiHidden/>
    <w:unhideWhenUsed/>
    <w:rsid w:val="00E67B0B"/>
    <w:rPr>
      <w:sz w:val="20"/>
      <w:szCs w:val="20"/>
    </w:rPr>
  </w:style>
  <w:style w:type="character" w:customStyle="1" w:styleId="FootnoteTextChar">
    <w:name w:val="Footnote Text Char"/>
    <w:basedOn w:val="DefaultParagraphFont"/>
    <w:link w:val="FootnoteText"/>
    <w:uiPriority w:val="99"/>
    <w:semiHidden/>
    <w:rsid w:val="00E67B0B"/>
    <w:rPr>
      <w:rFonts w:ascii="Times New Roman" w:eastAsia="Times New Roman" w:hAnsi="Times New Roman" w:cs="Times New Roman"/>
      <w:sz w:val="20"/>
      <w:szCs w:val="20"/>
      <w:lang w:eastAsia="lv-LV"/>
    </w:rPr>
  </w:style>
  <w:style w:type="character" w:styleId="FootnoteReference">
    <w:name w:val="footnote reference"/>
    <w:aliases w:val="Footnote symbol"/>
    <w:basedOn w:val="DefaultParagraphFont"/>
    <w:uiPriority w:val="99"/>
    <w:unhideWhenUsed/>
    <w:rsid w:val="00E67B0B"/>
    <w:rPr>
      <w:vertAlign w:val="superscript"/>
    </w:rPr>
  </w:style>
  <w:style w:type="paragraph" w:styleId="Subtitle">
    <w:name w:val="Subtitle"/>
    <w:basedOn w:val="Normal"/>
    <w:next w:val="BodyText"/>
    <w:link w:val="SubtitleChar"/>
    <w:qFormat/>
    <w:rsid w:val="002C750E"/>
    <w:pPr>
      <w:suppressAutoHyphens/>
      <w:jc w:val="center"/>
    </w:pPr>
    <w:rPr>
      <w:szCs w:val="20"/>
      <w:lang w:eastAsia="ar-SA"/>
    </w:rPr>
  </w:style>
  <w:style w:type="character" w:customStyle="1" w:styleId="SubtitleChar">
    <w:name w:val="Subtitle Char"/>
    <w:basedOn w:val="DefaultParagraphFont"/>
    <w:link w:val="Subtitle"/>
    <w:rsid w:val="002C750E"/>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2C750E"/>
    <w:pPr>
      <w:spacing w:after="120"/>
    </w:pPr>
  </w:style>
  <w:style w:type="character" w:customStyle="1" w:styleId="BodyTextChar">
    <w:name w:val="Body Text Char"/>
    <w:basedOn w:val="DefaultParagraphFont"/>
    <w:link w:val="BodyText"/>
    <w:uiPriority w:val="99"/>
    <w:semiHidden/>
    <w:rsid w:val="002C750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6297">
      <w:bodyDiv w:val="1"/>
      <w:marLeft w:val="0"/>
      <w:marRight w:val="0"/>
      <w:marTop w:val="0"/>
      <w:marBottom w:val="0"/>
      <w:divBdr>
        <w:top w:val="none" w:sz="0" w:space="0" w:color="auto"/>
        <w:left w:val="none" w:sz="0" w:space="0" w:color="auto"/>
        <w:bottom w:val="none" w:sz="0" w:space="0" w:color="auto"/>
        <w:right w:val="none" w:sz="0" w:space="0" w:color="auto"/>
      </w:divBdr>
    </w:div>
    <w:div w:id="1320619087">
      <w:bodyDiv w:val="1"/>
      <w:marLeft w:val="0"/>
      <w:marRight w:val="0"/>
      <w:marTop w:val="0"/>
      <w:marBottom w:val="0"/>
      <w:divBdr>
        <w:top w:val="none" w:sz="0" w:space="0" w:color="auto"/>
        <w:left w:val="none" w:sz="0" w:space="0" w:color="auto"/>
        <w:bottom w:val="none" w:sz="0" w:space="0" w:color="auto"/>
        <w:right w:val="none" w:sz="0" w:space="0" w:color="auto"/>
      </w:divBdr>
    </w:div>
    <w:div w:id="1872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375E-C3C9-4699-8AB3-485252E0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3204</Words>
  <Characters>1827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Daiga Lindiša</cp:lastModifiedBy>
  <cp:revision>30</cp:revision>
  <cp:lastPrinted>2023-11-08T11:52:00Z</cp:lastPrinted>
  <dcterms:created xsi:type="dcterms:W3CDTF">2025-07-22T06:49:00Z</dcterms:created>
  <dcterms:modified xsi:type="dcterms:W3CDTF">2025-08-22T12:06:00Z</dcterms:modified>
</cp:coreProperties>
</file>