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4820"/>
        <w:gridCol w:w="4961"/>
      </w:tblGrid>
      <w:tr w:rsidR="00F2620C" w:rsidRPr="00676CBF" w14:paraId="6B2ED3A9" w14:textId="77777777" w:rsidTr="003E6BBC">
        <w:tc>
          <w:tcPr>
            <w:tcW w:w="4820" w:type="dxa"/>
          </w:tcPr>
          <w:p w14:paraId="0DF3CC65" w14:textId="77777777" w:rsidR="00F2620C" w:rsidRDefault="00F2620C" w:rsidP="003E6BBC">
            <w:pPr>
              <w:snapToGrid w:val="0"/>
              <w:spacing w:after="0"/>
              <w:rPr>
                <w:rFonts w:ascii="Times New Roman" w:hAnsi="Times New Roman" w:cs="Times New Roman"/>
              </w:rPr>
            </w:pPr>
            <w:r>
              <w:rPr>
                <w:rFonts w:ascii="Times New Roman" w:hAnsi="Times New Roman" w:cs="Times New Roman"/>
              </w:rPr>
              <w:t>Datums skatāms laika zīmogā</w:t>
            </w:r>
            <w:r w:rsidRPr="00676CBF">
              <w:rPr>
                <w:rFonts w:ascii="Times New Roman" w:hAnsi="Times New Roman" w:cs="Times New Roman"/>
              </w:rPr>
              <w:t xml:space="preserve"> </w:t>
            </w:r>
          </w:p>
          <w:p w14:paraId="5CF501FA" w14:textId="5A784F09" w:rsidR="00F2620C" w:rsidRDefault="00F2620C" w:rsidP="003E6BBC">
            <w:pPr>
              <w:snapToGrid w:val="0"/>
              <w:spacing w:after="0"/>
              <w:rPr>
                <w:rFonts w:ascii="Times New Roman" w:hAnsi="Times New Roman" w:cs="Times New Roman"/>
              </w:rPr>
            </w:pPr>
            <w:r w:rsidRPr="00676CBF">
              <w:rPr>
                <w:rFonts w:ascii="Times New Roman" w:hAnsi="Times New Roman" w:cs="Times New Roman"/>
              </w:rPr>
              <w:t>Nr. 3.5.4/2</w:t>
            </w:r>
            <w:r>
              <w:rPr>
                <w:rFonts w:ascii="Times New Roman" w:hAnsi="Times New Roman" w:cs="Times New Roman"/>
              </w:rPr>
              <w:t>6</w:t>
            </w:r>
            <w:r w:rsidRPr="00676CBF">
              <w:rPr>
                <w:rFonts w:ascii="Times New Roman" w:hAnsi="Times New Roman" w:cs="Times New Roman"/>
              </w:rPr>
              <w:t>/</w:t>
            </w:r>
            <w:r>
              <w:rPr>
                <w:rFonts w:ascii="Times New Roman" w:hAnsi="Times New Roman" w:cs="Times New Roman"/>
              </w:rPr>
              <w:t>429</w:t>
            </w:r>
          </w:p>
          <w:p w14:paraId="3E59B201" w14:textId="77777777" w:rsidR="00F2620C" w:rsidRPr="00676CBF" w:rsidRDefault="00F2620C" w:rsidP="003E6BBC">
            <w:pPr>
              <w:snapToGrid w:val="0"/>
              <w:spacing w:after="0"/>
              <w:rPr>
                <w:rFonts w:ascii="Times New Roman" w:hAnsi="Times New Roman" w:cs="Times New Roman"/>
              </w:rPr>
            </w:pPr>
          </w:p>
        </w:tc>
        <w:tc>
          <w:tcPr>
            <w:tcW w:w="4961" w:type="dxa"/>
          </w:tcPr>
          <w:p w14:paraId="120EB692" w14:textId="521DE470" w:rsidR="00F2620C" w:rsidRPr="00727E47" w:rsidRDefault="00F2620C" w:rsidP="003E6BBC">
            <w:pPr>
              <w:snapToGrid w:val="0"/>
              <w:spacing w:after="0"/>
              <w:jc w:val="right"/>
              <w:rPr>
                <w:rFonts w:ascii="Times New Roman" w:hAnsi="Times New Roman" w:cs="Times New Roman"/>
                <w:b/>
                <w:bCs/>
              </w:rPr>
            </w:pPr>
            <w:r>
              <w:rPr>
                <w:rFonts w:ascii="Times New Roman" w:hAnsi="Times New Roman" w:cs="Times New Roman"/>
                <w:b/>
                <w:bCs/>
              </w:rPr>
              <w:t>Pretendentiem, kam izsniegts atklāta konkursa nolikums</w:t>
            </w:r>
          </w:p>
          <w:p w14:paraId="597EA939" w14:textId="5FD18F7A" w:rsidR="00F2620C" w:rsidRPr="00676CBF" w:rsidRDefault="00F2620C" w:rsidP="003E6BBC">
            <w:pPr>
              <w:snapToGrid w:val="0"/>
              <w:spacing w:after="0"/>
              <w:jc w:val="right"/>
              <w:rPr>
                <w:rFonts w:ascii="Times New Roman" w:hAnsi="Times New Roman" w:cs="Times New Roman"/>
              </w:rPr>
            </w:pPr>
          </w:p>
        </w:tc>
      </w:tr>
    </w:tbl>
    <w:p w14:paraId="10339D57" w14:textId="56827EA8" w:rsidR="009B4107" w:rsidRPr="00F2620C" w:rsidRDefault="009B4107">
      <w:pPr>
        <w:rPr>
          <w:rFonts w:ascii="Times New Roman" w:hAnsi="Times New Roman" w:cs="Times New Roman"/>
          <w:b/>
          <w:bCs/>
        </w:rPr>
      </w:pPr>
      <w:r w:rsidRPr="00F2620C">
        <w:rPr>
          <w:rFonts w:ascii="Times New Roman" w:hAnsi="Times New Roman" w:cs="Times New Roman"/>
          <w:b/>
          <w:bCs/>
        </w:rPr>
        <w:t>Par nolikuma prasības skaidrojumu</w:t>
      </w:r>
    </w:p>
    <w:p w14:paraId="581000C6" w14:textId="25BC0C94" w:rsidR="00F2620C" w:rsidRDefault="009B4107" w:rsidP="00F2620C">
      <w:pPr>
        <w:jc w:val="both"/>
        <w:rPr>
          <w:rFonts w:ascii="Times New Roman" w:hAnsi="Times New Roman" w:cs="Times New Roman"/>
        </w:rPr>
      </w:pPr>
      <w:r w:rsidRPr="00F2620C">
        <w:rPr>
          <w:rFonts w:ascii="Times New Roman" w:hAnsi="Times New Roman" w:cs="Times New Roman"/>
        </w:rPr>
        <w:t>Saistībā ar atklāto konkursu “Vertikālā platformas pacēlāja piegāde un uzstādīšana Vidrižu doktorātā” (identifikācijas Nr. LNP 2026/79)</w:t>
      </w:r>
      <w:r w:rsidR="00F2620C">
        <w:rPr>
          <w:rFonts w:ascii="Times New Roman" w:hAnsi="Times New Roman" w:cs="Times New Roman"/>
        </w:rPr>
        <w:t>.</w:t>
      </w:r>
    </w:p>
    <w:p w14:paraId="4FB22CBA" w14:textId="3CD0F4EA" w:rsidR="009B4107" w:rsidRPr="00F2620C" w:rsidRDefault="00F2620C" w:rsidP="00F2620C">
      <w:pPr>
        <w:jc w:val="both"/>
        <w:rPr>
          <w:rFonts w:ascii="Times New Roman" w:hAnsi="Times New Roman" w:cs="Times New Roman"/>
        </w:rPr>
      </w:pPr>
      <w:r>
        <w:rPr>
          <w:rFonts w:ascii="Times New Roman" w:hAnsi="Times New Roman" w:cs="Times New Roman"/>
        </w:rPr>
        <w:t>L</w:t>
      </w:r>
      <w:r w:rsidR="009B4107" w:rsidRPr="00F2620C">
        <w:rPr>
          <w:rFonts w:ascii="Times New Roman" w:hAnsi="Times New Roman" w:cs="Times New Roman"/>
        </w:rPr>
        <w:t>ūdzam precizēt nolikuma 2. pielikuma 1.2. punktā noteikto prasību par reģistrāciju Būvkomersantu reģistrā. Vēršam uzmanību, ka šī prasība nolikumā ir formulēta kā nosacīta – reģistrācija nepieciešama tikai tiem darbiem, attiecībā uz kuriem to paredz normatīvie akti. Vienlaikus iepirkuma tehniskā specifikācija paredz platformas pacēlāja uzstādīšanu: • Pacēlājs tiek novietots uz grīdas • Pacēlāja bedre un mašīntelpa nav nepieciešama • Stiprinājumi pie sienām tiek izmantoti stabilitātei • Griestu stiprinājumi nav nesoši (tikai papildu stabilizācijai) • Uzstādīšana veikta saskaņā ar ražotāja tehniskajām prasībām Šāds darbu apjoms pēc būtības atbilst iekārtas montāžai, nevis būvdarbiem Būvniecības likuma izpratnē, un attiecīgi uz to parasti netiek attiecināta prasība par reģistrāciju Būvkomersantu reģistrā. Lūdzam sniegt skaidrojumu par sekojošo: 1. ka konkrētajā iepirkumā Būvkomersantu reģistrācijas prasība nav piemērojama pretendentiem, kas neveic būvdarbus normatīvo aktu izpratnē; vai 2. sniegt konkrētu normatīvo pamatojumu, uz kura pamata šāda prasība šajā gadījumā tiek uzskatīta par obligātu.</w:t>
      </w:r>
    </w:p>
    <w:p w14:paraId="48D52F4C" w14:textId="5BB554C9" w:rsidR="009B4107" w:rsidRDefault="009B4107" w:rsidP="00F2620C">
      <w:pPr>
        <w:jc w:val="both"/>
        <w:rPr>
          <w:rFonts w:ascii="Times New Roman" w:hAnsi="Times New Roman" w:cs="Times New Roman"/>
        </w:rPr>
      </w:pPr>
      <w:r w:rsidRPr="00F2620C">
        <w:rPr>
          <w:rFonts w:ascii="Times New Roman" w:hAnsi="Times New Roman" w:cs="Times New Roman"/>
          <w:b/>
          <w:bCs/>
        </w:rPr>
        <w:t>Atbilde:</w:t>
      </w:r>
      <w:r w:rsidRPr="00F2620C">
        <w:rPr>
          <w:rFonts w:ascii="Times New Roman" w:hAnsi="Times New Roman" w:cs="Times New Roman"/>
        </w:rPr>
        <w:t xml:space="preserve"> Prasība noteikta, pamatojoties uz</w:t>
      </w:r>
      <w:r w:rsidR="00F2620C">
        <w:rPr>
          <w:rFonts w:ascii="Times New Roman" w:hAnsi="Times New Roman" w:cs="Times New Roman"/>
        </w:rPr>
        <w:t xml:space="preserve"> </w:t>
      </w:r>
      <w:r w:rsidR="00F2620C" w:rsidRPr="00F2620C">
        <w:rPr>
          <w:rFonts w:ascii="Times New Roman" w:hAnsi="Times New Roman" w:cs="Times New Roman"/>
        </w:rPr>
        <w:t>LBN 200-21</w:t>
      </w:r>
      <w:r w:rsidRPr="00F2620C">
        <w:rPr>
          <w:rFonts w:ascii="Times New Roman" w:hAnsi="Times New Roman" w:cs="Times New Roman"/>
        </w:rPr>
        <w:t xml:space="preserve"> </w:t>
      </w:r>
      <w:r w:rsidR="00F2620C" w:rsidRPr="00F2620C">
        <w:rPr>
          <w:rFonts w:ascii="Times New Roman" w:hAnsi="Times New Roman" w:cs="Times New Roman"/>
        </w:rPr>
        <w:t>“</w:t>
      </w:r>
      <w:r w:rsidR="00F2620C" w:rsidRPr="00F2620C">
        <w:rPr>
          <w:rFonts w:ascii="Times New Roman" w:hAnsi="Times New Roman" w:cs="Times New Roman"/>
        </w:rPr>
        <w:t>Būvju vispārīgo prasību būvnormatīvs</w:t>
      </w:r>
      <w:r w:rsidR="00F2620C" w:rsidRPr="00F2620C">
        <w:rPr>
          <w:rFonts w:ascii="Times New Roman" w:hAnsi="Times New Roman" w:cs="Times New Roman"/>
        </w:rPr>
        <w:t>”,</w:t>
      </w:r>
      <w:r w:rsidR="00F2620C" w:rsidRPr="00F2620C">
        <w:rPr>
          <w:rFonts w:ascii="Times New Roman" w:hAnsi="Times New Roman" w:cs="Times New Roman"/>
          <w:b/>
          <w:bCs/>
        </w:rPr>
        <w:t xml:space="preserve"> </w:t>
      </w:r>
      <w:r w:rsidR="00F2620C" w:rsidRPr="00F2620C">
        <w:rPr>
          <w:rFonts w:ascii="Times New Roman" w:hAnsi="Times New Roman" w:cs="Times New Roman"/>
        </w:rPr>
        <w:t>Būvniecības likuma 22. un 23.panta prasībām</w:t>
      </w:r>
      <w:r w:rsidR="00F2620C">
        <w:rPr>
          <w:rFonts w:ascii="Times New Roman" w:hAnsi="Times New Roman" w:cs="Times New Roman"/>
        </w:rPr>
        <w:t>, kā arī konsultējoties ar Bīstamo iekārtu reģistra pārstāvjiem, ņemot vērā, pacelšanas platformas augstumu, faktu, ka iekārta tiek uzstādīta publiskā ēkā un to, ka tās pamatfunkcija ir vides pieejamības nodrošināšana personām ar kustību traucējumiem.</w:t>
      </w:r>
    </w:p>
    <w:p w14:paraId="2CD2620B" w14:textId="77777777" w:rsidR="00F2620C" w:rsidRDefault="00F2620C" w:rsidP="00F2620C">
      <w:pPr>
        <w:jc w:val="both"/>
        <w:rPr>
          <w:rFonts w:ascii="Times New Roman" w:hAnsi="Times New Roman" w:cs="Times New Roman"/>
        </w:rPr>
      </w:pPr>
    </w:p>
    <w:p w14:paraId="0F58D071" w14:textId="77777777" w:rsidR="00F2620C" w:rsidRPr="00072CEC" w:rsidRDefault="00F2620C" w:rsidP="00F2620C">
      <w:pPr>
        <w:spacing w:line="276" w:lineRule="auto"/>
        <w:jc w:val="both"/>
        <w:textAlignment w:val="baseline"/>
        <w:rPr>
          <w:rFonts w:ascii="Times New Roman" w:hAnsi="Times New Roman" w:cs="Times New Roman"/>
        </w:rPr>
      </w:pPr>
      <w:r>
        <w:rPr>
          <w:rFonts w:ascii="Times New Roman" w:hAnsi="Times New Roman" w:cs="Times New Roman"/>
        </w:rPr>
        <w:t>Iepirkumu k</w:t>
      </w:r>
      <w:r w:rsidRPr="00072CEC">
        <w:rPr>
          <w:rFonts w:ascii="Times New Roman" w:hAnsi="Times New Roman" w:cs="Times New Roman"/>
        </w:rPr>
        <w:t>omisijas priekšsēdētājs</w:t>
      </w:r>
      <w:r w:rsidRPr="00072CEC">
        <w:rPr>
          <w:rFonts w:ascii="Times New Roman" w:hAnsi="Times New Roman" w:cs="Times New Roman"/>
        </w:rPr>
        <w:tab/>
      </w:r>
      <w:r w:rsidRPr="00072CEC">
        <w:rPr>
          <w:rFonts w:ascii="Times New Roman" w:hAnsi="Times New Roman" w:cs="Times New Roman"/>
        </w:rPr>
        <w:tab/>
      </w:r>
      <w:r w:rsidRPr="00072CEC">
        <w:rPr>
          <w:rFonts w:ascii="Times New Roman" w:hAnsi="Times New Roman" w:cs="Times New Roman"/>
        </w:rPr>
        <w:tab/>
      </w:r>
      <w:r w:rsidRPr="00072CEC">
        <w:rPr>
          <w:rFonts w:ascii="Times New Roman" w:hAnsi="Times New Roman" w:cs="Times New Roman"/>
        </w:rPr>
        <w:tab/>
      </w:r>
      <w:r w:rsidRPr="00072CEC">
        <w:rPr>
          <w:rFonts w:ascii="Times New Roman" w:hAnsi="Times New Roman" w:cs="Times New Roman"/>
        </w:rPr>
        <w:tab/>
      </w:r>
      <w:r w:rsidRPr="00072CEC">
        <w:rPr>
          <w:rFonts w:ascii="Times New Roman" w:hAnsi="Times New Roman" w:cs="Times New Roman"/>
        </w:rPr>
        <w:tab/>
      </w:r>
      <w:r w:rsidRPr="00072CEC">
        <w:rPr>
          <w:rFonts w:ascii="Times New Roman" w:hAnsi="Times New Roman" w:cs="Times New Roman"/>
        </w:rPr>
        <w:tab/>
        <w:t xml:space="preserve">      J. Graudiņ</w:t>
      </w:r>
      <w:r>
        <w:rPr>
          <w:rFonts w:ascii="Times New Roman" w:hAnsi="Times New Roman" w:cs="Times New Roman"/>
        </w:rPr>
        <w:t>š</w:t>
      </w:r>
    </w:p>
    <w:p w14:paraId="5D4141CF" w14:textId="77777777" w:rsidR="00F2620C" w:rsidRPr="00072CEC" w:rsidRDefault="00F2620C" w:rsidP="00F2620C">
      <w:pPr>
        <w:tabs>
          <w:tab w:val="left" w:pos="2340"/>
          <w:tab w:val="left" w:pos="9000"/>
        </w:tabs>
        <w:spacing w:after="0" w:line="276" w:lineRule="auto"/>
        <w:jc w:val="both"/>
        <w:rPr>
          <w:rFonts w:ascii="Times New Roman" w:hAnsi="Times New Roman" w:cs="Times New Roman"/>
        </w:rPr>
      </w:pPr>
      <w:r>
        <w:rPr>
          <w:rFonts w:ascii="Times New Roman" w:hAnsi="Times New Roman" w:cs="Times New Roman"/>
        </w:rPr>
        <w:t>Mežinska</w:t>
      </w:r>
    </w:p>
    <w:p w14:paraId="3655A99E" w14:textId="1CD1A8BD" w:rsidR="00F2620C" w:rsidRPr="00F2620C" w:rsidRDefault="00F2620C" w:rsidP="00F2620C">
      <w:pPr>
        <w:jc w:val="both"/>
        <w:rPr>
          <w:rFonts w:ascii="Times New Roman" w:hAnsi="Times New Roman" w:cs="Times New Roman"/>
        </w:rPr>
      </w:pPr>
      <w:r>
        <w:rPr>
          <w:rFonts w:ascii="Times New Roman" w:hAnsi="Times New Roman" w:cs="Times New Roman"/>
          <w:sz w:val="16"/>
          <w:szCs w:val="16"/>
        </w:rPr>
        <w:t>25157975</w:t>
      </w:r>
    </w:p>
    <w:sectPr w:rsidR="00F2620C" w:rsidRPr="00F2620C" w:rsidSect="00F2620C">
      <w:headerReference w:type="default" r:id="rId6"/>
      <w:footerReference w:type="default" r:id="rId7"/>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08CE" w14:textId="77777777" w:rsidR="00AE5F69" w:rsidRDefault="00AE5F69" w:rsidP="00F2620C">
      <w:pPr>
        <w:spacing w:after="0" w:line="240" w:lineRule="auto"/>
      </w:pPr>
      <w:r>
        <w:separator/>
      </w:r>
    </w:p>
  </w:endnote>
  <w:endnote w:type="continuationSeparator" w:id="0">
    <w:p w14:paraId="7FC4AFCA" w14:textId="77777777" w:rsidR="00AE5F69" w:rsidRDefault="00AE5F69" w:rsidP="00F2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8A5" w14:textId="77777777" w:rsidR="00F2620C" w:rsidRDefault="00F2620C" w:rsidP="00F2620C">
    <w:pPr>
      <w:pStyle w:val="Kjene"/>
    </w:pPr>
    <w:r w:rsidRPr="00BD138B">
      <w:rPr>
        <w:rFonts w:ascii="Times New Roman" w:hAnsi="Times New Roman" w:cs="Times New Roman"/>
      </w:rPr>
      <w:t>ŠIS DOKUMENTS IR ELEKTRONISKI PARAKSTĪTS UN SATUR LAIKA ZĪMOGU</w:t>
    </w:r>
  </w:p>
  <w:p w14:paraId="2D73F464" w14:textId="77777777" w:rsidR="00F2620C" w:rsidRDefault="00F2620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A350" w14:textId="77777777" w:rsidR="00AE5F69" w:rsidRDefault="00AE5F69" w:rsidP="00F2620C">
      <w:pPr>
        <w:spacing w:after="0" w:line="240" w:lineRule="auto"/>
      </w:pPr>
      <w:r>
        <w:separator/>
      </w:r>
    </w:p>
  </w:footnote>
  <w:footnote w:type="continuationSeparator" w:id="0">
    <w:p w14:paraId="7777373E" w14:textId="77777777" w:rsidR="00AE5F69" w:rsidRDefault="00AE5F69" w:rsidP="00F26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DF3D" w14:textId="77777777" w:rsidR="00F2620C" w:rsidRPr="00F2620C" w:rsidRDefault="00F2620C" w:rsidP="00F2620C">
    <w:pPr>
      <w:spacing w:after="0" w:line="240" w:lineRule="auto"/>
      <w:jc w:val="center"/>
      <w:rPr>
        <w:rFonts w:ascii="Times New Roman" w:eastAsia="Times New Roman" w:hAnsi="Times New Roman" w:cs="Times New Roman"/>
        <w:caps/>
        <w:kern w:val="0"/>
        <w:lang w:val="en-GB"/>
        <w14:ligatures w14:val="none"/>
      </w:rPr>
    </w:pPr>
    <w:bookmarkStart w:id="0" w:name="_Hlk200637827"/>
    <w:bookmarkStart w:id="1" w:name="_Hlk200637828"/>
    <w:bookmarkStart w:id="2" w:name="_Hlk200637829"/>
    <w:bookmarkStart w:id="3" w:name="_Hlk200637830"/>
    <w:bookmarkStart w:id="4" w:name="_Hlk200637836"/>
    <w:bookmarkStart w:id="5" w:name="_Hlk200637837"/>
    <w:bookmarkStart w:id="6" w:name="_Hlk200637838"/>
    <w:bookmarkStart w:id="7" w:name="_Hlk200637839"/>
    <w:r w:rsidRPr="00F2620C">
      <w:rPr>
        <w:rFonts w:ascii="Times New Roman" w:eastAsia="Times New Roman" w:hAnsi="Times New Roman" w:cs="Times New Roman"/>
        <w:b/>
        <w:bCs/>
        <w:caps/>
        <w:noProof/>
        <w:kern w:val="0"/>
        <w:lang w:eastAsia="lv-LV"/>
        <w14:ligatures w14:val="none"/>
      </w:rPr>
      <w:drawing>
        <wp:anchor distT="0" distB="0" distL="114300" distR="114300" simplePos="0" relativeHeight="251659264" behindDoc="0" locked="0" layoutInCell="1" allowOverlap="1" wp14:anchorId="0C94A9EE" wp14:editId="3E47D2AC">
          <wp:simplePos x="0" y="0"/>
          <wp:positionH relativeFrom="column">
            <wp:posOffset>2811145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20C">
      <w:rPr>
        <w:rFonts w:ascii="Times New Roman" w:eastAsia="Times New Roman" w:hAnsi="Times New Roman" w:cs="Times New Roman"/>
        <w:b/>
        <w:bCs/>
        <w:caps/>
        <w:noProof/>
        <w:kern w:val="0"/>
        <w:lang w:val="en-GB"/>
        <w14:ligatures w14:val="none"/>
      </w:rPr>
      <w:t>Limbažu novada pašvaldība</w:t>
    </w:r>
  </w:p>
  <w:p w14:paraId="60950472" w14:textId="77777777" w:rsidR="00F2620C" w:rsidRPr="00F2620C" w:rsidRDefault="00F2620C" w:rsidP="00F2620C">
    <w:pPr>
      <w:spacing w:after="0" w:line="259" w:lineRule="auto"/>
      <w:jc w:val="center"/>
      <w:rPr>
        <w:rFonts w:ascii="Times New Roman" w:eastAsia="Calibri" w:hAnsi="Times New Roman" w:cs="Times New Roman"/>
        <w:b/>
        <w:caps/>
        <w:sz w:val="28"/>
        <w:szCs w:val="28"/>
      </w:rPr>
    </w:pPr>
    <w:r w:rsidRPr="00F2620C">
      <w:rPr>
        <w:rFonts w:ascii="Times New Roman" w:eastAsia="Calibri" w:hAnsi="Times New Roman" w:cs="Times New Roman"/>
        <w:b/>
        <w:caps/>
        <w:noProof/>
        <w:sz w:val="28"/>
        <w:szCs w:val="28"/>
      </w:rPr>
      <w:t>Iepirkumu komisija</w:t>
    </w:r>
  </w:p>
  <w:p w14:paraId="4FD868B9" w14:textId="77777777" w:rsidR="00F2620C" w:rsidRPr="00F2620C" w:rsidRDefault="00F2620C" w:rsidP="00F2620C">
    <w:pPr>
      <w:spacing w:after="0" w:line="259" w:lineRule="auto"/>
      <w:jc w:val="center"/>
      <w:rPr>
        <w:rFonts w:ascii="Times New Roman" w:eastAsia="Calibri" w:hAnsi="Times New Roman" w:cs="Times New Roman"/>
        <w:sz w:val="18"/>
        <w:szCs w:val="20"/>
      </w:rPr>
    </w:pPr>
    <w:proofErr w:type="spellStart"/>
    <w:r w:rsidRPr="00F2620C">
      <w:rPr>
        <w:rFonts w:ascii="Times New Roman" w:eastAsia="Calibri" w:hAnsi="Times New Roman" w:cs="Times New Roman"/>
        <w:sz w:val="18"/>
        <w:szCs w:val="20"/>
      </w:rPr>
      <w:t>Reģ</w:t>
    </w:r>
    <w:proofErr w:type="spellEnd"/>
    <w:r w:rsidRPr="00F2620C">
      <w:rPr>
        <w:rFonts w:ascii="Times New Roman" w:eastAsia="Calibri" w:hAnsi="Times New Roman" w:cs="Times New Roman"/>
        <w:sz w:val="18"/>
        <w:szCs w:val="20"/>
      </w:rPr>
      <w:t xml:space="preserve">. Nr. </w:t>
    </w:r>
    <w:r w:rsidRPr="00F2620C">
      <w:rPr>
        <w:rFonts w:ascii="Times New Roman" w:eastAsia="Calibri" w:hAnsi="Times New Roman" w:cs="Times New Roman"/>
        <w:noProof/>
        <w:sz w:val="18"/>
        <w:szCs w:val="20"/>
      </w:rPr>
      <w:t>90009114631</w:t>
    </w:r>
    <w:r w:rsidRPr="00F2620C">
      <w:rPr>
        <w:rFonts w:ascii="Times New Roman" w:eastAsia="Calibri" w:hAnsi="Times New Roman" w:cs="Times New Roman"/>
        <w:sz w:val="18"/>
        <w:szCs w:val="20"/>
      </w:rPr>
      <w:t xml:space="preserve">; </w:t>
    </w:r>
    <w:r w:rsidRPr="00F2620C">
      <w:rPr>
        <w:rFonts w:ascii="Times New Roman" w:eastAsia="Calibri" w:hAnsi="Times New Roman" w:cs="Times New Roman"/>
        <w:noProof/>
        <w:sz w:val="18"/>
        <w:szCs w:val="20"/>
      </w:rPr>
      <w:t>Rīgas iela 16, Limbaži, Limbažu novads, LV-4001</w:t>
    </w:r>
    <w:r w:rsidRPr="00F2620C">
      <w:rPr>
        <w:rFonts w:ascii="Times New Roman" w:eastAsia="Calibri" w:hAnsi="Times New Roman" w:cs="Times New Roman"/>
        <w:sz w:val="18"/>
        <w:szCs w:val="20"/>
      </w:rPr>
      <w:t xml:space="preserve">; </w:t>
    </w:r>
  </w:p>
  <w:p w14:paraId="3C365CD8" w14:textId="0BF68F8C" w:rsidR="00F2620C" w:rsidRPr="00F2620C" w:rsidRDefault="00F2620C" w:rsidP="00F2620C">
    <w:pPr>
      <w:spacing w:after="0" w:line="259" w:lineRule="auto"/>
      <w:jc w:val="center"/>
      <w:rPr>
        <w:rFonts w:ascii="Times New Roman" w:eastAsia="Calibri" w:hAnsi="Times New Roman" w:cs="Times New Roman"/>
        <w:sz w:val="18"/>
        <w:szCs w:val="20"/>
      </w:rPr>
    </w:pPr>
    <w:r w:rsidRPr="00F2620C">
      <w:rPr>
        <w:rFonts w:ascii="Times New Roman" w:eastAsia="Calibri" w:hAnsi="Times New Roman" w:cs="Times New Roman"/>
        <w:sz w:val="18"/>
        <w:szCs w:val="20"/>
      </w:rPr>
      <w:t>E-pasts</w:t>
    </w:r>
    <w:r w:rsidRPr="00F2620C">
      <w:rPr>
        <w:rFonts w:ascii="Times New Roman" w:eastAsia="Calibri" w:hAnsi="Times New Roman" w:cs="Times New Roman"/>
        <w:iCs/>
        <w:sz w:val="18"/>
        <w:szCs w:val="20"/>
      </w:rPr>
      <w:t xml:space="preserve"> </w:t>
    </w:r>
    <w:r w:rsidRPr="00F2620C">
      <w:rPr>
        <w:rFonts w:ascii="Times New Roman" w:eastAsia="Calibri" w:hAnsi="Times New Roman" w:cs="Times New Roman"/>
        <w:iCs/>
        <w:noProof/>
        <w:sz w:val="18"/>
        <w:szCs w:val="20"/>
      </w:rPr>
      <w:t>iepirkumi@limbazunovads.lv</w:t>
    </w:r>
    <w:bookmarkEnd w:id="0"/>
    <w:bookmarkEnd w:id="1"/>
    <w:bookmarkEnd w:id="2"/>
    <w:bookmarkEnd w:id="3"/>
    <w:bookmarkEnd w:id="4"/>
    <w:bookmarkEnd w:id="5"/>
    <w:bookmarkEnd w:id="6"/>
    <w:bookmarkEnd w:id="7"/>
  </w:p>
  <w:p w14:paraId="7EA91B0E" w14:textId="77777777" w:rsidR="00F2620C" w:rsidRDefault="00F2620C">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07"/>
    <w:rsid w:val="00763EEB"/>
    <w:rsid w:val="009B4107"/>
    <w:rsid w:val="00AE5F69"/>
    <w:rsid w:val="00F26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051"/>
  <w15:chartTrackingRefBased/>
  <w15:docId w15:val="{D54CD100-D687-4A21-8BA1-7C0D1351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B41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B41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B410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B410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B410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B410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B410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B410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B410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B41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B41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B41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B41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B41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B41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B41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B41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B410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B4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B410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B410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B410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B410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B4107"/>
    <w:rPr>
      <w:i/>
      <w:iCs/>
      <w:color w:val="404040" w:themeColor="text1" w:themeTint="BF"/>
    </w:rPr>
  </w:style>
  <w:style w:type="paragraph" w:styleId="Sarakstarindkopa">
    <w:name w:val="List Paragraph"/>
    <w:basedOn w:val="Parasts"/>
    <w:uiPriority w:val="34"/>
    <w:qFormat/>
    <w:rsid w:val="009B4107"/>
    <w:pPr>
      <w:ind w:left="720"/>
      <w:contextualSpacing/>
    </w:pPr>
  </w:style>
  <w:style w:type="character" w:styleId="Intensvsizclums">
    <w:name w:val="Intense Emphasis"/>
    <w:basedOn w:val="Noklusjumarindkopasfonts"/>
    <w:uiPriority w:val="21"/>
    <w:qFormat/>
    <w:rsid w:val="009B4107"/>
    <w:rPr>
      <w:i/>
      <w:iCs/>
      <w:color w:val="2F5496" w:themeColor="accent1" w:themeShade="BF"/>
    </w:rPr>
  </w:style>
  <w:style w:type="paragraph" w:styleId="Intensvscitts">
    <w:name w:val="Intense Quote"/>
    <w:basedOn w:val="Parasts"/>
    <w:next w:val="Parasts"/>
    <w:link w:val="IntensvscittsRakstz"/>
    <w:uiPriority w:val="30"/>
    <w:qFormat/>
    <w:rsid w:val="009B4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B4107"/>
    <w:rPr>
      <w:i/>
      <w:iCs/>
      <w:color w:val="2F5496" w:themeColor="accent1" w:themeShade="BF"/>
    </w:rPr>
  </w:style>
  <w:style w:type="character" w:styleId="Intensvaatsauce">
    <w:name w:val="Intense Reference"/>
    <w:basedOn w:val="Noklusjumarindkopasfonts"/>
    <w:uiPriority w:val="32"/>
    <w:qFormat/>
    <w:rsid w:val="009B4107"/>
    <w:rPr>
      <w:b/>
      <w:bCs/>
      <w:smallCaps/>
      <w:color w:val="2F5496" w:themeColor="accent1" w:themeShade="BF"/>
      <w:spacing w:val="5"/>
    </w:rPr>
  </w:style>
  <w:style w:type="paragraph" w:styleId="Galvene">
    <w:name w:val="header"/>
    <w:basedOn w:val="Parasts"/>
    <w:link w:val="GalveneRakstz"/>
    <w:uiPriority w:val="99"/>
    <w:unhideWhenUsed/>
    <w:rsid w:val="00F2620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620C"/>
  </w:style>
  <w:style w:type="paragraph" w:styleId="Kjene">
    <w:name w:val="footer"/>
    <w:basedOn w:val="Parasts"/>
    <w:link w:val="KjeneRakstz"/>
    <w:uiPriority w:val="99"/>
    <w:unhideWhenUsed/>
    <w:rsid w:val="00F262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1180</Words>
  <Characters>673</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cp:revision>
  <dcterms:created xsi:type="dcterms:W3CDTF">2026-05-07T13:31:00Z</dcterms:created>
  <dcterms:modified xsi:type="dcterms:W3CDTF">2026-05-07T13:52:00Z</dcterms:modified>
</cp:coreProperties>
</file>