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207B" w14:textId="77777777" w:rsidR="00DB7615" w:rsidRPr="00DB1C5E" w:rsidRDefault="00DB7615" w:rsidP="00DB7615">
      <w:pPr>
        <w:rPr>
          <w:sz w:val="26"/>
          <w:szCs w:val="26"/>
        </w:rPr>
      </w:pPr>
    </w:p>
    <w:p w14:paraId="21BBD14C" w14:textId="77777777" w:rsidR="00DB7615" w:rsidRPr="00DB1C5E" w:rsidRDefault="00DB7615" w:rsidP="00DB7615">
      <w:pPr>
        <w:rPr>
          <w:sz w:val="26"/>
          <w:szCs w:val="26"/>
        </w:rPr>
      </w:pPr>
    </w:p>
    <w:p w14:paraId="0172C964" w14:textId="74CC2899" w:rsidR="005F418B" w:rsidRPr="005F418B" w:rsidRDefault="005F418B" w:rsidP="005F418B">
      <w:pPr>
        <w:jc w:val="right"/>
        <w:rPr>
          <w:rFonts w:eastAsia="Calibri"/>
          <w:bCs/>
        </w:rPr>
      </w:pPr>
      <w:bookmarkStart w:id="0" w:name="_Hlk50113816"/>
      <w:r w:rsidRPr="005F418B">
        <w:rPr>
          <w:rFonts w:eastAsia="Calibri"/>
          <w:bCs/>
        </w:rPr>
        <w:t>IZRAKSTS</w:t>
      </w:r>
    </w:p>
    <w:p w14:paraId="6A04319E" w14:textId="2CACEFA8" w:rsidR="005029DF" w:rsidRPr="00135294" w:rsidRDefault="002150BB" w:rsidP="005029DF">
      <w:pPr>
        <w:jc w:val="center"/>
        <w:rPr>
          <w:rFonts w:eastAsia="Calibri"/>
          <w:b/>
        </w:rPr>
      </w:pPr>
      <w:r>
        <w:rPr>
          <w:rFonts w:eastAsia="Calibri"/>
          <w:b/>
        </w:rPr>
        <w:t>ZIŅOJUMS</w:t>
      </w:r>
    </w:p>
    <w:p w14:paraId="3DF07AE7" w14:textId="77777777" w:rsidR="005029DF" w:rsidRPr="00135294" w:rsidRDefault="005029DF" w:rsidP="005029DF">
      <w:pPr>
        <w:jc w:val="center"/>
        <w:rPr>
          <w:rFonts w:eastAsia="Calibri"/>
          <w:b/>
        </w:rPr>
      </w:pPr>
      <w:r w:rsidRPr="00135294">
        <w:rPr>
          <w:lang w:eastAsia="lv-LV"/>
        </w:rPr>
        <w:t xml:space="preserve">iepirkumā, kas tiek rīkots </w:t>
      </w:r>
      <w:r w:rsidRPr="00135294">
        <w:rPr>
          <w:rFonts w:eastAsia="Calibri"/>
        </w:rPr>
        <w:t>Publisko iepirkumu likuma 9.</w:t>
      </w:r>
      <w:r w:rsidRPr="00135294">
        <w:rPr>
          <w:rFonts w:eastAsia="Calibri"/>
          <w:vertAlign w:val="superscript"/>
        </w:rPr>
        <w:t xml:space="preserve"> </w:t>
      </w:r>
      <w:r w:rsidRPr="00135294">
        <w:rPr>
          <w:rFonts w:eastAsia="Calibri"/>
        </w:rPr>
        <w:t>panta noteiktajā kārtībā</w:t>
      </w:r>
    </w:p>
    <w:p w14:paraId="19037E8B" w14:textId="72F56337" w:rsidR="00842D70" w:rsidRDefault="00842D70" w:rsidP="005029DF">
      <w:pPr>
        <w:jc w:val="center"/>
        <w:rPr>
          <w:rFonts w:eastAsia="Calibri"/>
          <w:b/>
        </w:rPr>
      </w:pPr>
      <w:r w:rsidRPr="00842D70">
        <w:rPr>
          <w:rFonts w:eastAsia="Calibri"/>
          <w:b/>
        </w:rPr>
        <w:t>“</w:t>
      </w:r>
      <w:r w:rsidR="005650EF" w:rsidRPr="005650EF">
        <w:rPr>
          <w:rFonts w:eastAsia="Calibri"/>
          <w:b/>
        </w:rPr>
        <w:t>Nelaimes gadījumu apdrošināšana</w:t>
      </w:r>
      <w:r w:rsidRPr="00842D70">
        <w:rPr>
          <w:rFonts w:eastAsia="Calibri"/>
          <w:b/>
        </w:rPr>
        <w:t xml:space="preserve">” </w:t>
      </w:r>
    </w:p>
    <w:p w14:paraId="3628295A" w14:textId="4736F706" w:rsidR="005029DF" w:rsidRPr="00135294" w:rsidRDefault="005029DF" w:rsidP="005029DF">
      <w:pPr>
        <w:jc w:val="center"/>
        <w:rPr>
          <w:lang w:eastAsia="lv-LV"/>
        </w:rPr>
      </w:pPr>
      <w:r w:rsidRPr="00135294">
        <w:rPr>
          <w:lang w:eastAsia="lv-LV"/>
        </w:rPr>
        <w:t xml:space="preserve">(identifikācijas Nr. </w:t>
      </w:r>
      <w:r w:rsidR="003A2E9D">
        <w:rPr>
          <w:bCs/>
          <w:lang w:eastAsia="lv-LV"/>
        </w:rPr>
        <w:t>NPVC/</w:t>
      </w:r>
      <w:r w:rsidR="00563FAB">
        <w:rPr>
          <w:bCs/>
          <w:lang w:eastAsia="lv-LV"/>
        </w:rPr>
        <w:t>2026/13</w:t>
      </w:r>
      <w:r w:rsidRPr="00135294">
        <w:rPr>
          <w:lang w:eastAsia="lv-LV"/>
        </w:rPr>
        <w:t>)</w:t>
      </w:r>
    </w:p>
    <w:p w14:paraId="3DC7316B" w14:textId="77777777" w:rsidR="005029DF" w:rsidRDefault="005029DF" w:rsidP="005029DF">
      <w:pPr>
        <w:jc w:val="both"/>
        <w:rPr>
          <w:lang w:eastAsia="lv-LV"/>
        </w:rPr>
      </w:pPr>
    </w:p>
    <w:p w14:paraId="1DBFB9E7" w14:textId="110EB20C" w:rsidR="005029DF" w:rsidRPr="00135294" w:rsidRDefault="00173D56" w:rsidP="005029DF">
      <w:pPr>
        <w:jc w:val="both"/>
        <w:rPr>
          <w:lang w:eastAsia="lv-LV"/>
        </w:rPr>
      </w:pPr>
      <w:r>
        <w:rPr>
          <w:lang w:eastAsia="lv-LV"/>
        </w:rPr>
        <w:t>202</w:t>
      </w:r>
      <w:r w:rsidR="00563FAB">
        <w:rPr>
          <w:lang w:eastAsia="lv-LV"/>
        </w:rPr>
        <w:t>6</w:t>
      </w:r>
      <w:r>
        <w:rPr>
          <w:lang w:eastAsia="lv-LV"/>
        </w:rPr>
        <w:t xml:space="preserve">. gada </w:t>
      </w:r>
      <w:r w:rsidR="00563FAB">
        <w:rPr>
          <w:lang w:eastAsia="lv-LV"/>
        </w:rPr>
        <w:t>2</w:t>
      </w:r>
      <w:r w:rsidR="00F8691F">
        <w:rPr>
          <w:lang w:eastAsia="lv-LV"/>
        </w:rPr>
        <w:t>6</w:t>
      </w:r>
      <w:r w:rsidR="00563FAB">
        <w:rPr>
          <w:lang w:eastAsia="lv-LV"/>
        </w:rPr>
        <w:t>. jūnijā</w:t>
      </w:r>
    </w:p>
    <w:p w14:paraId="5F4B9933" w14:textId="77777777" w:rsidR="005029DF" w:rsidRPr="00135294" w:rsidRDefault="005029DF" w:rsidP="005029DF">
      <w:pPr>
        <w:jc w:val="both"/>
        <w:rPr>
          <w:sz w:val="23"/>
          <w:szCs w:val="23"/>
          <w:highlight w:val="yellow"/>
          <w:lang w:eastAsia="lv-LV"/>
        </w:rPr>
      </w:pPr>
    </w:p>
    <w:p w14:paraId="724121E6" w14:textId="7180C9F2" w:rsidR="005029DF" w:rsidRPr="00B27D85" w:rsidRDefault="005029DF" w:rsidP="005029DF">
      <w:pPr>
        <w:numPr>
          <w:ilvl w:val="0"/>
          <w:numId w:val="8"/>
        </w:numPr>
        <w:spacing w:after="120" w:line="276" w:lineRule="auto"/>
        <w:ind w:left="425" w:hanging="425"/>
        <w:contextualSpacing/>
        <w:jc w:val="both"/>
        <w:rPr>
          <w:rFonts w:eastAsia="Calibri"/>
        </w:rPr>
      </w:pPr>
      <w:r w:rsidRPr="00135294">
        <w:rPr>
          <w:rFonts w:eastAsia="Calibri"/>
          <w:b/>
        </w:rPr>
        <w:t>Pasūtītājs</w:t>
      </w:r>
      <w:r>
        <w:rPr>
          <w:rFonts w:eastAsia="Calibri"/>
        </w:rPr>
        <w:t xml:space="preserve">: </w:t>
      </w:r>
      <w:r w:rsidR="003A2E9D" w:rsidRPr="003A2E9D">
        <w:rPr>
          <w:rFonts w:eastAsia="Calibri"/>
        </w:rPr>
        <w:t>Nacionālais psihiskās veselības centrs, Valsts SIA</w:t>
      </w:r>
      <w:r w:rsidRPr="00B27D85">
        <w:rPr>
          <w:rFonts w:eastAsia="Calibri"/>
        </w:rPr>
        <w:t xml:space="preserve">, reģ. </w:t>
      </w:r>
      <w:r w:rsidRPr="00135294">
        <w:rPr>
          <w:lang w:eastAsia="lv-LV"/>
        </w:rPr>
        <w:t>Nr.</w:t>
      </w:r>
      <w:r w:rsidRPr="00135294">
        <w:t xml:space="preserve"> </w:t>
      </w:r>
      <w:r w:rsidR="003A2E9D" w:rsidRPr="003A2E9D">
        <w:t>50003342481</w:t>
      </w:r>
      <w:r w:rsidRPr="00135294">
        <w:rPr>
          <w:lang w:eastAsia="lv-LV"/>
        </w:rPr>
        <w:t xml:space="preserve">, </w:t>
      </w:r>
      <w:r w:rsidR="003A2E9D" w:rsidRPr="003A2E9D">
        <w:t>Tvaika iela 2</w:t>
      </w:r>
      <w:r w:rsidRPr="00135294">
        <w:t>, Rīga, LV-100</w:t>
      </w:r>
      <w:r w:rsidR="003A2E9D">
        <w:t>5</w:t>
      </w:r>
      <w:r w:rsidRPr="00135294">
        <w:t>.</w:t>
      </w:r>
    </w:p>
    <w:p w14:paraId="6E06BF78" w14:textId="77777777" w:rsidR="00173D56" w:rsidRPr="00173D56" w:rsidRDefault="005029DF" w:rsidP="00B23F01">
      <w:pPr>
        <w:numPr>
          <w:ilvl w:val="0"/>
          <w:numId w:val="8"/>
        </w:numPr>
        <w:spacing w:before="240" w:after="120" w:line="276" w:lineRule="auto"/>
        <w:ind w:left="425" w:hanging="425"/>
        <w:contextualSpacing/>
        <w:jc w:val="both"/>
        <w:rPr>
          <w:rFonts w:eastAsia="Calibri"/>
          <w:b/>
        </w:rPr>
      </w:pPr>
      <w:r w:rsidRPr="00173D56">
        <w:rPr>
          <w:rFonts w:eastAsia="Calibri"/>
          <w:b/>
        </w:rPr>
        <w:t>Piedāvājuma izvēles kritērijs:</w:t>
      </w:r>
      <w:r w:rsidRPr="00173D56">
        <w:rPr>
          <w:rFonts w:eastAsia="Calibri"/>
          <w:b/>
          <w:bCs/>
        </w:rPr>
        <w:t xml:space="preserve"> </w:t>
      </w:r>
      <w:r w:rsidR="00173D56" w:rsidRPr="00173D56">
        <w:rPr>
          <w:rFonts w:eastAsia="Calibri"/>
        </w:rPr>
        <w:t xml:space="preserve">Saimnieciski visizdevīgākais </w:t>
      </w:r>
      <w:r w:rsidR="006622AB" w:rsidRPr="00173D56">
        <w:rPr>
          <w:rFonts w:eastAsia="Calibri"/>
        </w:rPr>
        <w:t>p</w:t>
      </w:r>
      <w:r w:rsidRPr="00173D56">
        <w:rPr>
          <w:rFonts w:eastAsia="Calibri"/>
        </w:rPr>
        <w:t>iedāvājums</w:t>
      </w:r>
      <w:r w:rsidR="00173D56">
        <w:rPr>
          <w:rFonts w:eastAsia="Calibri"/>
        </w:rPr>
        <w:t xml:space="preserve">. </w:t>
      </w:r>
      <w:r w:rsidR="00173D56" w:rsidRPr="001062D4">
        <w:rPr>
          <w:lang w:eastAsia="lv-LV"/>
        </w:rPr>
        <w:t xml:space="preserve">Līguma slēgšanas tiesības piešķirot pretendentam, kurš iesniedzis Nolikuma prasībām atbilstošu saimnieciski visizdevīgāko piedāvājumu un kura piedāvājums ir atbilstošs PIL, </w:t>
      </w:r>
      <w:bookmarkStart w:id="1" w:name="_Hlk176177620"/>
      <w:r w:rsidR="00173D56" w:rsidRPr="001062D4">
        <w:rPr>
          <w:bCs/>
        </w:rPr>
        <w:t xml:space="preserve">Starptautisko un Latvijas Republikas nacionālo sankciju likumam </w:t>
      </w:r>
      <w:bookmarkEnd w:id="1"/>
      <w:r w:rsidR="00173D56" w:rsidRPr="001062D4">
        <w:rPr>
          <w:lang w:eastAsia="lv-LV"/>
        </w:rPr>
        <w:t>un Nolikumam</w:t>
      </w:r>
      <w:r w:rsidR="00173D56">
        <w:rPr>
          <w:lang w:eastAsia="lv-LV"/>
        </w:rPr>
        <w:t>.</w:t>
      </w:r>
    </w:p>
    <w:p w14:paraId="1F761E11" w14:textId="6F962498" w:rsidR="00222479" w:rsidRPr="00173D56" w:rsidRDefault="005029DF" w:rsidP="00B23F01">
      <w:pPr>
        <w:numPr>
          <w:ilvl w:val="0"/>
          <w:numId w:val="8"/>
        </w:numPr>
        <w:spacing w:before="240" w:after="120" w:line="276" w:lineRule="auto"/>
        <w:ind w:left="425" w:hanging="425"/>
        <w:contextualSpacing/>
        <w:jc w:val="both"/>
        <w:rPr>
          <w:rFonts w:eastAsia="Calibri"/>
          <w:b/>
        </w:rPr>
      </w:pPr>
      <w:r w:rsidRPr="00173D56">
        <w:rPr>
          <w:rFonts w:eastAsia="Calibri"/>
          <w:b/>
        </w:rPr>
        <w:t>Pretendenti, kas iesniedza piedāvājumus iepirkumā, un piedāvātās cenas</w:t>
      </w:r>
      <w:r w:rsidR="00842D70" w:rsidRPr="00173D56">
        <w:rPr>
          <w:rFonts w:eastAsia="Calibri"/>
          <w:b/>
        </w:rPr>
        <w:t>:</w:t>
      </w:r>
    </w:p>
    <w:p w14:paraId="060B3512" w14:textId="2C8B0C2D" w:rsidR="005029DF" w:rsidRDefault="005029DF" w:rsidP="005029DF"/>
    <w:tbl>
      <w:tblPr>
        <w:tblStyle w:val="Reatabula"/>
        <w:tblW w:w="5000" w:type="pct"/>
        <w:tblLayout w:type="fixed"/>
        <w:tblLook w:val="04A0" w:firstRow="1" w:lastRow="0" w:firstColumn="1" w:lastColumn="0" w:noHBand="0" w:noVBand="1"/>
      </w:tblPr>
      <w:tblGrid>
        <w:gridCol w:w="2745"/>
        <w:gridCol w:w="3299"/>
        <w:gridCol w:w="3017"/>
      </w:tblGrid>
      <w:tr w:rsidR="00563FAB" w:rsidRPr="005A22F1" w14:paraId="5CFCAB45" w14:textId="77777777" w:rsidTr="00570F96">
        <w:tc>
          <w:tcPr>
            <w:tcW w:w="1514" w:type="pct"/>
            <w:shd w:val="pct10" w:color="auto" w:fill="auto"/>
          </w:tcPr>
          <w:p w14:paraId="1C677C80" w14:textId="77777777" w:rsidR="00563FAB" w:rsidRPr="005A22F1" w:rsidRDefault="00563FAB" w:rsidP="00570F96">
            <w:pPr>
              <w:rPr>
                <w:b/>
                <w:bCs/>
              </w:rPr>
            </w:pPr>
            <w:r w:rsidRPr="005A22F1">
              <w:rPr>
                <w:b/>
                <w:bCs/>
              </w:rPr>
              <w:t>Pretendents</w:t>
            </w:r>
          </w:p>
        </w:tc>
        <w:tc>
          <w:tcPr>
            <w:tcW w:w="1820" w:type="pct"/>
            <w:shd w:val="pct10" w:color="auto" w:fill="auto"/>
          </w:tcPr>
          <w:p w14:paraId="49200A00" w14:textId="77777777" w:rsidR="00563FAB" w:rsidRPr="005A22F1" w:rsidRDefault="00563FAB" w:rsidP="00570F96">
            <w:pPr>
              <w:rPr>
                <w:b/>
                <w:bCs/>
              </w:rPr>
            </w:pPr>
            <w:r w:rsidRPr="005A22F1">
              <w:rPr>
                <w:b/>
                <w:bCs/>
              </w:rPr>
              <w:t>Iesniegšanas datums un laiks</w:t>
            </w:r>
          </w:p>
        </w:tc>
        <w:tc>
          <w:tcPr>
            <w:tcW w:w="1665" w:type="pct"/>
            <w:shd w:val="pct10" w:color="auto" w:fill="auto"/>
          </w:tcPr>
          <w:p w14:paraId="6D2C711F" w14:textId="77777777" w:rsidR="00563FAB" w:rsidRPr="005A22F1" w:rsidRDefault="00563FAB" w:rsidP="00570F96">
            <w:pPr>
              <w:rPr>
                <w:b/>
                <w:bCs/>
              </w:rPr>
            </w:pPr>
            <w:r w:rsidRPr="005A22F1">
              <w:rPr>
                <w:b/>
              </w:rPr>
              <w:t>Finanšu piedāvājums</w:t>
            </w:r>
          </w:p>
        </w:tc>
      </w:tr>
      <w:tr w:rsidR="00563FAB" w:rsidRPr="005A22F1" w14:paraId="6A865185" w14:textId="77777777" w:rsidTr="00570F96">
        <w:tc>
          <w:tcPr>
            <w:tcW w:w="1514" w:type="pct"/>
          </w:tcPr>
          <w:p w14:paraId="64435D64" w14:textId="77777777" w:rsidR="00563FAB" w:rsidRPr="005A22F1" w:rsidRDefault="00563FAB" w:rsidP="00570F96">
            <w:pPr>
              <w:rPr>
                <w:bCs/>
              </w:rPr>
            </w:pPr>
            <w:r w:rsidRPr="005A22F1">
              <w:t>Compensa Vienna Insurance Group ADB Latvijas filiāle</w:t>
            </w:r>
            <w:r w:rsidRPr="005A22F1">
              <w:rPr>
                <w:bCs/>
              </w:rPr>
              <w:t xml:space="preserve"> </w:t>
            </w:r>
          </w:p>
        </w:tc>
        <w:tc>
          <w:tcPr>
            <w:tcW w:w="1820" w:type="pct"/>
          </w:tcPr>
          <w:p w14:paraId="0762B1AE" w14:textId="77777777" w:rsidR="00563FAB" w:rsidRPr="005A22F1" w:rsidRDefault="00563FAB" w:rsidP="00570F96">
            <w:pPr>
              <w:rPr>
                <w:bCs/>
              </w:rPr>
            </w:pPr>
            <w:r w:rsidRPr="005A22F1">
              <w:t>04.06.2026 plkst. 14:34</w:t>
            </w:r>
          </w:p>
        </w:tc>
        <w:tc>
          <w:tcPr>
            <w:tcW w:w="1665" w:type="pct"/>
          </w:tcPr>
          <w:p w14:paraId="70470659" w14:textId="77777777" w:rsidR="00563FAB" w:rsidRPr="005A22F1" w:rsidRDefault="00563FAB" w:rsidP="00570F96">
            <w:r w:rsidRPr="005A22F1">
              <w:t>EUR 6955.0</w:t>
            </w:r>
          </w:p>
          <w:p w14:paraId="6FCB6FA0" w14:textId="77777777" w:rsidR="00563FAB" w:rsidRPr="005A22F1" w:rsidRDefault="00563FAB" w:rsidP="00570F96">
            <w:pPr>
              <w:rPr>
                <w:bCs/>
              </w:rPr>
            </w:pPr>
          </w:p>
        </w:tc>
      </w:tr>
      <w:tr w:rsidR="00563FAB" w:rsidRPr="005A22F1" w14:paraId="5C92B5E6" w14:textId="77777777" w:rsidTr="00570F96">
        <w:tc>
          <w:tcPr>
            <w:tcW w:w="1514" w:type="pct"/>
          </w:tcPr>
          <w:p w14:paraId="3DF25A05" w14:textId="77777777" w:rsidR="00563FAB" w:rsidRPr="005A22F1" w:rsidRDefault="00563FAB" w:rsidP="00570F96">
            <w:pPr>
              <w:rPr>
                <w:bCs/>
              </w:rPr>
            </w:pPr>
            <w:r w:rsidRPr="005A22F1">
              <w:t>ERGO Insurance SE Latvijas filiāle</w:t>
            </w:r>
            <w:r w:rsidRPr="005A22F1">
              <w:rPr>
                <w:bCs/>
              </w:rPr>
              <w:t xml:space="preserve"> </w:t>
            </w:r>
          </w:p>
        </w:tc>
        <w:tc>
          <w:tcPr>
            <w:tcW w:w="1820" w:type="pct"/>
          </w:tcPr>
          <w:p w14:paraId="15745194" w14:textId="77777777" w:rsidR="00563FAB" w:rsidRPr="005A22F1" w:rsidRDefault="00563FAB" w:rsidP="00570F96">
            <w:pPr>
              <w:rPr>
                <w:bCs/>
              </w:rPr>
            </w:pPr>
            <w:r w:rsidRPr="005A22F1">
              <w:t>05.06.2026 plkst. 12:49</w:t>
            </w:r>
          </w:p>
        </w:tc>
        <w:tc>
          <w:tcPr>
            <w:tcW w:w="1665" w:type="pct"/>
          </w:tcPr>
          <w:p w14:paraId="2A6A537D" w14:textId="77777777" w:rsidR="00563FAB" w:rsidRPr="005A22F1" w:rsidRDefault="00563FAB" w:rsidP="00570F96">
            <w:r w:rsidRPr="005A22F1">
              <w:t>EUR 8720.5</w:t>
            </w:r>
          </w:p>
          <w:p w14:paraId="4C11A924" w14:textId="77777777" w:rsidR="00563FAB" w:rsidRPr="005A22F1" w:rsidRDefault="00563FAB" w:rsidP="00570F96">
            <w:pPr>
              <w:rPr>
                <w:bCs/>
              </w:rPr>
            </w:pPr>
          </w:p>
        </w:tc>
      </w:tr>
    </w:tbl>
    <w:p w14:paraId="401023EE" w14:textId="77777777" w:rsidR="00842D70" w:rsidRPr="00AF0AE0" w:rsidRDefault="00842D70" w:rsidP="005029DF"/>
    <w:p w14:paraId="76FFABE2" w14:textId="77777777" w:rsidR="005029DF" w:rsidRPr="00CE031F" w:rsidRDefault="005029DF" w:rsidP="003A2E9D">
      <w:pPr>
        <w:jc w:val="both"/>
        <w:rPr>
          <w:rFonts w:eastAsia="Calibri"/>
          <w:sz w:val="4"/>
          <w:szCs w:val="4"/>
        </w:rPr>
      </w:pPr>
    </w:p>
    <w:p w14:paraId="2E817044" w14:textId="03BF5A1B" w:rsidR="003A2E9D" w:rsidRDefault="005029DF" w:rsidP="003A2E9D">
      <w:pPr>
        <w:pStyle w:val="Sarakstarindkopa"/>
        <w:numPr>
          <w:ilvl w:val="0"/>
          <w:numId w:val="8"/>
        </w:numPr>
        <w:ind w:left="426" w:hanging="426"/>
        <w:jc w:val="both"/>
        <w:rPr>
          <w:rFonts w:eastAsia="Calibri" w:cs="Arial Unicode MS"/>
          <w:lang w:eastAsia="en-US" w:bidi="bo-CN"/>
        </w:rPr>
      </w:pPr>
      <w:r w:rsidRPr="003A2E9D">
        <w:rPr>
          <w:rFonts w:eastAsia="Calibri"/>
          <w:b/>
        </w:rPr>
        <w:t>Pretendents, kuram piešķirtas līguma slēgšanas tiesības, un pamatojums piedāvājuma izvēlei</w:t>
      </w:r>
      <w:r w:rsidR="00842D70" w:rsidRPr="003A2E9D">
        <w:rPr>
          <w:rFonts w:eastAsia="Calibri"/>
        </w:rPr>
        <w:t xml:space="preserve">: </w:t>
      </w:r>
      <w:r w:rsidR="00173D56" w:rsidRPr="003A2E9D">
        <w:rPr>
          <w:rFonts w:eastAsia="Calibri" w:cs="Arial Unicode MS"/>
          <w:lang w:bidi="bo-CN"/>
        </w:rPr>
        <w:t>L</w:t>
      </w:r>
      <w:r w:rsidR="00BC1F49" w:rsidRPr="003A2E9D">
        <w:rPr>
          <w:rFonts w:eastAsia="Calibri" w:cs="Arial Unicode MS"/>
          <w:lang w:bidi="bo-CN"/>
        </w:rPr>
        <w:t xml:space="preserve">īguma slēgšanas tiesības piešķirtas </w:t>
      </w:r>
      <w:r w:rsidR="005650EF" w:rsidRPr="005650EF">
        <w:rPr>
          <w:rFonts w:eastAsia="Calibri" w:cs="Arial Unicode MS"/>
          <w:lang w:bidi="bo-CN"/>
        </w:rPr>
        <w:t>pretendentam "Compensa Vienna Insurance Group" ADB Latvijas filiāle</w:t>
      </w:r>
      <w:r w:rsidR="006622AB" w:rsidRPr="003A2E9D">
        <w:rPr>
          <w:rFonts w:eastAsia="Calibri" w:cs="Arial Unicode MS"/>
          <w:lang w:bidi="bo-CN"/>
        </w:rPr>
        <w:t xml:space="preserve">”, reģ. Nr. </w:t>
      </w:r>
      <w:r w:rsidR="005650EF" w:rsidRPr="005650EF">
        <w:rPr>
          <w:rFonts w:eastAsia="Calibri" w:cs="Arial Unicode MS"/>
          <w:lang w:bidi="bo-CN"/>
        </w:rPr>
        <w:t>40103942087</w:t>
      </w:r>
      <w:r w:rsidR="006622AB" w:rsidRPr="003A2E9D">
        <w:rPr>
          <w:rFonts w:eastAsia="Calibri" w:cs="Arial Unicode MS"/>
          <w:lang w:bidi="bo-CN"/>
        </w:rPr>
        <w:t xml:space="preserve">, </w:t>
      </w:r>
      <w:r w:rsidR="00BC1F49" w:rsidRPr="003A2E9D">
        <w:rPr>
          <w:rFonts w:eastAsia="Calibri" w:cs="Arial Unicode MS"/>
          <w:lang w:bidi="bo-CN"/>
        </w:rPr>
        <w:t xml:space="preserve">līgumu slēdzot </w:t>
      </w:r>
      <w:r w:rsidR="00F8691F">
        <w:rPr>
          <w:rFonts w:eastAsia="Calibri" w:cs="Arial Unicode MS"/>
          <w:lang w:bidi="bo-CN"/>
        </w:rPr>
        <w:t xml:space="preserve">uz 12 (divpadsmit) mēnešiem, atbilstoši pretendenta piedāvājumam un finanšu piedāvājumā piedāvātajai cenai. </w:t>
      </w:r>
    </w:p>
    <w:p w14:paraId="5BC5F6AF" w14:textId="0E372724" w:rsidR="00BC1F49" w:rsidRDefault="00377D6E" w:rsidP="003A2E9D">
      <w:pPr>
        <w:pStyle w:val="Sarakstarindkopa"/>
        <w:numPr>
          <w:ilvl w:val="0"/>
          <w:numId w:val="8"/>
        </w:numPr>
        <w:ind w:left="426" w:hanging="426"/>
        <w:jc w:val="both"/>
        <w:rPr>
          <w:rFonts w:eastAsia="Calibri" w:cs="Arial Unicode MS"/>
          <w:lang w:eastAsia="en-US" w:bidi="bo-CN"/>
        </w:rPr>
      </w:pPr>
      <w:r>
        <w:rPr>
          <w:rFonts w:eastAsia="Calibri" w:cs="Arial Unicode MS"/>
          <w:lang w:bidi="bo-CN"/>
        </w:rPr>
        <w:t>Piedāvājuma izvēles pamatojums: Saimnieciski izdevīgākais piedāvājums (nolikuma 7.6.1. punkts):</w:t>
      </w:r>
    </w:p>
    <w:tbl>
      <w:tblPr>
        <w:tblW w:w="9304" w:type="dxa"/>
        <w:tblLook w:val="04A0" w:firstRow="1" w:lastRow="0" w:firstColumn="1" w:lastColumn="0" w:noHBand="0" w:noVBand="1"/>
      </w:tblPr>
      <w:tblGrid>
        <w:gridCol w:w="822"/>
        <w:gridCol w:w="3508"/>
        <w:gridCol w:w="1658"/>
        <w:gridCol w:w="1658"/>
        <w:gridCol w:w="1658"/>
      </w:tblGrid>
      <w:tr w:rsidR="00563FAB" w:rsidRPr="00FD542E" w14:paraId="01BD4E33" w14:textId="77777777" w:rsidTr="00570F96">
        <w:trPr>
          <w:trHeight w:val="1548"/>
        </w:trPr>
        <w:tc>
          <w:tcPr>
            <w:tcW w:w="822" w:type="dxa"/>
            <w:tcBorders>
              <w:top w:val="single" w:sz="4" w:space="0" w:color="auto"/>
              <w:left w:val="single" w:sz="4" w:space="0" w:color="auto"/>
              <w:bottom w:val="single" w:sz="4" w:space="0" w:color="auto"/>
              <w:right w:val="single" w:sz="4" w:space="0" w:color="auto"/>
            </w:tcBorders>
            <w:shd w:val="clear" w:color="000000" w:fill="FFFFB3"/>
            <w:vAlign w:val="center"/>
            <w:hideMark/>
          </w:tcPr>
          <w:p w14:paraId="013A5CD6" w14:textId="77777777" w:rsidR="00563FAB" w:rsidRPr="00FD542E" w:rsidRDefault="00563FAB" w:rsidP="00570F96">
            <w:pPr>
              <w:rPr>
                <w:b/>
                <w:bCs/>
                <w:sz w:val="20"/>
                <w:szCs w:val="20"/>
                <w:lang w:eastAsia="lv-LV"/>
              </w:rPr>
            </w:pPr>
            <w:r w:rsidRPr="00FD542E">
              <w:rPr>
                <w:b/>
                <w:bCs/>
                <w:sz w:val="20"/>
                <w:szCs w:val="20"/>
                <w:lang w:eastAsia="lv-LV"/>
              </w:rPr>
              <w:t>Nr.p.k.</w:t>
            </w:r>
          </w:p>
        </w:tc>
        <w:tc>
          <w:tcPr>
            <w:tcW w:w="3508" w:type="dxa"/>
            <w:tcBorders>
              <w:top w:val="single" w:sz="4" w:space="0" w:color="auto"/>
              <w:left w:val="nil"/>
              <w:bottom w:val="single" w:sz="4" w:space="0" w:color="auto"/>
              <w:right w:val="single" w:sz="4" w:space="0" w:color="auto"/>
            </w:tcBorders>
            <w:shd w:val="clear" w:color="000000" w:fill="FFFFB3"/>
            <w:vAlign w:val="center"/>
            <w:hideMark/>
          </w:tcPr>
          <w:p w14:paraId="370827C7" w14:textId="77777777" w:rsidR="00563FAB" w:rsidRPr="00FD542E" w:rsidRDefault="00563FAB" w:rsidP="00570F96">
            <w:pPr>
              <w:jc w:val="center"/>
              <w:rPr>
                <w:b/>
                <w:bCs/>
                <w:sz w:val="20"/>
                <w:szCs w:val="20"/>
                <w:lang w:eastAsia="lv-LV"/>
              </w:rPr>
            </w:pPr>
            <w:r w:rsidRPr="00FD542E">
              <w:rPr>
                <w:b/>
                <w:bCs/>
                <w:sz w:val="20"/>
                <w:szCs w:val="20"/>
                <w:lang w:eastAsia="lv-LV"/>
              </w:rPr>
              <w:t>Novērtēšanas kritēriji</w:t>
            </w:r>
          </w:p>
        </w:tc>
        <w:tc>
          <w:tcPr>
            <w:tcW w:w="1658" w:type="dxa"/>
            <w:tcBorders>
              <w:top w:val="single" w:sz="4" w:space="0" w:color="auto"/>
              <w:left w:val="nil"/>
              <w:bottom w:val="single" w:sz="4" w:space="0" w:color="auto"/>
              <w:right w:val="single" w:sz="4" w:space="0" w:color="auto"/>
            </w:tcBorders>
            <w:shd w:val="clear" w:color="000000" w:fill="FFFFB3"/>
            <w:vAlign w:val="center"/>
            <w:hideMark/>
          </w:tcPr>
          <w:p w14:paraId="4EEAD350" w14:textId="77777777" w:rsidR="00563FAB" w:rsidRPr="00FD542E" w:rsidRDefault="00563FAB" w:rsidP="00570F96">
            <w:pPr>
              <w:jc w:val="center"/>
              <w:rPr>
                <w:b/>
                <w:bCs/>
                <w:sz w:val="20"/>
                <w:szCs w:val="20"/>
                <w:lang w:eastAsia="lv-LV"/>
              </w:rPr>
            </w:pPr>
            <w:r w:rsidRPr="00FD542E">
              <w:rPr>
                <w:b/>
                <w:bCs/>
                <w:sz w:val="20"/>
                <w:szCs w:val="20"/>
                <w:lang w:eastAsia="lv-LV"/>
              </w:rPr>
              <w:t xml:space="preserve">Maksimāli iespējamais punktu skaits  </w:t>
            </w:r>
          </w:p>
        </w:tc>
        <w:tc>
          <w:tcPr>
            <w:tcW w:w="1658" w:type="dxa"/>
            <w:tcBorders>
              <w:top w:val="single" w:sz="4" w:space="0" w:color="auto"/>
              <w:left w:val="nil"/>
              <w:bottom w:val="single" w:sz="4" w:space="0" w:color="auto"/>
              <w:right w:val="single" w:sz="4" w:space="0" w:color="auto"/>
            </w:tcBorders>
            <w:shd w:val="clear" w:color="000000" w:fill="FFFFB3"/>
            <w:vAlign w:val="center"/>
            <w:hideMark/>
          </w:tcPr>
          <w:p w14:paraId="21B97716" w14:textId="77777777" w:rsidR="00563FAB" w:rsidRPr="00FD542E" w:rsidRDefault="00563FAB" w:rsidP="00570F96">
            <w:pPr>
              <w:jc w:val="center"/>
              <w:rPr>
                <w:b/>
                <w:bCs/>
                <w:sz w:val="20"/>
                <w:szCs w:val="20"/>
                <w:lang w:eastAsia="lv-LV"/>
              </w:rPr>
            </w:pPr>
            <w:r w:rsidRPr="00FD542E">
              <w:rPr>
                <w:b/>
                <w:bCs/>
                <w:sz w:val="20"/>
                <w:szCs w:val="20"/>
                <w:lang w:eastAsia="lv-LV"/>
              </w:rPr>
              <w:t>"Compensa Vienna Insurance Group" ADB Latvijas filiāle</w:t>
            </w:r>
          </w:p>
        </w:tc>
        <w:tc>
          <w:tcPr>
            <w:tcW w:w="1658" w:type="dxa"/>
            <w:tcBorders>
              <w:top w:val="single" w:sz="4" w:space="0" w:color="auto"/>
              <w:left w:val="nil"/>
              <w:bottom w:val="single" w:sz="4" w:space="0" w:color="auto"/>
              <w:right w:val="single" w:sz="4" w:space="0" w:color="auto"/>
            </w:tcBorders>
            <w:shd w:val="clear" w:color="000000" w:fill="FFFFB3"/>
            <w:vAlign w:val="center"/>
            <w:hideMark/>
          </w:tcPr>
          <w:p w14:paraId="631A445B" w14:textId="77777777" w:rsidR="00563FAB" w:rsidRPr="00FD542E" w:rsidRDefault="00563FAB" w:rsidP="00570F96">
            <w:pPr>
              <w:jc w:val="center"/>
              <w:rPr>
                <w:b/>
                <w:bCs/>
                <w:sz w:val="20"/>
                <w:szCs w:val="20"/>
                <w:lang w:eastAsia="lv-LV"/>
              </w:rPr>
            </w:pPr>
            <w:r w:rsidRPr="00FD542E">
              <w:rPr>
                <w:b/>
                <w:bCs/>
                <w:sz w:val="20"/>
                <w:szCs w:val="20"/>
                <w:lang w:eastAsia="lv-LV"/>
              </w:rPr>
              <w:t>ERGO Insurance SE Latvijas filiāle</w:t>
            </w:r>
          </w:p>
        </w:tc>
      </w:tr>
      <w:tr w:rsidR="00563FAB" w:rsidRPr="00FD542E" w14:paraId="2FBB595A" w14:textId="77777777" w:rsidTr="00570F96">
        <w:trPr>
          <w:trHeight w:val="1112"/>
        </w:trPr>
        <w:tc>
          <w:tcPr>
            <w:tcW w:w="822" w:type="dxa"/>
            <w:tcBorders>
              <w:top w:val="nil"/>
              <w:left w:val="single" w:sz="4" w:space="0" w:color="auto"/>
              <w:bottom w:val="single" w:sz="4" w:space="0" w:color="auto"/>
              <w:right w:val="single" w:sz="4" w:space="0" w:color="auto"/>
            </w:tcBorders>
            <w:vAlign w:val="center"/>
            <w:hideMark/>
          </w:tcPr>
          <w:p w14:paraId="566DA6A9" w14:textId="77777777" w:rsidR="00563FAB" w:rsidRPr="00FD542E" w:rsidRDefault="00563FAB" w:rsidP="00570F96">
            <w:pPr>
              <w:jc w:val="center"/>
              <w:rPr>
                <w:b/>
                <w:bCs/>
                <w:sz w:val="20"/>
                <w:szCs w:val="20"/>
                <w:lang w:eastAsia="lv-LV"/>
              </w:rPr>
            </w:pPr>
            <w:r w:rsidRPr="00FD542E">
              <w:rPr>
                <w:b/>
                <w:bCs/>
                <w:sz w:val="20"/>
                <w:szCs w:val="20"/>
                <w:lang w:eastAsia="lv-LV"/>
              </w:rPr>
              <w:t>1</w:t>
            </w:r>
          </w:p>
        </w:tc>
        <w:tc>
          <w:tcPr>
            <w:tcW w:w="3508" w:type="dxa"/>
            <w:tcBorders>
              <w:top w:val="nil"/>
              <w:left w:val="nil"/>
              <w:bottom w:val="single" w:sz="4" w:space="0" w:color="auto"/>
              <w:right w:val="single" w:sz="4" w:space="0" w:color="auto"/>
            </w:tcBorders>
            <w:vAlign w:val="center"/>
            <w:hideMark/>
          </w:tcPr>
          <w:p w14:paraId="479F7AB6" w14:textId="77777777" w:rsidR="00563FAB" w:rsidRPr="00FD542E" w:rsidRDefault="00563FAB" w:rsidP="00570F96">
            <w:pPr>
              <w:jc w:val="both"/>
              <w:rPr>
                <w:b/>
                <w:bCs/>
                <w:sz w:val="20"/>
                <w:szCs w:val="20"/>
                <w:lang w:eastAsia="lv-LV"/>
              </w:rPr>
            </w:pPr>
            <w:r w:rsidRPr="00FD542E">
              <w:rPr>
                <w:b/>
                <w:bCs/>
                <w:sz w:val="20"/>
                <w:szCs w:val="20"/>
                <w:lang w:eastAsia="lv-LV"/>
              </w:rPr>
              <w:t>Kritērijs “C”</w:t>
            </w:r>
            <w:r w:rsidRPr="00FD542E">
              <w:rPr>
                <w:b/>
                <w:bCs/>
                <w:sz w:val="20"/>
                <w:szCs w:val="20"/>
                <w:lang w:eastAsia="lv-LV"/>
              </w:rPr>
              <w:br/>
              <w:t>Apdrošināšanas prēmijas apmērs vienam Apdrošināmajam</w:t>
            </w:r>
          </w:p>
        </w:tc>
        <w:tc>
          <w:tcPr>
            <w:tcW w:w="1658" w:type="dxa"/>
            <w:tcBorders>
              <w:top w:val="nil"/>
              <w:left w:val="nil"/>
              <w:bottom w:val="single" w:sz="4" w:space="0" w:color="auto"/>
              <w:right w:val="single" w:sz="4" w:space="0" w:color="auto"/>
            </w:tcBorders>
            <w:vAlign w:val="center"/>
            <w:hideMark/>
          </w:tcPr>
          <w:p w14:paraId="4C337660" w14:textId="77777777" w:rsidR="00563FAB" w:rsidRPr="00FD542E" w:rsidRDefault="00563FAB" w:rsidP="00570F96">
            <w:pPr>
              <w:jc w:val="center"/>
              <w:rPr>
                <w:b/>
                <w:bCs/>
                <w:sz w:val="20"/>
                <w:szCs w:val="20"/>
                <w:lang w:eastAsia="lv-LV"/>
              </w:rPr>
            </w:pPr>
            <w:r w:rsidRPr="00FD542E">
              <w:rPr>
                <w:b/>
                <w:bCs/>
                <w:sz w:val="20"/>
                <w:szCs w:val="20"/>
                <w:lang w:eastAsia="lv-LV"/>
              </w:rPr>
              <w:t>65</w:t>
            </w:r>
          </w:p>
        </w:tc>
        <w:tc>
          <w:tcPr>
            <w:tcW w:w="1658" w:type="dxa"/>
            <w:tcBorders>
              <w:top w:val="nil"/>
              <w:left w:val="nil"/>
              <w:bottom w:val="single" w:sz="4" w:space="0" w:color="auto"/>
              <w:right w:val="single" w:sz="4" w:space="0" w:color="auto"/>
            </w:tcBorders>
            <w:shd w:val="clear" w:color="000000" w:fill="FFFFFF"/>
            <w:vAlign w:val="center"/>
            <w:hideMark/>
          </w:tcPr>
          <w:p w14:paraId="6D512E0B" w14:textId="77777777" w:rsidR="00563FAB" w:rsidRPr="00FD542E" w:rsidRDefault="00563FAB" w:rsidP="00570F96">
            <w:pPr>
              <w:jc w:val="center"/>
              <w:rPr>
                <w:b/>
                <w:bCs/>
                <w:color w:val="000000"/>
                <w:sz w:val="20"/>
                <w:szCs w:val="20"/>
                <w:lang w:eastAsia="lv-LV"/>
              </w:rPr>
            </w:pPr>
            <w:r w:rsidRPr="00FD542E">
              <w:rPr>
                <w:b/>
                <w:bCs/>
                <w:color w:val="000000"/>
                <w:sz w:val="20"/>
                <w:szCs w:val="20"/>
                <w:lang w:eastAsia="lv-LV"/>
              </w:rPr>
              <w:t>65,00</w:t>
            </w:r>
          </w:p>
        </w:tc>
        <w:tc>
          <w:tcPr>
            <w:tcW w:w="1658" w:type="dxa"/>
            <w:tcBorders>
              <w:top w:val="nil"/>
              <w:left w:val="nil"/>
              <w:bottom w:val="single" w:sz="4" w:space="0" w:color="auto"/>
              <w:right w:val="single" w:sz="4" w:space="0" w:color="auto"/>
            </w:tcBorders>
            <w:shd w:val="clear" w:color="000000" w:fill="FFFFFF"/>
            <w:vAlign w:val="center"/>
            <w:hideMark/>
          </w:tcPr>
          <w:p w14:paraId="5E604EC9" w14:textId="77777777" w:rsidR="00563FAB" w:rsidRPr="00FD542E" w:rsidRDefault="00563FAB" w:rsidP="00570F96">
            <w:pPr>
              <w:jc w:val="center"/>
              <w:rPr>
                <w:b/>
                <w:bCs/>
                <w:color w:val="000000"/>
                <w:sz w:val="20"/>
                <w:szCs w:val="20"/>
                <w:lang w:eastAsia="lv-LV"/>
              </w:rPr>
            </w:pPr>
            <w:r w:rsidRPr="00FD542E">
              <w:rPr>
                <w:b/>
                <w:bCs/>
                <w:color w:val="000000"/>
                <w:sz w:val="20"/>
                <w:szCs w:val="20"/>
                <w:lang w:eastAsia="lv-LV"/>
              </w:rPr>
              <w:t>51,84</w:t>
            </w:r>
          </w:p>
        </w:tc>
      </w:tr>
      <w:tr w:rsidR="00563FAB" w:rsidRPr="00FD542E" w14:paraId="1CD59182" w14:textId="77777777" w:rsidTr="00570F96">
        <w:trPr>
          <w:trHeight w:val="1352"/>
        </w:trPr>
        <w:tc>
          <w:tcPr>
            <w:tcW w:w="822" w:type="dxa"/>
            <w:tcBorders>
              <w:top w:val="nil"/>
              <w:left w:val="single" w:sz="4" w:space="0" w:color="auto"/>
              <w:bottom w:val="single" w:sz="4" w:space="0" w:color="auto"/>
              <w:right w:val="single" w:sz="4" w:space="0" w:color="auto"/>
            </w:tcBorders>
            <w:vAlign w:val="center"/>
            <w:hideMark/>
          </w:tcPr>
          <w:p w14:paraId="415F8D7D" w14:textId="77777777" w:rsidR="00563FAB" w:rsidRPr="00FD542E" w:rsidRDefault="00563FAB" w:rsidP="00570F96">
            <w:pPr>
              <w:jc w:val="center"/>
              <w:rPr>
                <w:b/>
                <w:bCs/>
                <w:sz w:val="20"/>
                <w:szCs w:val="20"/>
                <w:lang w:eastAsia="lv-LV"/>
              </w:rPr>
            </w:pPr>
            <w:r w:rsidRPr="00FD542E">
              <w:rPr>
                <w:b/>
                <w:bCs/>
                <w:sz w:val="20"/>
                <w:szCs w:val="20"/>
                <w:lang w:eastAsia="lv-LV"/>
              </w:rPr>
              <w:t>2</w:t>
            </w:r>
          </w:p>
        </w:tc>
        <w:tc>
          <w:tcPr>
            <w:tcW w:w="3508" w:type="dxa"/>
            <w:tcBorders>
              <w:top w:val="nil"/>
              <w:left w:val="nil"/>
              <w:bottom w:val="single" w:sz="4" w:space="0" w:color="auto"/>
              <w:right w:val="single" w:sz="4" w:space="0" w:color="auto"/>
            </w:tcBorders>
            <w:shd w:val="clear" w:color="000000" w:fill="FFFFFF"/>
            <w:vAlign w:val="center"/>
            <w:hideMark/>
          </w:tcPr>
          <w:p w14:paraId="09C3CC4E" w14:textId="77777777" w:rsidR="00563FAB" w:rsidRPr="00FD542E" w:rsidRDefault="00563FAB" w:rsidP="00570F96">
            <w:pPr>
              <w:jc w:val="both"/>
              <w:rPr>
                <w:b/>
                <w:bCs/>
                <w:color w:val="000000"/>
                <w:sz w:val="20"/>
                <w:szCs w:val="20"/>
                <w:lang w:eastAsia="lv-LV"/>
              </w:rPr>
            </w:pPr>
            <w:r w:rsidRPr="00FD542E">
              <w:rPr>
                <w:b/>
                <w:bCs/>
                <w:color w:val="000000"/>
                <w:sz w:val="20"/>
                <w:szCs w:val="20"/>
                <w:lang w:eastAsia="lv-LV"/>
              </w:rPr>
              <w:t>Kritērijs “D”</w:t>
            </w:r>
            <w:r w:rsidRPr="00FD542E">
              <w:rPr>
                <w:b/>
                <w:bCs/>
                <w:color w:val="000000"/>
                <w:sz w:val="20"/>
                <w:szCs w:val="20"/>
                <w:lang w:eastAsia="lv-LV"/>
              </w:rPr>
              <w:br/>
              <w:t>Apdrošināšanas seguma apdrošinājuma summas, apjoms un kvalitāte, t.sk.:</w:t>
            </w:r>
          </w:p>
        </w:tc>
        <w:tc>
          <w:tcPr>
            <w:tcW w:w="1658" w:type="dxa"/>
            <w:tcBorders>
              <w:top w:val="nil"/>
              <w:left w:val="nil"/>
              <w:bottom w:val="single" w:sz="4" w:space="0" w:color="auto"/>
              <w:right w:val="single" w:sz="4" w:space="0" w:color="auto"/>
            </w:tcBorders>
            <w:shd w:val="clear" w:color="000000" w:fill="FFFFFF"/>
            <w:vAlign w:val="center"/>
            <w:hideMark/>
          </w:tcPr>
          <w:p w14:paraId="37818249" w14:textId="77777777" w:rsidR="00563FAB" w:rsidRPr="00FD542E" w:rsidRDefault="00563FAB" w:rsidP="00570F96">
            <w:pPr>
              <w:jc w:val="center"/>
              <w:rPr>
                <w:b/>
                <w:bCs/>
                <w:color w:val="000000"/>
                <w:sz w:val="20"/>
                <w:szCs w:val="20"/>
                <w:lang w:eastAsia="lv-LV"/>
              </w:rPr>
            </w:pPr>
            <w:r w:rsidRPr="00FD542E">
              <w:rPr>
                <w:b/>
                <w:bCs/>
                <w:color w:val="000000"/>
                <w:sz w:val="20"/>
                <w:szCs w:val="20"/>
                <w:lang w:eastAsia="lv-LV"/>
              </w:rPr>
              <w:t>35</w:t>
            </w:r>
          </w:p>
        </w:tc>
        <w:tc>
          <w:tcPr>
            <w:tcW w:w="1658" w:type="dxa"/>
            <w:tcBorders>
              <w:top w:val="nil"/>
              <w:left w:val="nil"/>
              <w:bottom w:val="single" w:sz="4" w:space="0" w:color="auto"/>
              <w:right w:val="single" w:sz="4" w:space="0" w:color="auto"/>
            </w:tcBorders>
            <w:shd w:val="clear" w:color="000000" w:fill="FFFFFF"/>
            <w:vAlign w:val="center"/>
            <w:hideMark/>
          </w:tcPr>
          <w:p w14:paraId="7E6FFBF7" w14:textId="77777777" w:rsidR="00563FAB" w:rsidRPr="00FD542E" w:rsidRDefault="00563FAB" w:rsidP="00570F96">
            <w:pPr>
              <w:jc w:val="center"/>
              <w:rPr>
                <w:b/>
                <w:bCs/>
                <w:color w:val="000000"/>
                <w:sz w:val="20"/>
                <w:szCs w:val="20"/>
                <w:lang w:eastAsia="lv-LV"/>
              </w:rPr>
            </w:pPr>
            <w:r w:rsidRPr="00FD542E">
              <w:rPr>
                <w:b/>
                <w:bCs/>
                <w:color w:val="000000"/>
                <w:sz w:val="20"/>
                <w:szCs w:val="20"/>
                <w:lang w:eastAsia="lv-LV"/>
              </w:rPr>
              <w:t>33,00</w:t>
            </w:r>
          </w:p>
        </w:tc>
        <w:tc>
          <w:tcPr>
            <w:tcW w:w="1658" w:type="dxa"/>
            <w:tcBorders>
              <w:top w:val="nil"/>
              <w:left w:val="nil"/>
              <w:bottom w:val="single" w:sz="4" w:space="0" w:color="auto"/>
              <w:right w:val="single" w:sz="4" w:space="0" w:color="auto"/>
            </w:tcBorders>
            <w:shd w:val="clear" w:color="000000" w:fill="FFFFFF"/>
            <w:vAlign w:val="center"/>
            <w:hideMark/>
          </w:tcPr>
          <w:p w14:paraId="29221D94" w14:textId="77777777" w:rsidR="00563FAB" w:rsidRPr="00FD542E" w:rsidRDefault="00563FAB" w:rsidP="00570F96">
            <w:pPr>
              <w:jc w:val="center"/>
              <w:rPr>
                <w:b/>
                <w:bCs/>
                <w:color w:val="000000"/>
                <w:sz w:val="20"/>
                <w:szCs w:val="20"/>
                <w:lang w:eastAsia="lv-LV"/>
              </w:rPr>
            </w:pPr>
            <w:r w:rsidRPr="00FD542E">
              <w:rPr>
                <w:b/>
                <w:bCs/>
                <w:color w:val="000000"/>
                <w:sz w:val="20"/>
                <w:szCs w:val="20"/>
                <w:lang w:eastAsia="lv-LV"/>
              </w:rPr>
              <w:t>29,50</w:t>
            </w:r>
          </w:p>
        </w:tc>
      </w:tr>
      <w:tr w:rsidR="00563FAB" w:rsidRPr="00FD542E" w14:paraId="6BAC193C" w14:textId="77777777" w:rsidTr="00570F96">
        <w:trPr>
          <w:trHeight w:val="1878"/>
        </w:trPr>
        <w:tc>
          <w:tcPr>
            <w:tcW w:w="822" w:type="dxa"/>
            <w:tcBorders>
              <w:top w:val="nil"/>
              <w:left w:val="single" w:sz="4" w:space="0" w:color="auto"/>
              <w:bottom w:val="single" w:sz="4" w:space="0" w:color="auto"/>
              <w:right w:val="single" w:sz="4" w:space="0" w:color="auto"/>
            </w:tcBorders>
            <w:vAlign w:val="center"/>
            <w:hideMark/>
          </w:tcPr>
          <w:p w14:paraId="483BDA6E" w14:textId="77777777" w:rsidR="00563FAB" w:rsidRPr="00FD542E" w:rsidRDefault="00563FAB" w:rsidP="00570F96">
            <w:pPr>
              <w:jc w:val="center"/>
              <w:rPr>
                <w:sz w:val="20"/>
                <w:szCs w:val="20"/>
                <w:lang w:eastAsia="lv-LV"/>
              </w:rPr>
            </w:pPr>
            <w:r w:rsidRPr="00FD542E">
              <w:rPr>
                <w:sz w:val="20"/>
                <w:szCs w:val="20"/>
                <w:lang w:eastAsia="lv-LV"/>
              </w:rPr>
              <w:lastRenderedPageBreak/>
              <w:t>2.1.</w:t>
            </w:r>
          </w:p>
        </w:tc>
        <w:tc>
          <w:tcPr>
            <w:tcW w:w="3508" w:type="dxa"/>
            <w:tcBorders>
              <w:top w:val="nil"/>
              <w:left w:val="nil"/>
              <w:bottom w:val="single" w:sz="4" w:space="0" w:color="auto"/>
              <w:right w:val="single" w:sz="4" w:space="0" w:color="auto"/>
            </w:tcBorders>
            <w:vAlign w:val="center"/>
            <w:hideMark/>
          </w:tcPr>
          <w:p w14:paraId="3B377C43" w14:textId="77777777" w:rsidR="00563FAB" w:rsidRPr="00FD542E" w:rsidRDefault="00563FAB" w:rsidP="00570F96">
            <w:pPr>
              <w:jc w:val="both"/>
              <w:rPr>
                <w:b/>
                <w:bCs/>
                <w:sz w:val="20"/>
                <w:szCs w:val="20"/>
                <w:lang w:eastAsia="lv-LV"/>
              </w:rPr>
            </w:pPr>
            <w:r w:rsidRPr="00FD542E">
              <w:rPr>
                <w:b/>
                <w:bCs/>
                <w:sz w:val="20"/>
                <w:szCs w:val="20"/>
                <w:lang w:eastAsia="lv-LV"/>
              </w:rPr>
              <w:t>Kritērijs “D1”</w:t>
            </w:r>
            <w:r w:rsidRPr="00FD542E">
              <w:rPr>
                <w:b/>
                <w:bCs/>
                <w:sz w:val="20"/>
                <w:szCs w:val="20"/>
                <w:lang w:eastAsia="lv-LV"/>
              </w:rPr>
              <w:br/>
            </w:r>
            <w:r w:rsidRPr="00FD542E">
              <w:rPr>
                <w:sz w:val="20"/>
                <w:szCs w:val="20"/>
                <w:lang w:eastAsia="lv-LV"/>
              </w:rPr>
              <w:t>Atlīdzību apmērs neatgriezeniska sakropļojuma un invaliditātes riskam, tajā skaitā arī apdrošināšanas seguma izņēmumi un atlīdzību izmaksas ierobežojumi</w:t>
            </w:r>
          </w:p>
        </w:tc>
        <w:tc>
          <w:tcPr>
            <w:tcW w:w="1658" w:type="dxa"/>
            <w:tcBorders>
              <w:top w:val="nil"/>
              <w:left w:val="nil"/>
              <w:bottom w:val="single" w:sz="4" w:space="0" w:color="auto"/>
              <w:right w:val="single" w:sz="4" w:space="0" w:color="auto"/>
            </w:tcBorders>
            <w:vAlign w:val="center"/>
            <w:hideMark/>
          </w:tcPr>
          <w:p w14:paraId="5AA6E90F" w14:textId="77777777" w:rsidR="00563FAB" w:rsidRPr="00FD542E" w:rsidRDefault="00563FAB" w:rsidP="00570F96">
            <w:pPr>
              <w:jc w:val="center"/>
              <w:rPr>
                <w:sz w:val="20"/>
                <w:szCs w:val="20"/>
                <w:lang w:eastAsia="lv-LV"/>
              </w:rPr>
            </w:pPr>
            <w:r w:rsidRPr="00FD542E">
              <w:rPr>
                <w:sz w:val="20"/>
                <w:szCs w:val="20"/>
                <w:lang w:eastAsia="lv-LV"/>
              </w:rPr>
              <w:t>8</w:t>
            </w:r>
          </w:p>
        </w:tc>
        <w:tc>
          <w:tcPr>
            <w:tcW w:w="1658" w:type="dxa"/>
            <w:tcBorders>
              <w:top w:val="nil"/>
              <w:left w:val="nil"/>
              <w:bottom w:val="single" w:sz="4" w:space="0" w:color="auto"/>
              <w:right w:val="single" w:sz="4" w:space="0" w:color="auto"/>
            </w:tcBorders>
            <w:noWrap/>
            <w:vAlign w:val="center"/>
            <w:hideMark/>
          </w:tcPr>
          <w:p w14:paraId="5047D2AB" w14:textId="77777777" w:rsidR="00563FAB" w:rsidRPr="00FD542E" w:rsidRDefault="00563FAB" w:rsidP="00570F96">
            <w:pPr>
              <w:jc w:val="center"/>
              <w:rPr>
                <w:sz w:val="20"/>
                <w:szCs w:val="20"/>
                <w:lang w:eastAsia="lv-LV"/>
              </w:rPr>
            </w:pPr>
            <w:r w:rsidRPr="00FD542E">
              <w:rPr>
                <w:sz w:val="20"/>
                <w:szCs w:val="20"/>
                <w:lang w:eastAsia="lv-LV"/>
              </w:rPr>
              <w:t>6,00</w:t>
            </w:r>
          </w:p>
        </w:tc>
        <w:tc>
          <w:tcPr>
            <w:tcW w:w="1658" w:type="dxa"/>
            <w:tcBorders>
              <w:top w:val="nil"/>
              <w:left w:val="nil"/>
              <w:bottom w:val="single" w:sz="4" w:space="0" w:color="auto"/>
              <w:right w:val="single" w:sz="4" w:space="0" w:color="auto"/>
            </w:tcBorders>
            <w:noWrap/>
            <w:vAlign w:val="center"/>
            <w:hideMark/>
          </w:tcPr>
          <w:p w14:paraId="6E69CB60" w14:textId="77777777" w:rsidR="00563FAB" w:rsidRPr="00FD542E" w:rsidRDefault="00563FAB" w:rsidP="00570F96">
            <w:pPr>
              <w:jc w:val="center"/>
              <w:rPr>
                <w:sz w:val="20"/>
                <w:szCs w:val="20"/>
                <w:lang w:eastAsia="lv-LV"/>
              </w:rPr>
            </w:pPr>
            <w:r w:rsidRPr="00FD542E">
              <w:rPr>
                <w:sz w:val="20"/>
                <w:szCs w:val="20"/>
                <w:lang w:eastAsia="lv-LV"/>
              </w:rPr>
              <w:t>8,00</w:t>
            </w:r>
          </w:p>
        </w:tc>
      </w:tr>
      <w:tr w:rsidR="00563FAB" w:rsidRPr="00FD542E" w14:paraId="432D2440" w14:textId="77777777" w:rsidTr="00570F96">
        <w:trPr>
          <w:trHeight w:val="1803"/>
        </w:trPr>
        <w:tc>
          <w:tcPr>
            <w:tcW w:w="822" w:type="dxa"/>
            <w:tcBorders>
              <w:top w:val="nil"/>
              <w:left w:val="single" w:sz="4" w:space="0" w:color="auto"/>
              <w:bottom w:val="single" w:sz="4" w:space="0" w:color="auto"/>
              <w:right w:val="single" w:sz="4" w:space="0" w:color="auto"/>
            </w:tcBorders>
            <w:vAlign w:val="center"/>
            <w:hideMark/>
          </w:tcPr>
          <w:p w14:paraId="4450FA46" w14:textId="77777777" w:rsidR="00563FAB" w:rsidRPr="00FD542E" w:rsidRDefault="00563FAB" w:rsidP="00570F96">
            <w:pPr>
              <w:jc w:val="center"/>
              <w:rPr>
                <w:sz w:val="20"/>
                <w:szCs w:val="20"/>
                <w:lang w:eastAsia="lv-LV"/>
              </w:rPr>
            </w:pPr>
            <w:r w:rsidRPr="00FD542E">
              <w:rPr>
                <w:sz w:val="20"/>
                <w:szCs w:val="20"/>
                <w:lang w:eastAsia="lv-LV"/>
              </w:rPr>
              <w:t>2.2.</w:t>
            </w:r>
          </w:p>
        </w:tc>
        <w:tc>
          <w:tcPr>
            <w:tcW w:w="3508" w:type="dxa"/>
            <w:tcBorders>
              <w:top w:val="nil"/>
              <w:left w:val="nil"/>
              <w:bottom w:val="single" w:sz="4" w:space="0" w:color="auto"/>
              <w:right w:val="single" w:sz="4" w:space="0" w:color="auto"/>
            </w:tcBorders>
            <w:vAlign w:val="center"/>
            <w:hideMark/>
          </w:tcPr>
          <w:p w14:paraId="719E236C" w14:textId="77777777" w:rsidR="00563FAB" w:rsidRPr="00FD542E" w:rsidRDefault="00563FAB" w:rsidP="00570F96">
            <w:pPr>
              <w:jc w:val="both"/>
              <w:rPr>
                <w:sz w:val="20"/>
                <w:szCs w:val="20"/>
                <w:lang w:eastAsia="lv-LV"/>
              </w:rPr>
            </w:pPr>
            <w:r w:rsidRPr="00FD542E">
              <w:rPr>
                <w:b/>
                <w:bCs/>
                <w:sz w:val="20"/>
                <w:szCs w:val="20"/>
                <w:lang w:eastAsia="lv-LV"/>
              </w:rPr>
              <w:t>Kritērijs “D2”</w:t>
            </w:r>
            <w:r w:rsidRPr="00FD542E">
              <w:rPr>
                <w:sz w:val="20"/>
                <w:szCs w:val="20"/>
                <w:lang w:eastAsia="lv-LV"/>
              </w:rPr>
              <w:br/>
              <w:t>Atlīdzību apmērs traumu un kaulu lūzumu gadījumos, apdegumu un apsaldējumu gadījumos, tajā skaitā arī apdrošināšanas seguma izņēmumi un atlīdzību izmaksas ierobežojumi</w:t>
            </w:r>
          </w:p>
        </w:tc>
        <w:tc>
          <w:tcPr>
            <w:tcW w:w="1658" w:type="dxa"/>
            <w:tcBorders>
              <w:top w:val="nil"/>
              <w:left w:val="nil"/>
              <w:bottom w:val="single" w:sz="4" w:space="0" w:color="auto"/>
              <w:right w:val="single" w:sz="4" w:space="0" w:color="auto"/>
            </w:tcBorders>
            <w:vAlign w:val="center"/>
            <w:hideMark/>
          </w:tcPr>
          <w:p w14:paraId="5AC1D7D3" w14:textId="77777777" w:rsidR="00563FAB" w:rsidRPr="00FD542E" w:rsidRDefault="00563FAB" w:rsidP="00570F96">
            <w:pPr>
              <w:jc w:val="center"/>
              <w:rPr>
                <w:sz w:val="20"/>
                <w:szCs w:val="20"/>
                <w:lang w:eastAsia="lv-LV"/>
              </w:rPr>
            </w:pPr>
            <w:r w:rsidRPr="00FD542E">
              <w:rPr>
                <w:sz w:val="20"/>
                <w:szCs w:val="20"/>
                <w:lang w:eastAsia="lv-LV"/>
              </w:rPr>
              <w:t>20</w:t>
            </w:r>
          </w:p>
        </w:tc>
        <w:tc>
          <w:tcPr>
            <w:tcW w:w="1658" w:type="dxa"/>
            <w:tcBorders>
              <w:top w:val="nil"/>
              <w:left w:val="nil"/>
              <w:bottom w:val="single" w:sz="4" w:space="0" w:color="auto"/>
              <w:right w:val="single" w:sz="4" w:space="0" w:color="auto"/>
            </w:tcBorders>
            <w:noWrap/>
            <w:vAlign w:val="center"/>
            <w:hideMark/>
          </w:tcPr>
          <w:p w14:paraId="5981A194" w14:textId="77777777" w:rsidR="00563FAB" w:rsidRPr="00FD542E" w:rsidRDefault="00563FAB" w:rsidP="00570F96">
            <w:pPr>
              <w:jc w:val="center"/>
              <w:rPr>
                <w:sz w:val="20"/>
                <w:szCs w:val="20"/>
                <w:lang w:eastAsia="lv-LV"/>
              </w:rPr>
            </w:pPr>
            <w:r w:rsidRPr="00FD542E">
              <w:rPr>
                <w:sz w:val="20"/>
                <w:szCs w:val="20"/>
                <w:lang w:eastAsia="lv-LV"/>
              </w:rPr>
              <w:t>20,00</w:t>
            </w:r>
          </w:p>
        </w:tc>
        <w:tc>
          <w:tcPr>
            <w:tcW w:w="1658" w:type="dxa"/>
            <w:tcBorders>
              <w:top w:val="nil"/>
              <w:left w:val="nil"/>
              <w:bottom w:val="single" w:sz="4" w:space="0" w:color="auto"/>
              <w:right w:val="single" w:sz="4" w:space="0" w:color="auto"/>
            </w:tcBorders>
            <w:noWrap/>
            <w:vAlign w:val="center"/>
            <w:hideMark/>
          </w:tcPr>
          <w:p w14:paraId="5D208221" w14:textId="77777777" w:rsidR="00563FAB" w:rsidRPr="00FD542E" w:rsidRDefault="00563FAB" w:rsidP="00570F96">
            <w:pPr>
              <w:jc w:val="center"/>
              <w:rPr>
                <w:sz w:val="20"/>
                <w:szCs w:val="20"/>
                <w:lang w:eastAsia="lv-LV"/>
              </w:rPr>
            </w:pPr>
            <w:r w:rsidRPr="00FD542E">
              <w:rPr>
                <w:sz w:val="20"/>
                <w:szCs w:val="20"/>
                <w:lang w:eastAsia="lv-LV"/>
              </w:rPr>
              <w:t>17,00</w:t>
            </w:r>
          </w:p>
        </w:tc>
      </w:tr>
      <w:tr w:rsidR="00563FAB" w:rsidRPr="00FD542E" w14:paraId="7A0198A8" w14:textId="77777777" w:rsidTr="00570F96">
        <w:trPr>
          <w:trHeight w:val="1292"/>
        </w:trPr>
        <w:tc>
          <w:tcPr>
            <w:tcW w:w="822" w:type="dxa"/>
            <w:tcBorders>
              <w:top w:val="nil"/>
              <w:left w:val="single" w:sz="4" w:space="0" w:color="auto"/>
              <w:bottom w:val="single" w:sz="4" w:space="0" w:color="auto"/>
              <w:right w:val="single" w:sz="4" w:space="0" w:color="auto"/>
            </w:tcBorders>
            <w:vAlign w:val="center"/>
            <w:hideMark/>
          </w:tcPr>
          <w:p w14:paraId="35D4732F" w14:textId="77777777" w:rsidR="00563FAB" w:rsidRPr="00FD542E" w:rsidRDefault="00563FAB" w:rsidP="00570F96">
            <w:pPr>
              <w:jc w:val="center"/>
              <w:rPr>
                <w:sz w:val="20"/>
                <w:szCs w:val="20"/>
                <w:lang w:eastAsia="lv-LV"/>
              </w:rPr>
            </w:pPr>
            <w:r w:rsidRPr="00FD542E">
              <w:rPr>
                <w:sz w:val="20"/>
                <w:szCs w:val="20"/>
                <w:lang w:eastAsia="lv-LV"/>
              </w:rPr>
              <w:t>2.3.</w:t>
            </w:r>
          </w:p>
        </w:tc>
        <w:tc>
          <w:tcPr>
            <w:tcW w:w="3508" w:type="dxa"/>
            <w:tcBorders>
              <w:top w:val="nil"/>
              <w:left w:val="nil"/>
              <w:bottom w:val="single" w:sz="4" w:space="0" w:color="auto"/>
              <w:right w:val="single" w:sz="4" w:space="0" w:color="auto"/>
            </w:tcBorders>
            <w:vAlign w:val="center"/>
            <w:hideMark/>
          </w:tcPr>
          <w:p w14:paraId="325393F0" w14:textId="77777777" w:rsidR="00563FAB" w:rsidRPr="00FD542E" w:rsidRDefault="00563FAB" w:rsidP="00570F96">
            <w:pPr>
              <w:jc w:val="both"/>
              <w:rPr>
                <w:sz w:val="20"/>
                <w:szCs w:val="20"/>
                <w:lang w:eastAsia="lv-LV"/>
              </w:rPr>
            </w:pPr>
            <w:r w:rsidRPr="00FD542E">
              <w:rPr>
                <w:b/>
                <w:bCs/>
                <w:sz w:val="20"/>
                <w:szCs w:val="20"/>
                <w:lang w:eastAsia="lv-LV"/>
              </w:rPr>
              <w:t>Kritērijs “D3”</w:t>
            </w:r>
            <w:r w:rsidRPr="00FD542E">
              <w:rPr>
                <w:sz w:val="20"/>
                <w:szCs w:val="20"/>
                <w:lang w:eastAsia="lv-LV"/>
              </w:rPr>
              <w:br/>
              <w:t>Apdrošinājuma summa kosmētisko operāciju riskam.</w:t>
            </w:r>
            <w:r w:rsidRPr="00FD542E">
              <w:rPr>
                <w:sz w:val="20"/>
                <w:szCs w:val="20"/>
                <w:lang w:eastAsia="lv-LV"/>
              </w:rPr>
              <w:br/>
            </w:r>
            <w:r w:rsidRPr="00FD542E">
              <w:rPr>
                <w:i/>
                <w:iCs/>
                <w:sz w:val="20"/>
                <w:szCs w:val="20"/>
                <w:lang w:eastAsia="lv-LV"/>
              </w:rPr>
              <w:t>Maksimālais apdrošinājuma summas palielinājums ir +EUR 1000.00</w:t>
            </w:r>
          </w:p>
        </w:tc>
        <w:tc>
          <w:tcPr>
            <w:tcW w:w="1658" w:type="dxa"/>
            <w:tcBorders>
              <w:top w:val="nil"/>
              <w:left w:val="nil"/>
              <w:bottom w:val="single" w:sz="4" w:space="0" w:color="auto"/>
              <w:right w:val="single" w:sz="4" w:space="0" w:color="auto"/>
            </w:tcBorders>
            <w:vAlign w:val="center"/>
            <w:hideMark/>
          </w:tcPr>
          <w:p w14:paraId="4B5F2B10" w14:textId="77777777" w:rsidR="00563FAB" w:rsidRPr="00FD542E" w:rsidRDefault="00563FAB" w:rsidP="00570F96">
            <w:pPr>
              <w:jc w:val="center"/>
              <w:rPr>
                <w:sz w:val="20"/>
                <w:szCs w:val="20"/>
                <w:lang w:eastAsia="lv-LV"/>
              </w:rPr>
            </w:pPr>
            <w:r w:rsidRPr="00FD542E">
              <w:rPr>
                <w:sz w:val="20"/>
                <w:szCs w:val="20"/>
                <w:lang w:eastAsia="lv-LV"/>
              </w:rPr>
              <w:t>2</w:t>
            </w:r>
          </w:p>
        </w:tc>
        <w:tc>
          <w:tcPr>
            <w:tcW w:w="1658" w:type="dxa"/>
            <w:tcBorders>
              <w:top w:val="nil"/>
              <w:left w:val="nil"/>
              <w:bottom w:val="single" w:sz="4" w:space="0" w:color="auto"/>
              <w:right w:val="single" w:sz="4" w:space="0" w:color="auto"/>
            </w:tcBorders>
            <w:noWrap/>
            <w:vAlign w:val="center"/>
            <w:hideMark/>
          </w:tcPr>
          <w:p w14:paraId="1D03EC97" w14:textId="77777777" w:rsidR="00563FAB" w:rsidRPr="00FD542E" w:rsidRDefault="00563FAB" w:rsidP="00570F96">
            <w:pPr>
              <w:jc w:val="center"/>
              <w:rPr>
                <w:sz w:val="20"/>
                <w:szCs w:val="20"/>
                <w:lang w:eastAsia="lv-LV"/>
              </w:rPr>
            </w:pPr>
            <w:r w:rsidRPr="00FD542E">
              <w:rPr>
                <w:sz w:val="20"/>
                <w:szCs w:val="20"/>
                <w:lang w:eastAsia="lv-LV"/>
              </w:rPr>
              <w:t>2,00</w:t>
            </w:r>
          </w:p>
        </w:tc>
        <w:tc>
          <w:tcPr>
            <w:tcW w:w="1658" w:type="dxa"/>
            <w:tcBorders>
              <w:top w:val="nil"/>
              <w:left w:val="nil"/>
              <w:bottom w:val="single" w:sz="4" w:space="0" w:color="auto"/>
              <w:right w:val="single" w:sz="4" w:space="0" w:color="auto"/>
            </w:tcBorders>
            <w:noWrap/>
            <w:vAlign w:val="center"/>
            <w:hideMark/>
          </w:tcPr>
          <w:p w14:paraId="3A982649" w14:textId="77777777" w:rsidR="00563FAB" w:rsidRPr="00FD542E" w:rsidRDefault="00563FAB" w:rsidP="00570F96">
            <w:pPr>
              <w:jc w:val="center"/>
              <w:rPr>
                <w:sz w:val="20"/>
                <w:szCs w:val="20"/>
                <w:lang w:eastAsia="lv-LV"/>
              </w:rPr>
            </w:pPr>
            <w:r w:rsidRPr="00FD542E">
              <w:rPr>
                <w:sz w:val="20"/>
                <w:szCs w:val="20"/>
                <w:lang w:eastAsia="lv-LV"/>
              </w:rPr>
              <w:t>1,50</w:t>
            </w:r>
          </w:p>
        </w:tc>
      </w:tr>
      <w:tr w:rsidR="00563FAB" w:rsidRPr="00FD542E" w14:paraId="554E3FC1" w14:textId="77777777" w:rsidTr="00570F96">
        <w:trPr>
          <w:trHeight w:val="2359"/>
        </w:trPr>
        <w:tc>
          <w:tcPr>
            <w:tcW w:w="822" w:type="dxa"/>
            <w:tcBorders>
              <w:top w:val="nil"/>
              <w:left w:val="single" w:sz="4" w:space="0" w:color="auto"/>
              <w:bottom w:val="single" w:sz="4" w:space="0" w:color="auto"/>
              <w:right w:val="single" w:sz="4" w:space="0" w:color="auto"/>
            </w:tcBorders>
            <w:vAlign w:val="center"/>
            <w:hideMark/>
          </w:tcPr>
          <w:p w14:paraId="2A4A5294" w14:textId="77777777" w:rsidR="00563FAB" w:rsidRPr="00FD542E" w:rsidRDefault="00563FAB" w:rsidP="00570F96">
            <w:pPr>
              <w:jc w:val="center"/>
              <w:rPr>
                <w:sz w:val="20"/>
                <w:szCs w:val="20"/>
                <w:lang w:eastAsia="lv-LV"/>
              </w:rPr>
            </w:pPr>
            <w:r w:rsidRPr="00FD542E">
              <w:rPr>
                <w:sz w:val="20"/>
                <w:szCs w:val="20"/>
                <w:lang w:eastAsia="lv-LV"/>
              </w:rPr>
              <w:t>2.4.</w:t>
            </w:r>
          </w:p>
        </w:tc>
        <w:tc>
          <w:tcPr>
            <w:tcW w:w="3508" w:type="dxa"/>
            <w:tcBorders>
              <w:top w:val="nil"/>
              <w:left w:val="nil"/>
              <w:bottom w:val="single" w:sz="4" w:space="0" w:color="auto"/>
              <w:right w:val="single" w:sz="4" w:space="0" w:color="auto"/>
            </w:tcBorders>
            <w:vAlign w:val="center"/>
            <w:hideMark/>
          </w:tcPr>
          <w:p w14:paraId="004EC0D3" w14:textId="77777777" w:rsidR="00563FAB" w:rsidRPr="00FD542E" w:rsidRDefault="00563FAB" w:rsidP="00570F96">
            <w:pPr>
              <w:jc w:val="both"/>
              <w:rPr>
                <w:sz w:val="20"/>
                <w:szCs w:val="20"/>
                <w:lang w:eastAsia="lv-LV"/>
              </w:rPr>
            </w:pPr>
            <w:r w:rsidRPr="00FD542E">
              <w:rPr>
                <w:b/>
                <w:bCs/>
                <w:sz w:val="20"/>
                <w:szCs w:val="20"/>
                <w:lang w:eastAsia="lv-LV"/>
              </w:rPr>
              <w:t>Kritērijs “D4”</w:t>
            </w:r>
            <w:r w:rsidRPr="00FD542E">
              <w:rPr>
                <w:sz w:val="20"/>
                <w:szCs w:val="20"/>
                <w:lang w:eastAsia="lv-LV"/>
              </w:rPr>
              <w:br/>
              <w:t xml:space="preserve">Apdrošināšanas segumā iekļautie citi riski un apdrošināšanas seguma uzlabojumi, kas nav obligāti saskaņā ar tehniskajā specifikācijā noteikto </w:t>
            </w:r>
            <w:r w:rsidRPr="00FD542E">
              <w:rPr>
                <w:sz w:val="20"/>
                <w:szCs w:val="20"/>
                <w:lang w:eastAsia="lv-LV"/>
              </w:rPr>
              <w:br/>
              <w:t>(piemēram, sporta aktivitāšu, ērču saslimšanu, medicīnisko izdevumu, u.c. apdrošināto risku iekļaušana apdrošināšanas segumā)</w:t>
            </w:r>
          </w:p>
        </w:tc>
        <w:tc>
          <w:tcPr>
            <w:tcW w:w="1658" w:type="dxa"/>
            <w:tcBorders>
              <w:top w:val="nil"/>
              <w:left w:val="nil"/>
              <w:bottom w:val="single" w:sz="4" w:space="0" w:color="auto"/>
              <w:right w:val="single" w:sz="4" w:space="0" w:color="auto"/>
            </w:tcBorders>
            <w:vAlign w:val="center"/>
            <w:hideMark/>
          </w:tcPr>
          <w:p w14:paraId="684815F3" w14:textId="77777777" w:rsidR="00563FAB" w:rsidRPr="00FD542E" w:rsidRDefault="00563FAB" w:rsidP="00570F96">
            <w:pPr>
              <w:jc w:val="center"/>
              <w:rPr>
                <w:sz w:val="20"/>
                <w:szCs w:val="20"/>
                <w:lang w:eastAsia="lv-LV"/>
              </w:rPr>
            </w:pPr>
            <w:r w:rsidRPr="00FD542E">
              <w:rPr>
                <w:sz w:val="20"/>
                <w:szCs w:val="20"/>
                <w:lang w:eastAsia="lv-LV"/>
              </w:rPr>
              <w:t>5</w:t>
            </w:r>
          </w:p>
        </w:tc>
        <w:tc>
          <w:tcPr>
            <w:tcW w:w="1658" w:type="dxa"/>
            <w:tcBorders>
              <w:top w:val="nil"/>
              <w:left w:val="nil"/>
              <w:bottom w:val="single" w:sz="4" w:space="0" w:color="auto"/>
              <w:right w:val="single" w:sz="4" w:space="0" w:color="auto"/>
            </w:tcBorders>
            <w:noWrap/>
            <w:vAlign w:val="center"/>
            <w:hideMark/>
          </w:tcPr>
          <w:p w14:paraId="307EE711" w14:textId="77777777" w:rsidR="00563FAB" w:rsidRPr="00FD542E" w:rsidRDefault="00563FAB" w:rsidP="00570F96">
            <w:pPr>
              <w:jc w:val="center"/>
              <w:rPr>
                <w:sz w:val="20"/>
                <w:szCs w:val="20"/>
                <w:lang w:eastAsia="lv-LV"/>
              </w:rPr>
            </w:pPr>
            <w:r w:rsidRPr="00FD542E">
              <w:rPr>
                <w:sz w:val="20"/>
                <w:szCs w:val="20"/>
                <w:lang w:eastAsia="lv-LV"/>
              </w:rPr>
              <w:t>5,00</w:t>
            </w:r>
          </w:p>
        </w:tc>
        <w:tc>
          <w:tcPr>
            <w:tcW w:w="1658" w:type="dxa"/>
            <w:tcBorders>
              <w:top w:val="nil"/>
              <w:left w:val="nil"/>
              <w:bottom w:val="single" w:sz="4" w:space="0" w:color="auto"/>
              <w:right w:val="single" w:sz="4" w:space="0" w:color="auto"/>
            </w:tcBorders>
            <w:noWrap/>
            <w:vAlign w:val="center"/>
            <w:hideMark/>
          </w:tcPr>
          <w:p w14:paraId="0F734C99" w14:textId="77777777" w:rsidR="00563FAB" w:rsidRPr="00FD542E" w:rsidRDefault="00563FAB" w:rsidP="00570F96">
            <w:pPr>
              <w:jc w:val="center"/>
              <w:rPr>
                <w:sz w:val="20"/>
                <w:szCs w:val="20"/>
                <w:lang w:eastAsia="lv-LV"/>
              </w:rPr>
            </w:pPr>
            <w:r w:rsidRPr="00FD542E">
              <w:rPr>
                <w:sz w:val="20"/>
                <w:szCs w:val="20"/>
                <w:lang w:eastAsia="lv-LV"/>
              </w:rPr>
              <w:t>3,00</w:t>
            </w:r>
          </w:p>
        </w:tc>
      </w:tr>
      <w:tr w:rsidR="00563FAB" w:rsidRPr="00FD542E" w14:paraId="4934E886" w14:textId="77777777" w:rsidTr="00570F96">
        <w:trPr>
          <w:trHeight w:val="631"/>
        </w:trPr>
        <w:tc>
          <w:tcPr>
            <w:tcW w:w="433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F0B577" w14:textId="77777777" w:rsidR="00563FAB" w:rsidRPr="00FD542E" w:rsidRDefault="00563FAB" w:rsidP="00570F96">
            <w:pPr>
              <w:jc w:val="right"/>
              <w:rPr>
                <w:b/>
                <w:bCs/>
                <w:sz w:val="20"/>
                <w:szCs w:val="20"/>
                <w:lang w:eastAsia="lv-LV"/>
              </w:rPr>
            </w:pPr>
            <w:r w:rsidRPr="00FD542E">
              <w:rPr>
                <w:b/>
                <w:bCs/>
                <w:sz w:val="20"/>
                <w:szCs w:val="20"/>
                <w:lang w:eastAsia="lv-LV"/>
              </w:rPr>
              <w:t>Maksimāli iespējamais kopējais punktu skaits</w:t>
            </w:r>
          </w:p>
        </w:tc>
        <w:tc>
          <w:tcPr>
            <w:tcW w:w="1658" w:type="dxa"/>
            <w:tcBorders>
              <w:top w:val="nil"/>
              <w:left w:val="nil"/>
              <w:bottom w:val="single" w:sz="4" w:space="0" w:color="auto"/>
              <w:right w:val="single" w:sz="4" w:space="0" w:color="auto"/>
            </w:tcBorders>
            <w:shd w:val="clear" w:color="000000" w:fill="D9D9D9"/>
            <w:noWrap/>
            <w:vAlign w:val="center"/>
            <w:hideMark/>
          </w:tcPr>
          <w:p w14:paraId="6E6E74B6" w14:textId="77777777" w:rsidR="00563FAB" w:rsidRPr="00FD542E" w:rsidRDefault="00563FAB" w:rsidP="00570F96">
            <w:pPr>
              <w:jc w:val="center"/>
              <w:rPr>
                <w:b/>
                <w:bCs/>
                <w:sz w:val="20"/>
                <w:szCs w:val="20"/>
                <w:lang w:eastAsia="lv-LV"/>
              </w:rPr>
            </w:pPr>
            <w:r w:rsidRPr="00FD542E">
              <w:rPr>
                <w:b/>
                <w:bCs/>
                <w:sz w:val="20"/>
                <w:szCs w:val="20"/>
                <w:lang w:eastAsia="lv-LV"/>
              </w:rPr>
              <w:t>100</w:t>
            </w:r>
          </w:p>
        </w:tc>
        <w:tc>
          <w:tcPr>
            <w:tcW w:w="1658" w:type="dxa"/>
            <w:tcBorders>
              <w:top w:val="nil"/>
              <w:left w:val="nil"/>
              <w:bottom w:val="single" w:sz="4" w:space="0" w:color="auto"/>
              <w:right w:val="single" w:sz="4" w:space="0" w:color="auto"/>
            </w:tcBorders>
            <w:shd w:val="clear" w:color="000000" w:fill="D9D9D9"/>
            <w:noWrap/>
            <w:vAlign w:val="center"/>
            <w:hideMark/>
          </w:tcPr>
          <w:p w14:paraId="1E806C32" w14:textId="77777777" w:rsidR="00563FAB" w:rsidRPr="00FD542E" w:rsidRDefault="00563FAB" w:rsidP="00570F96">
            <w:pPr>
              <w:jc w:val="center"/>
              <w:rPr>
                <w:b/>
                <w:bCs/>
                <w:sz w:val="20"/>
                <w:szCs w:val="20"/>
                <w:lang w:eastAsia="lv-LV"/>
              </w:rPr>
            </w:pPr>
            <w:r w:rsidRPr="00FD542E">
              <w:rPr>
                <w:b/>
                <w:bCs/>
                <w:sz w:val="20"/>
                <w:szCs w:val="20"/>
                <w:lang w:eastAsia="lv-LV"/>
              </w:rPr>
              <w:t>98,00</w:t>
            </w:r>
          </w:p>
        </w:tc>
        <w:tc>
          <w:tcPr>
            <w:tcW w:w="1658" w:type="dxa"/>
            <w:tcBorders>
              <w:top w:val="nil"/>
              <w:left w:val="nil"/>
              <w:bottom w:val="single" w:sz="4" w:space="0" w:color="auto"/>
              <w:right w:val="single" w:sz="4" w:space="0" w:color="auto"/>
            </w:tcBorders>
            <w:shd w:val="clear" w:color="000000" w:fill="D9D9D9"/>
            <w:noWrap/>
            <w:vAlign w:val="center"/>
            <w:hideMark/>
          </w:tcPr>
          <w:p w14:paraId="3FC37A3A" w14:textId="77777777" w:rsidR="00563FAB" w:rsidRPr="00FD542E" w:rsidRDefault="00563FAB" w:rsidP="00570F96">
            <w:pPr>
              <w:jc w:val="center"/>
              <w:rPr>
                <w:b/>
                <w:bCs/>
                <w:sz w:val="20"/>
                <w:szCs w:val="20"/>
                <w:lang w:eastAsia="lv-LV"/>
              </w:rPr>
            </w:pPr>
            <w:r w:rsidRPr="00FD542E">
              <w:rPr>
                <w:b/>
                <w:bCs/>
                <w:sz w:val="20"/>
                <w:szCs w:val="20"/>
                <w:lang w:eastAsia="lv-LV"/>
              </w:rPr>
              <w:t>81,34</w:t>
            </w:r>
          </w:p>
        </w:tc>
      </w:tr>
    </w:tbl>
    <w:p w14:paraId="1B0428C2" w14:textId="77777777" w:rsidR="00377D6E" w:rsidRPr="003A2E9D" w:rsidRDefault="00377D6E" w:rsidP="00377D6E">
      <w:pPr>
        <w:pStyle w:val="Sarakstarindkopa"/>
        <w:ind w:left="426"/>
        <w:jc w:val="both"/>
        <w:rPr>
          <w:rFonts w:eastAsia="Calibri" w:cs="Arial Unicode MS"/>
          <w:lang w:eastAsia="en-US" w:bidi="bo-CN"/>
        </w:rPr>
      </w:pPr>
    </w:p>
    <w:p w14:paraId="480BD85F" w14:textId="77777777" w:rsidR="00842D70" w:rsidRDefault="00842D70" w:rsidP="00842D70">
      <w:pPr>
        <w:spacing w:line="276" w:lineRule="auto"/>
        <w:ind w:left="426" w:right="-58"/>
        <w:jc w:val="both"/>
        <w:rPr>
          <w:rFonts w:eastAsia="Calibri" w:cs="Arial Unicode MS"/>
          <w:lang w:bidi="bo-CN"/>
        </w:rPr>
      </w:pPr>
    </w:p>
    <w:p w14:paraId="67059A1F" w14:textId="79F7221D" w:rsidR="00842D70" w:rsidRDefault="005029DF" w:rsidP="00842D70">
      <w:pPr>
        <w:numPr>
          <w:ilvl w:val="0"/>
          <w:numId w:val="8"/>
        </w:numPr>
        <w:spacing w:line="276" w:lineRule="auto"/>
        <w:ind w:left="426" w:right="-58" w:hanging="426"/>
        <w:jc w:val="both"/>
        <w:rPr>
          <w:rFonts w:eastAsia="Calibri" w:cs="Arial Unicode MS"/>
          <w:lang w:bidi="bo-CN"/>
        </w:rPr>
      </w:pPr>
      <w:r w:rsidRPr="00F732BD">
        <w:rPr>
          <w:rFonts w:eastAsia="Calibri" w:cs="Arial Unicode MS"/>
          <w:b/>
          <w:lang w:bidi="bo-CN"/>
        </w:rPr>
        <w:t>Noraidītie</w:t>
      </w:r>
      <w:r w:rsidRPr="00F732BD">
        <w:rPr>
          <w:b/>
        </w:rPr>
        <w:t xml:space="preserve"> </w:t>
      </w:r>
      <w:r w:rsidRPr="00F732BD">
        <w:rPr>
          <w:rFonts w:eastAsia="Calibri" w:cs="Arial Unicode MS"/>
          <w:b/>
          <w:lang w:bidi="bo-CN"/>
        </w:rPr>
        <w:t>pretendenti un to noraidīšanas iemesli:</w:t>
      </w:r>
      <w:r w:rsidRPr="00F732BD">
        <w:rPr>
          <w:rFonts w:eastAsia="Calibri" w:cs="Arial Unicode MS"/>
          <w:lang w:bidi="bo-CN"/>
        </w:rPr>
        <w:t xml:space="preserve"> </w:t>
      </w:r>
      <w:r w:rsidR="003A2E9D">
        <w:rPr>
          <w:rFonts w:eastAsia="Calibri" w:cs="Arial Unicode MS"/>
          <w:lang w:bidi="bo-CN"/>
        </w:rPr>
        <w:t>nav.</w:t>
      </w:r>
    </w:p>
    <w:p w14:paraId="554F29C7" w14:textId="77777777" w:rsidR="00842D70" w:rsidRPr="00842D70" w:rsidRDefault="00842D70" w:rsidP="00842D70">
      <w:pPr>
        <w:spacing w:line="276" w:lineRule="auto"/>
        <w:ind w:left="426"/>
        <w:jc w:val="both"/>
        <w:rPr>
          <w:rFonts w:eastAsia="Calibri" w:cs="Arial Unicode MS"/>
          <w:lang w:bidi="bo-CN"/>
        </w:rPr>
      </w:pPr>
    </w:p>
    <w:p w14:paraId="34ABD0D5" w14:textId="52160DDC" w:rsidR="005029DF" w:rsidRPr="00B86109" w:rsidRDefault="005029DF" w:rsidP="006622AB">
      <w:pPr>
        <w:numPr>
          <w:ilvl w:val="0"/>
          <w:numId w:val="8"/>
        </w:numPr>
        <w:spacing w:line="276" w:lineRule="auto"/>
        <w:ind w:left="426" w:hanging="426"/>
        <w:jc w:val="both"/>
        <w:rPr>
          <w:rFonts w:eastAsia="Calibri" w:cs="Arial Unicode MS"/>
          <w:lang w:bidi="bo-CN"/>
        </w:rPr>
      </w:pPr>
      <w:r w:rsidRPr="00F732BD">
        <w:rPr>
          <w:rFonts w:eastAsia="Calibri"/>
          <w:b/>
        </w:rPr>
        <w:t xml:space="preserve">Pārtrauktās/izbeigtās daļas: </w:t>
      </w:r>
      <w:r w:rsidR="00842D70">
        <w:rPr>
          <w:rFonts w:eastAsia="Calibri"/>
        </w:rPr>
        <w:t>nav.</w:t>
      </w:r>
    </w:p>
    <w:p w14:paraId="331E9EEB" w14:textId="77777777" w:rsidR="00B86109" w:rsidRPr="00F732BD" w:rsidRDefault="00B86109" w:rsidP="00B86109">
      <w:pPr>
        <w:spacing w:line="276" w:lineRule="auto"/>
        <w:ind w:left="426"/>
        <w:jc w:val="both"/>
        <w:rPr>
          <w:rFonts w:eastAsia="Calibri" w:cs="Arial Unicode MS"/>
          <w:lang w:bidi="bo-CN"/>
        </w:rPr>
      </w:pPr>
    </w:p>
    <w:p w14:paraId="3E77390C" w14:textId="2E669C4C" w:rsidR="005029DF" w:rsidRPr="00F732BD" w:rsidRDefault="005029DF" w:rsidP="006622AB">
      <w:pPr>
        <w:numPr>
          <w:ilvl w:val="0"/>
          <w:numId w:val="8"/>
        </w:numPr>
        <w:spacing w:line="276" w:lineRule="auto"/>
        <w:ind w:left="426" w:hanging="426"/>
        <w:jc w:val="both"/>
        <w:rPr>
          <w:rFonts w:eastAsia="Calibri" w:cs="Arial Unicode MS"/>
          <w:lang w:bidi="bo-CN"/>
        </w:rPr>
      </w:pPr>
      <w:r w:rsidRPr="00F732BD">
        <w:rPr>
          <w:rFonts w:eastAsia="Calibri"/>
          <w:b/>
        </w:rPr>
        <w:t xml:space="preserve">Lēmuma pieņemšanas datums: </w:t>
      </w:r>
      <w:r w:rsidR="00563FAB">
        <w:rPr>
          <w:rFonts w:eastAsia="Calibri"/>
          <w:bCs/>
        </w:rPr>
        <w:t>26.06.2026</w:t>
      </w:r>
    </w:p>
    <w:p w14:paraId="7ED45EA4" w14:textId="77777777" w:rsidR="005029DF" w:rsidRDefault="005029DF" w:rsidP="005029DF">
      <w:pPr>
        <w:spacing w:after="200" w:line="276" w:lineRule="auto"/>
        <w:ind w:left="426"/>
        <w:contextualSpacing/>
        <w:jc w:val="both"/>
        <w:rPr>
          <w:rFonts w:eastAsia="Calibri"/>
        </w:rPr>
      </w:pPr>
    </w:p>
    <w:p w14:paraId="343FBF40" w14:textId="77777777" w:rsidR="005029DF" w:rsidRPr="00411B63" w:rsidRDefault="005029DF" w:rsidP="006622AB">
      <w:pPr>
        <w:jc w:val="both"/>
        <w:rPr>
          <w:b/>
          <w:lang w:eastAsia="lv-LV"/>
        </w:rPr>
      </w:pPr>
      <w:r w:rsidRPr="00411B63">
        <w:rPr>
          <w:rFonts w:eastAsia="Calibri"/>
        </w:rPr>
        <w:t>Pretendents, kurš iesniedzis piedāvājumu iepirkumā, uz ko attiecas šā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Administratīvās rajona tiesas nolēmumu var pārsūdzēt kasācijas kārtībā Augstākās tiesas Administratīvo lietu departamentā. Lēmuma pārsūdzēšana neaptur tā darbību.</w:t>
      </w:r>
    </w:p>
    <w:bookmarkEnd w:id="0"/>
    <w:p w14:paraId="3BE2E755" w14:textId="154F50E6" w:rsidR="0036658B" w:rsidRDefault="0036658B" w:rsidP="00444FCC">
      <w:pPr>
        <w:rPr>
          <w:rFonts w:eastAsia="Calibri"/>
          <w:sz w:val="20"/>
        </w:rPr>
      </w:pPr>
    </w:p>
    <w:p w14:paraId="7E734A92" w14:textId="77777777" w:rsidR="00673738" w:rsidRDefault="00673738" w:rsidP="00444FCC">
      <w:pPr>
        <w:rPr>
          <w:rFonts w:eastAsia="Calibri"/>
        </w:rPr>
      </w:pPr>
    </w:p>
    <w:p w14:paraId="60906498" w14:textId="504C85C1" w:rsidR="00673738" w:rsidRDefault="00673738" w:rsidP="00444FCC">
      <w:pPr>
        <w:rPr>
          <w:rFonts w:eastAsia="Calibri"/>
        </w:rPr>
      </w:pPr>
      <w:r w:rsidRPr="00673738">
        <w:rPr>
          <w:rFonts w:eastAsia="Calibri"/>
        </w:rPr>
        <w:t xml:space="preserve">Sagatavotājs: Komisijas </w:t>
      </w:r>
      <w:r w:rsidR="005456BC">
        <w:rPr>
          <w:rFonts w:eastAsia="Calibri"/>
        </w:rPr>
        <w:t>vadītājas vietniece</w:t>
      </w:r>
      <w:r w:rsidRPr="00673738">
        <w:rPr>
          <w:rFonts w:eastAsia="Calibri"/>
        </w:rPr>
        <w:t xml:space="preserve">/sekretāre L. </w:t>
      </w:r>
      <w:r w:rsidR="00563FAB">
        <w:rPr>
          <w:rFonts w:eastAsia="Calibri"/>
        </w:rPr>
        <w:t>Apenīte</w:t>
      </w:r>
      <w:r w:rsidR="005650EF">
        <w:rPr>
          <w:rFonts w:eastAsia="Calibri"/>
        </w:rPr>
        <w:t xml:space="preserve"> </w:t>
      </w:r>
    </w:p>
    <w:p w14:paraId="702F8476" w14:textId="77777777" w:rsidR="005F418B" w:rsidRDefault="005F418B" w:rsidP="00444FCC">
      <w:pPr>
        <w:rPr>
          <w:rFonts w:eastAsia="Calibri"/>
        </w:rPr>
      </w:pPr>
    </w:p>
    <w:p w14:paraId="13DB438B" w14:textId="77777777" w:rsidR="00DB73AC" w:rsidRPr="00DB73AC" w:rsidRDefault="00DB73AC" w:rsidP="00DB73AC">
      <w:pPr>
        <w:jc w:val="right"/>
        <w:rPr>
          <w:rFonts w:eastAsia="Calibri"/>
          <w:iCs/>
        </w:rPr>
      </w:pPr>
      <w:r w:rsidRPr="00DB73AC">
        <w:rPr>
          <w:rFonts w:eastAsia="Calibri"/>
          <w:iCs/>
        </w:rPr>
        <w:t>IZRAKSTS PAREIZS</w:t>
      </w:r>
    </w:p>
    <w:p w14:paraId="5DBAE62A" w14:textId="77777777" w:rsidR="00DB73AC" w:rsidRPr="00DB73AC" w:rsidRDefault="00DB73AC" w:rsidP="00DB73AC">
      <w:pPr>
        <w:jc w:val="right"/>
        <w:rPr>
          <w:rFonts w:eastAsia="Calibri"/>
          <w:iCs/>
        </w:rPr>
      </w:pPr>
      <w:r w:rsidRPr="00DB73AC">
        <w:rPr>
          <w:rFonts w:eastAsia="Calibri"/>
          <w:iCs/>
        </w:rPr>
        <w:t>Nacionālais psihiskās veselības centrs, Valsts SIA</w:t>
      </w:r>
    </w:p>
    <w:p w14:paraId="661CBBB6" w14:textId="77777777" w:rsidR="00DB73AC" w:rsidRPr="00DB73AC" w:rsidRDefault="00DB73AC" w:rsidP="00DB73AC">
      <w:pPr>
        <w:jc w:val="right"/>
        <w:rPr>
          <w:rFonts w:eastAsia="Calibri"/>
          <w:iCs/>
        </w:rPr>
      </w:pPr>
      <w:r w:rsidRPr="00DB73AC">
        <w:rPr>
          <w:rFonts w:eastAsia="Calibri"/>
          <w:iCs/>
        </w:rPr>
        <w:t>Iepirkumu daļas</w:t>
      </w:r>
    </w:p>
    <w:p w14:paraId="775A28E1" w14:textId="77777777" w:rsidR="00DB73AC" w:rsidRPr="00DB73AC" w:rsidRDefault="00DB73AC" w:rsidP="00DB73AC">
      <w:pPr>
        <w:jc w:val="right"/>
        <w:rPr>
          <w:rFonts w:eastAsia="Calibri"/>
          <w:iCs/>
        </w:rPr>
      </w:pPr>
      <w:r w:rsidRPr="00DB73AC">
        <w:rPr>
          <w:rFonts w:eastAsia="Calibri"/>
          <w:iCs/>
        </w:rPr>
        <w:t>Iepirkumu speciāliste-Juriste Laura Apenīte</w:t>
      </w:r>
    </w:p>
    <w:p w14:paraId="29001A91" w14:textId="4D55F537" w:rsidR="005F418B" w:rsidRPr="00673738" w:rsidRDefault="00DB73AC" w:rsidP="00DB73AC">
      <w:pPr>
        <w:jc w:val="right"/>
        <w:rPr>
          <w:rFonts w:eastAsia="Calibri"/>
        </w:rPr>
      </w:pPr>
      <w:r w:rsidRPr="00DB73AC">
        <w:rPr>
          <w:rFonts w:eastAsia="Calibri"/>
          <w:iCs/>
        </w:rPr>
        <w:lastRenderedPageBreak/>
        <w:t>2026. gada 2</w:t>
      </w:r>
      <w:r>
        <w:rPr>
          <w:rFonts w:eastAsia="Calibri"/>
          <w:iCs/>
        </w:rPr>
        <w:t>9</w:t>
      </w:r>
      <w:r w:rsidRPr="00DB73AC">
        <w:rPr>
          <w:rFonts w:eastAsia="Calibri"/>
          <w:iCs/>
        </w:rPr>
        <w:t>. jūnijā</w:t>
      </w:r>
    </w:p>
    <w:sectPr w:rsidR="005F418B" w:rsidRPr="00673738" w:rsidSect="00C51B97">
      <w:headerReference w:type="even" r:id="rId7"/>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BD6B" w14:textId="77777777" w:rsidR="009D2181" w:rsidRDefault="009D2181">
      <w:r>
        <w:separator/>
      </w:r>
    </w:p>
  </w:endnote>
  <w:endnote w:type="continuationSeparator" w:id="0">
    <w:p w14:paraId="65B5E470" w14:textId="77777777" w:rsidR="009D2181" w:rsidRDefault="009D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D138" w14:textId="77777777" w:rsidR="00C51B97" w:rsidRDefault="00C51B97">
    <w:pPr>
      <w:pStyle w:val="Kjene"/>
      <w:jc w:val="right"/>
    </w:pPr>
    <w:r>
      <w:fldChar w:fldCharType="begin"/>
    </w:r>
    <w:r>
      <w:instrText xml:space="preserve"> PAGE   \* MERGEFORMAT </w:instrText>
    </w:r>
    <w:r>
      <w:fldChar w:fldCharType="separate"/>
    </w:r>
    <w:r>
      <w:rPr>
        <w:noProof/>
      </w:rPr>
      <w:t>2</w:t>
    </w:r>
    <w:r>
      <w:rPr>
        <w:noProof/>
      </w:rPr>
      <w:fldChar w:fldCharType="end"/>
    </w:r>
  </w:p>
  <w:p w14:paraId="01B03347" w14:textId="77777777" w:rsidR="00C51B97" w:rsidRDefault="00C51B9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D3F8" w14:textId="77777777" w:rsidR="00C51B97" w:rsidRDefault="00C51B97">
    <w:pPr>
      <w:pStyle w:val="Kjene"/>
      <w:jc w:val="right"/>
    </w:pPr>
    <w:r>
      <w:fldChar w:fldCharType="begin"/>
    </w:r>
    <w:r>
      <w:instrText xml:space="preserve"> PAGE   \* MERGEFORMAT </w:instrText>
    </w:r>
    <w:r>
      <w:fldChar w:fldCharType="separate"/>
    </w:r>
    <w:r>
      <w:rPr>
        <w:noProof/>
      </w:rPr>
      <w:t>2</w:t>
    </w:r>
    <w:r>
      <w:rPr>
        <w:noProof/>
      </w:rPr>
      <w:fldChar w:fldCharType="end"/>
    </w:r>
  </w:p>
  <w:p w14:paraId="3049B86C" w14:textId="77777777" w:rsidR="00C51B97" w:rsidRDefault="00C51B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5294" w14:textId="77777777" w:rsidR="009D2181" w:rsidRDefault="009D2181">
      <w:r>
        <w:separator/>
      </w:r>
    </w:p>
  </w:footnote>
  <w:footnote w:type="continuationSeparator" w:id="0">
    <w:p w14:paraId="248EAC41" w14:textId="77777777" w:rsidR="009D2181" w:rsidRDefault="009D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CD4D" w14:textId="77777777" w:rsidR="00D46720" w:rsidRDefault="00D46720" w:rsidP="00127D3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E98C211" w14:textId="77777777" w:rsidR="00D46720" w:rsidRDefault="00D4672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240"/>
    <w:multiLevelType w:val="hybridMultilevel"/>
    <w:tmpl w:val="CC767DE4"/>
    <w:lvl w:ilvl="0" w:tplc="525C27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A40917"/>
    <w:multiLevelType w:val="hybridMultilevel"/>
    <w:tmpl w:val="BD0E4EFE"/>
    <w:lvl w:ilvl="0" w:tplc="119E3AB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3678C0"/>
    <w:multiLevelType w:val="multilevel"/>
    <w:tmpl w:val="DAC07376"/>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FE6DA6"/>
    <w:multiLevelType w:val="hybridMultilevel"/>
    <w:tmpl w:val="A8F06C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0914BB"/>
    <w:multiLevelType w:val="hybridMultilevel"/>
    <w:tmpl w:val="18248626"/>
    <w:lvl w:ilvl="0" w:tplc="3A4AAAA6">
      <w:start w:val="2018"/>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24673F61"/>
    <w:multiLevelType w:val="hybridMultilevel"/>
    <w:tmpl w:val="72546C9C"/>
    <w:lvl w:ilvl="0" w:tplc="FD567E36">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65712"/>
    <w:multiLevelType w:val="hybridMultilevel"/>
    <w:tmpl w:val="EEB4F28C"/>
    <w:lvl w:ilvl="0" w:tplc="C1685D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F38425B"/>
    <w:multiLevelType w:val="hybridMultilevel"/>
    <w:tmpl w:val="55840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E071E6"/>
    <w:multiLevelType w:val="hybridMultilevel"/>
    <w:tmpl w:val="25FC964E"/>
    <w:lvl w:ilvl="0" w:tplc="8B908E0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5840AB"/>
    <w:multiLevelType w:val="hybridMultilevel"/>
    <w:tmpl w:val="7B3AFD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995A08"/>
    <w:multiLevelType w:val="hybridMultilevel"/>
    <w:tmpl w:val="2D72DDBC"/>
    <w:lvl w:ilvl="0" w:tplc="8CB0BCC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0254FB"/>
    <w:multiLevelType w:val="multilevel"/>
    <w:tmpl w:val="2D94FF58"/>
    <w:lvl w:ilvl="0">
      <w:start w:val="7"/>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411A4115"/>
    <w:multiLevelType w:val="hybridMultilevel"/>
    <w:tmpl w:val="4A088F7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7D45BC"/>
    <w:multiLevelType w:val="multilevel"/>
    <w:tmpl w:val="582AA962"/>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494633CF"/>
    <w:multiLevelType w:val="multilevel"/>
    <w:tmpl w:val="A4806C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596E78"/>
    <w:multiLevelType w:val="hybridMultilevel"/>
    <w:tmpl w:val="8B90A7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8527A2"/>
    <w:multiLevelType w:val="hybridMultilevel"/>
    <w:tmpl w:val="68F01C5C"/>
    <w:lvl w:ilvl="0" w:tplc="4B0ED134">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67AD32D1"/>
    <w:multiLevelType w:val="hybridMultilevel"/>
    <w:tmpl w:val="85629A5E"/>
    <w:lvl w:ilvl="0" w:tplc="C1DCAAF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B0B595E"/>
    <w:multiLevelType w:val="multilevel"/>
    <w:tmpl w:val="098C7A7C"/>
    <w:lvl w:ilvl="0">
      <w:start w:val="6"/>
      <w:numFmt w:val="decimal"/>
      <w:lvlText w:val="%1."/>
      <w:lvlJc w:val="left"/>
      <w:pPr>
        <w:ind w:left="720" w:hanging="360"/>
      </w:pPr>
      <w:rPr>
        <w:rFonts w:hint="default"/>
        <w:b w:val="0"/>
        <w:sz w:val="24"/>
        <w:szCs w:val="24"/>
      </w:rPr>
    </w:lvl>
    <w:lvl w:ilvl="1">
      <w:start w:val="1"/>
      <w:numFmt w:val="decimal"/>
      <w:isLgl/>
      <w:lvlText w:val="%1.%2."/>
      <w:lvlJc w:val="left"/>
      <w:pPr>
        <w:ind w:left="831" w:hanging="405"/>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6E4239A3"/>
    <w:multiLevelType w:val="hybridMultilevel"/>
    <w:tmpl w:val="071E5CDE"/>
    <w:lvl w:ilvl="0" w:tplc="B790855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 w15:restartNumberingAfterBreak="0">
    <w:nsid w:val="7A683ABA"/>
    <w:multiLevelType w:val="hybridMultilevel"/>
    <w:tmpl w:val="46FC9168"/>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7F5376A3"/>
    <w:multiLevelType w:val="hybridMultilevel"/>
    <w:tmpl w:val="9620BBA6"/>
    <w:lvl w:ilvl="0" w:tplc="0DC23C0A">
      <w:start w:val="20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8518345">
    <w:abstractNumId w:val="5"/>
  </w:num>
  <w:num w:numId="2" w16cid:durableId="1758862117">
    <w:abstractNumId w:val="7"/>
  </w:num>
  <w:num w:numId="3" w16cid:durableId="383022668">
    <w:abstractNumId w:val="3"/>
  </w:num>
  <w:num w:numId="4" w16cid:durableId="417947483">
    <w:abstractNumId w:val="15"/>
  </w:num>
  <w:num w:numId="5" w16cid:durableId="13113877">
    <w:abstractNumId w:val="9"/>
  </w:num>
  <w:num w:numId="6" w16cid:durableId="43140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02745">
    <w:abstractNumId w:val="18"/>
  </w:num>
  <w:num w:numId="8" w16cid:durableId="1125394274">
    <w:abstractNumId w:val="2"/>
  </w:num>
  <w:num w:numId="9" w16cid:durableId="864054328">
    <w:abstractNumId w:val="13"/>
  </w:num>
  <w:num w:numId="10" w16cid:durableId="1335690256">
    <w:abstractNumId w:val="16"/>
  </w:num>
  <w:num w:numId="11" w16cid:durableId="1518274607">
    <w:abstractNumId w:val="11"/>
  </w:num>
  <w:num w:numId="12" w16cid:durableId="1478914891">
    <w:abstractNumId w:val="10"/>
  </w:num>
  <w:num w:numId="13" w16cid:durableId="1769499591">
    <w:abstractNumId w:val="10"/>
  </w:num>
  <w:num w:numId="14" w16cid:durableId="125851634">
    <w:abstractNumId w:val="17"/>
  </w:num>
  <w:num w:numId="15" w16cid:durableId="1086925851">
    <w:abstractNumId w:val="4"/>
  </w:num>
  <w:num w:numId="16" w16cid:durableId="888415930">
    <w:abstractNumId w:val="0"/>
  </w:num>
  <w:num w:numId="17" w16cid:durableId="165094985">
    <w:abstractNumId w:val="19"/>
  </w:num>
  <w:num w:numId="18" w16cid:durableId="1807310476">
    <w:abstractNumId w:val="8"/>
  </w:num>
  <w:num w:numId="19" w16cid:durableId="605230367">
    <w:abstractNumId w:val="12"/>
  </w:num>
  <w:num w:numId="20" w16cid:durableId="950935974">
    <w:abstractNumId w:val="6"/>
  </w:num>
  <w:num w:numId="21" w16cid:durableId="780029080">
    <w:abstractNumId w:val="1"/>
  </w:num>
  <w:num w:numId="22" w16cid:durableId="217208560">
    <w:abstractNumId w:val="21"/>
  </w:num>
  <w:num w:numId="23" w16cid:durableId="1545601724">
    <w:abstractNumId w:val="20"/>
  </w:num>
  <w:num w:numId="24" w16cid:durableId="2122067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15"/>
    <w:rsid w:val="00000D7F"/>
    <w:rsid w:val="00011E33"/>
    <w:rsid w:val="00012E57"/>
    <w:rsid w:val="00015819"/>
    <w:rsid w:val="00022AFF"/>
    <w:rsid w:val="0002457E"/>
    <w:rsid w:val="000253D2"/>
    <w:rsid w:val="000324B0"/>
    <w:rsid w:val="00036A30"/>
    <w:rsid w:val="0005273B"/>
    <w:rsid w:val="000534F6"/>
    <w:rsid w:val="00072336"/>
    <w:rsid w:val="00076E3C"/>
    <w:rsid w:val="00081777"/>
    <w:rsid w:val="000B0A93"/>
    <w:rsid w:val="000B1548"/>
    <w:rsid w:val="000D33C0"/>
    <w:rsid w:val="000D435B"/>
    <w:rsid w:val="000E246B"/>
    <w:rsid w:val="000E6793"/>
    <w:rsid w:val="000F0457"/>
    <w:rsid w:val="001141BC"/>
    <w:rsid w:val="00127D36"/>
    <w:rsid w:val="00135294"/>
    <w:rsid w:val="00135BCF"/>
    <w:rsid w:val="00136656"/>
    <w:rsid w:val="001371B0"/>
    <w:rsid w:val="00147554"/>
    <w:rsid w:val="00153F00"/>
    <w:rsid w:val="00173D56"/>
    <w:rsid w:val="001845CA"/>
    <w:rsid w:val="001852F3"/>
    <w:rsid w:val="00192AF6"/>
    <w:rsid w:val="001941A7"/>
    <w:rsid w:val="00195A3E"/>
    <w:rsid w:val="00197339"/>
    <w:rsid w:val="001A6387"/>
    <w:rsid w:val="001D15BB"/>
    <w:rsid w:val="001D4F4E"/>
    <w:rsid w:val="001E2D04"/>
    <w:rsid w:val="002150BB"/>
    <w:rsid w:val="00216459"/>
    <w:rsid w:val="0022066F"/>
    <w:rsid w:val="00222479"/>
    <w:rsid w:val="002227FD"/>
    <w:rsid w:val="002277A8"/>
    <w:rsid w:val="00232769"/>
    <w:rsid w:val="00237015"/>
    <w:rsid w:val="00244C8D"/>
    <w:rsid w:val="00250055"/>
    <w:rsid w:val="0025006C"/>
    <w:rsid w:val="00252787"/>
    <w:rsid w:val="00253C58"/>
    <w:rsid w:val="002557C4"/>
    <w:rsid w:val="00264538"/>
    <w:rsid w:val="0026610B"/>
    <w:rsid w:val="00270886"/>
    <w:rsid w:val="00285618"/>
    <w:rsid w:val="00296D3F"/>
    <w:rsid w:val="00297445"/>
    <w:rsid w:val="002A374B"/>
    <w:rsid w:val="002C0026"/>
    <w:rsid w:val="002D587A"/>
    <w:rsid w:val="002E2265"/>
    <w:rsid w:val="002E6543"/>
    <w:rsid w:val="002F3117"/>
    <w:rsid w:val="0030274E"/>
    <w:rsid w:val="003217F6"/>
    <w:rsid w:val="00321FFD"/>
    <w:rsid w:val="0032212C"/>
    <w:rsid w:val="00322734"/>
    <w:rsid w:val="00325089"/>
    <w:rsid w:val="003278A3"/>
    <w:rsid w:val="003367FF"/>
    <w:rsid w:val="00352D32"/>
    <w:rsid w:val="0036658B"/>
    <w:rsid w:val="00366873"/>
    <w:rsid w:val="00373B9C"/>
    <w:rsid w:val="00377D6E"/>
    <w:rsid w:val="00392ADB"/>
    <w:rsid w:val="0039346E"/>
    <w:rsid w:val="0039393D"/>
    <w:rsid w:val="003A190A"/>
    <w:rsid w:val="003A2E9D"/>
    <w:rsid w:val="003B42B5"/>
    <w:rsid w:val="003B459B"/>
    <w:rsid w:val="003B78A0"/>
    <w:rsid w:val="003C1AB6"/>
    <w:rsid w:val="003C1F12"/>
    <w:rsid w:val="00413467"/>
    <w:rsid w:val="00415A34"/>
    <w:rsid w:val="00432810"/>
    <w:rsid w:val="00437B96"/>
    <w:rsid w:val="00444FCC"/>
    <w:rsid w:val="00450BC0"/>
    <w:rsid w:val="004549D8"/>
    <w:rsid w:val="004708B9"/>
    <w:rsid w:val="004879EC"/>
    <w:rsid w:val="00496542"/>
    <w:rsid w:val="004E2C70"/>
    <w:rsid w:val="004E4BB2"/>
    <w:rsid w:val="004E4EBE"/>
    <w:rsid w:val="004E5234"/>
    <w:rsid w:val="005029DF"/>
    <w:rsid w:val="00537C22"/>
    <w:rsid w:val="00541A2A"/>
    <w:rsid w:val="00541A68"/>
    <w:rsid w:val="005456BC"/>
    <w:rsid w:val="0054607A"/>
    <w:rsid w:val="0055072E"/>
    <w:rsid w:val="00552076"/>
    <w:rsid w:val="00557059"/>
    <w:rsid w:val="00563042"/>
    <w:rsid w:val="00563FAB"/>
    <w:rsid w:val="005650EF"/>
    <w:rsid w:val="0056582A"/>
    <w:rsid w:val="00570ECE"/>
    <w:rsid w:val="00576930"/>
    <w:rsid w:val="00580C80"/>
    <w:rsid w:val="005861B4"/>
    <w:rsid w:val="00590438"/>
    <w:rsid w:val="005A32BA"/>
    <w:rsid w:val="005A412C"/>
    <w:rsid w:val="005A4FAD"/>
    <w:rsid w:val="005B20F3"/>
    <w:rsid w:val="005C0E11"/>
    <w:rsid w:val="005C417D"/>
    <w:rsid w:val="005C5E14"/>
    <w:rsid w:val="005F00F4"/>
    <w:rsid w:val="005F418B"/>
    <w:rsid w:val="006002A1"/>
    <w:rsid w:val="00621D6F"/>
    <w:rsid w:val="00625C7D"/>
    <w:rsid w:val="006269D1"/>
    <w:rsid w:val="00635140"/>
    <w:rsid w:val="00640DB9"/>
    <w:rsid w:val="00645BAC"/>
    <w:rsid w:val="00647029"/>
    <w:rsid w:val="006575DA"/>
    <w:rsid w:val="006622AB"/>
    <w:rsid w:val="00673738"/>
    <w:rsid w:val="00681A04"/>
    <w:rsid w:val="006850E9"/>
    <w:rsid w:val="006901C4"/>
    <w:rsid w:val="00696951"/>
    <w:rsid w:val="006D1324"/>
    <w:rsid w:val="006F4B14"/>
    <w:rsid w:val="006F7F47"/>
    <w:rsid w:val="00703DE5"/>
    <w:rsid w:val="0072599D"/>
    <w:rsid w:val="00730DDE"/>
    <w:rsid w:val="007318B1"/>
    <w:rsid w:val="007374B8"/>
    <w:rsid w:val="00745969"/>
    <w:rsid w:val="0075671D"/>
    <w:rsid w:val="00757BAE"/>
    <w:rsid w:val="00764A67"/>
    <w:rsid w:val="00767553"/>
    <w:rsid w:val="007717EF"/>
    <w:rsid w:val="007828B6"/>
    <w:rsid w:val="007C3056"/>
    <w:rsid w:val="007D183A"/>
    <w:rsid w:val="007D25B6"/>
    <w:rsid w:val="007D3B39"/>
    <w:rsid w:val="008044D1"/>
    <w:rsid w:val="00812568"/>
    <w:rsid w:val="00815540"/>
    <w:rsid w:val="00816C21"/>
    <w:rsid w:val="00823A07"/>
    <w:rsid w:val="00825DCC"/>
    <w:rsid w:val="00827575"/>
    <w:rsid w:val="0083191E"/>
    <w:rsid w:val="0084226E"/>
    <w:rsid w:val="00842D70"/>
    <w:rsid w:val="00844206"/>
    <w:rsid w:val="00854484"/>
    <w:rsid w:val="00863204"/>
    <w:rsid w:val="0086393C"/>
    <w:rsid w:val="00865B41"/>
    <w:rsid w:val="008666A8"/>
    <w:rsid w:val="008723F2"/>
    <w:rsid w:val="00875147"/>
    <w:rsid w:val="00892995"/>
    <w:rsid w:val="00895442"/>
    <w:rsid w:val="008969B3"/>
    <w:rsid w:val="008B63D0"/>
    <w:rsid w:val="008C7E26"/>
    <w:rsid w:val="008D763A"/>
    <w:rsid w:val="008D77FE"/>
    <w:rsid w:val="008E4C54"/>
    <w:rsid w:val="008F6F11"/>
    <w:rsid w:val="00902C93"/>
    <w:rsid w:val="009117EF"/>
    <w:rsid w:val="0091499C"/>
    <w:rsid w:val="0091502D"/>
    <w:rsid w:val="00927E77"/>
    <w:rsid w:val="00947DF3"/>
    <w:rsid w:val="009506CC"/>
    <w:rsid w:val="0095225F"/>
    <w:rsid w:val="00954BA1"/>
    <w:rsid w:val="009556A9"/>
    <w:rsid w:val="009637DD"/>
    <w:rsid w:val="009673FD"/>
    <w:rsid w:val="00973C13"/>
    <w:rsid w:val="009741E0"/>
    <w:rsid w:val="00974B5E"/>
    <w:rsid w:val="00974EEF"/>
    <w:rsid w:val="00981DA2"/>
    <w:rsid w:val="00983046"/>
    <w:rsid w:val="009926BD"/>
    <w:rsid w:val="00995321"/>
    <w:rsid w:val="00996CD5"/>
    <w:rsid w:val="009A727E"/>
    <w:rsid w:val="009B1D58"/>
    <w:rsid w:val="009B78E7"/>
    <w:rsid w:val="009B7E6D"/>
    <w:rsid w:val="009C4DBD"/>
    <w:rsid w:val="009D2181"/>
    <w:rsid w:val="009E493A"/>
    <w:rsid w:val="009F6E85"/>
    <w:rsid w:val="00A01816"/>
    <w:rsid w:val="00A072C0"/>
    <w:rsid w:val="00A11895"/>
    <w:rsid w:val="00A163F6"/>
    <w:rsid w:val="00A3431A"/>
    <w:rsid w:val="00A351A7"/>
    <w:rsid w:val="00A44B66"/>
    <w:rsid w:val="00A60C13"/>
    <w:rsid w:val="00A83A17"/>
    <w:rsid w:val="00A858FE"/>
    <w:rsid w:val="00A90FAA"/>
    <w:rsid w:val="00A9130D"/>
    <w:rsid w:val="00A9605F"/>
    <w:rsid w:val="00AA4006"/>
    <w:rsid w:val="00AB0D55"/>
    <w:rsid w:val="00AB0D82"/>
    <w:rsid w:val="00AB1326"/>
    <w:rsid w:val="00AD605D"/>
    <w:rsid w:val="00AE1CD9"/>
    <w:rsid w:val="00AE2F84"/>
    <w:rsid w:val="00AE5B06"/>
    <w:rsid w:val="00B00BE9"/>
    <w:rsid w:val="00B04EF8"/>
    <w:rsid w:val="00B14C04"/>
    <w:rsid w:val="00B27D85"/>
    <w:rsid w:val="00B36328"/>
    <w:rsid w:val="00B41FED"/>
    <w:rsid w:val="00B44FEE"/>
    <w:rsid w:val="00B60D43"/>
    <w:rsid w:val="00B678C5"/>
    <w:rsid w:val="00B70D5D"/>
    <w:rsid w:val="00B72117"/>
    <w:rsid w:val="00B72D95"/>
    <w:rsid w:val="00B851C7"/>
    <w:rsid w:val="00B86109"/>
    <w:rsid w:val="00B93517"/>
    <w:rsid w:val="00BA2E65"/>
    <w:rsid w:val="00BB582B"/>
    <w:rsid w:val="00BB67D8"/>
    <w:rsid w:val="00BC1F49"/>
    <w:rsid w:val="00BE1F0A"/>
    <w:rsid w:val="00BE459F"/>
    <w:rsid w:val="00BF39CB"/>
    <w:rsid w:val="00C01A19"/>
    <w:rsid w:val="00C13018"/>
    <w:rsid w:val="00C51B97"/>
    <w:rsid w:val="00C6725D"/>
    <w:rsid w:val="00C76503"/>
    <w:rsid w:val="00C849EC"/>
    <w:rsid w:val="00C913E3"/>
    <w:rsid w:val="00C92889"/>
    <w:rsid w:val="00CA1D56"/>
    <w:rsid w:val="00CB5C5B"/>
    <w:rsid w:val="00CE031F"/>
    <w:rsid w:val="00CF0D25"/>
    <w:rsid w:val="00CF1245"/>
    <w:rsid w:val="00CF3CDD"/>
    <w:rsid w:val="00D00095"/>
    <w:rsid w:val="00D14A81"/>
    <w:rsid w:val="00D171D2"/>
    <w:rsid w:val="00D32FFC"/>
    <w:rsid w:val="00D35495"/>
    <w:rsid w:val="00D41DB2"/>
    <w:rsid w:val="00D46720"/>
    <w:rsid w:val="00D47602"/>
    <w:rsid w:val="00D542DE"/>
    <w:rsid w:val="00D56161"/>
    <w:rsid w:val="00D56404"/>
    <w:rsid w:val="00D81B92"/>
    <w:rsid w:val="00D862A9"/>
    <w:rsid w:val="00D916ED"/>
    <w:rsid w:val="00D960A7"/>
    <w:rsid w:val="00DB0698"/>
    <w:rsid w:val="00DB0A37"/>
    <w:rsid w:val="00DB1C5E"/>
    <w:rsid w:val="00DB3FFE"/>
    <w:rsid w:val="00DB61A9"/>
    <w:rsid w:val="00DB73AC"/>
    <w:rsid w:val="00DB7615"/>
    <w:rsid w:val="00DC1935"/>
    <w:rsid w:val="00DC4688"/>
    <w:rsid w:val="00DD31E8"/>
    <w:rsid w:val="00DE1095"/>
    <w:rsid w:val="00DE40EA"/>
    <w:rsid w:val="00DE5397"/>
    <w:rsid w:val="00E13280"/>
    <w:rsid w:val="00E2195A"/>
    <w:rsid w:val="00E21AD5"/>
    <w:rsid w:val="00E253E5"/>
    <w:rsid w:val="00E25D48"/>
    <w:rsid w:val="00E25E71"/>
    <w:rsid w:val="00E40935"/>
    <w:rsid w:val="00E419EF"/>
    <w:rsid w:val="00E4610F"/>
    <w:rsid w:val="00E51281"/>
    <w:rsid w:val="00E70FE0"/>
    <w:rsid w:val="00E83138"/>
    <w:rsid w:val="00E83CCD"/>
    <w:rsid w:val="00EA3598"/>
    <w:rsid w:val="00EA7159"/>
    <w:rsid w:val="00EB026A"/>
    <w:rsid w:val="00EB3EF9"/>
    <w:rsid w:val="00EB7085"/>
    <w:rsid w:val="00EC4558"/>
    <w:rsid w:val="00ED093E"/>
    <w:rsid w:val="00ED2612"/>
    <w:rsid w:val="00ED3050"/>
    <w:rsid w:val="00ED5BA9"/>
    <w:rsid w:val="00EE5606"/>
    <w:rsid w:val="00EF1469"/>
    <w:rsid w:val="00F01CEC"/>
    <w:rsid w:val="00F177E0"/>
    <w:rsid w:val="00F17C9B"/>
    <w:rsid w:val="00F2288B"/>
    <w:rsid w:val="00F22B3B"/>
    <w:rsid w:val="00F43B34"/>
    <w:rsid w:val="00F43D54"/>
    <w:rsid w:val="00F45D12"/>
    <w:rsid w:val="00F56452"/>
    <w:rsid w:val="00F57AA1"/>
    <w:rsid w:val="00F607BF"/>
    <w:rsid w:val="00F67793"/>
    <w:rsid w:val="00F72B2B"/>
    <w:rsid w:val="00F8436F"/>
    <w:rsid w:val="00F85835"/>
    <w:rsid w:val="00F86856"/>
    <w:rsid w:val="00F8691F"/>
    <w:rsid w:val="00F87957"/>
    <w:rsid w:val="00F9349D"/>
    <w:rsid w:val="00F93808"/>
    <w:rsid w:val="00F96035"/>
    <w:rsid w:val="00F96A76"/>
    <w:rsid w:val="00F96DCD"/>
    <w:rsid w:val="00F9770F"/>
    <w:rsid w:val="00FA05DB"/>
    <w:rsid w:val="00FA2525"/>
    <w:rsid w:val="00FA7869"/>
    <w:rsid w:val="00FB5AB2"/>
    <w:rsid w:val="00FD1F61"/>
    <w:rsid w:val="00FD3C6D"/>
    <w:rsid w:val="00FD53F2"/>
    <w:rsid w:val="00FE18EE"/>
    <w:rsid w:val="00FE49A2"/>
    <w:rsid w:val="00FE5667"/>
    <w:rsid w:val="00FF4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733E"/>
  <w15:chartTrackingRefBased/>
  <w15:docId w15:val="{8794F208-4442-415E-8BA3-3137C72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B7615"/>
    <w:rPr>
      <w:sz w:val="24"/>
      <w:szCs w:val="24"/>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DB7615"/>
    <w:pPr>
      <w:spacing w:before="75" w:after="75"/>
      <w:jc w:val="right"/>
    </w:pPr>
    <w:rPr>
      <w:lang w:eastAsia="lv-LV"/>
    </w:rPr>
  </w:style>
  <w:style w:type="paragraph" w:styleId="Balonteksts">
    <w:name w:val="Balloon Text"/>
    <w:basedOn w:val="Parasts"/>
    <w:semiHidden/>
    <w:rsid w:val="0005273B"/>
    <w:rPr>
      <w:rFonts w:ascii="Tahoma" w:hAnsi="Tahoma" w:cs="Tahoma"/>
      <w:sz w:val="16"/>
      <w:szCs w:val="16"/>
    </w:rPr>
  </w:style>
  <w:style w:type="paragraph" w:styleId="Galvene">
    <w:name w:val="header"/>
    <w:basedOn w:val="Parasts"/>
    <w:rsid w:val="009F6E85"/>
    <w:pPr>
      <w:tabs>
        <w:tab w:val="center" w:pos="4153"/>
        <w:tab w:val="right" w:pos="8306"/>
      </w:tabs>
    </w:pPr>
  </w:style>
  <w:style w:type="character" w:styleId="Lappusesnumurs">
    <w:name w:val="page number"/>
    <w:basedOn w:val="Noklusjumarindkopasfonts"/>
    <w:rsid w:val="009F6E85"/>
  </w:style>
  <w:style w:type="character" w:styleId="Hipersaite">
    <w:name w:val="Hyperlink"/>
    <w:rsid w:val="00CB5C5B"/>
    <w:rPr>
      <w:color w:val="0563C1"/>
      <w:u w:val="single"/>
    </w:rPr>
  </w:style>
  <w:style w:type="paragraph" w:styleId="Sarakstarindkopa">
    <w:name w:val="List Paragraph"/>
    <w:basedOn w:val="Parasts"/>
    <w:link w:val="SarakstarindkopaRakstz"/>
    <w:uiPriority w:val="34"/>
    <w:qFormat/>
    <w:rsid w:val="00DB61A9"/>
    <w:pPr>
      <w:ind w:left="720"/>
      <w:contextualSpacing/>
    </w:pPr>
    <w:rPr>
      <w:lang w:eastAsia="lv-LV"/>
    </w:rPr>
  </w:style>
  <w:style w:type="character" w:styleId="Neatrisintapieminana">
    <w:name w:val="Unresolved Mention"/>
    <w:uiPriority w:val="99"/>
    <w:semiHidden/>
    <w:unhideWhenUsed/>
    <w:rsid w:val="00EC4558"/>
    <w:rPr>
      <w:color w:val="808080"/>
      <w:shd w:val="clear" w:color="auto" w:fill="E6E6E6"/>
    </w:rPr>
  </w:style>
  <w:style w:type="character" w:customStyle="1" w:styleId="SarakstarindkopaRakstz">
    <w:name w:val="Saraksta rindkopa Rakstz."/>
    <w:link w:val="Sarakstarindkopa"/>
    <w:uiPriority w:val="34"/>
    <w:locked/>
    <w:rsid w:val="003B78A0"/>
    <w:rPr>
      <w:sz w:val="24"/>
      <w:szCs w:val="24"/>
    </w:rPr>
  </w:style>
  <w:style w:type="table" w:styleId="Reatabula">
    <w:name w:val="Table Grid"/>
    <w:basedOn w:val="Parastatabula"/>
    <w:rsid w:val="00C1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C51B97"/>
    <w:pPr>
      <w:tabs>
        <w:tab w:val="center" w:pos="4153"/>
        <w:tab w:val="right" w:pos="8306"/>
      </w:tabs>
    </w:pPr>
  </w:style>
  <w:style w:type="character" w:customStyle="1" w:styleId="KjeneRakstz">
    <w:name w:val="Kājene Rakstz."/>
    <w:link w:val="Kjene"/>
    <w:uiPriority w:val="99"/>
    <w:rsid w:val="00C51B97"/>
    <w:rPr>
      <w:sz w:val="24"/>
      <w:szCs w:val="24"/>
      <w:lang w:eastAsia="en-US"/>
    </w:rPr>
  </w:style>
  <w:style w:type="table" w:customStyle="1" w:styleId="TableGrid1">
    <w:name w:val="Table Grid1"/>
    <w:basedOn w:val="Parastatabula"/>
    <w:next w:val="Reatabula"/>
    <w:uiPriority w:val="39"/>
    <w:rsid w:val="00842D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4785">
      <w:bodyDiv w:val="1"/>
      <w:marLeft w:val="0"/>
      <w:marRight w:val="0"/>
      <w:marTop w:val="0"/>
      <w:marBottom w:val="0"/>
      <w:divBdr>
        <w:top w:val="none" w:sz="0" w:space="0" w:color="auto"/>
        <w:left w:val="none" w:sz="0" w:space="0" w:color="auto"/>
        <w:bottom w:val="none" w:sz="0" w:space="0" w:color="auto"/>
        <w:right w:val="none" w:sz="0" w:space="0" w:color="auto"/>
      </w:divBdr>
    </w:div>
    <w:div w:id="10474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2210</Words>
  <Characters>1261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CharactersWithSpaces>
  <SharedDoc>false</SharedDoc>
  <HLinks>
    <vt:vector size="6" baseType="variant">
      <vt:variant>
        <vt:i4>8126488</vt:i4>
      </vt:variant>
      <vt:variant>
        <vt:i4>0</vt:i4>
      </vt:variant>
      <vt:variant>
        <vt:i4>0</vt:i4>
      </vt:variant>
      <vt:variant>
        <vt:i4>5</vt:i4>
      </vt:variant>
      <vt:variant>
        <vt:lpwstr>mailto:neste.latvija@neste.com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xerius</dc:creator>
  <cp:keywords/>
  <dc:description/>
  <cp:lastModifiedBy>Laura Apenīte</cp:lastModifiedBy>
  <cp:revision>3</cp:revision>
  <cp:lastPrinted>2020-05-18T10:30:00Z</cp:lastPrinted>
  <dcterms:created xsi:type="dcterms:W3CDTF">2026-06-29T13:41:00Z</dcterms:created>
  <dcterms:modified xsi:type="dcterms:W3CDTF">2026-06-29T13:42:00Z</dcterms:modified>
</cp:coreProperties>
</file>