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301513" w:rsidP="008A1BDF" w14:paraId="25035420" w14:textId="2952BE68">
      <w:pPr>
        <w:spacing w:after="0"/>
        <w:ind w:right="-1"/>
        <w:jc w:val="center"/>
      </w:pPr>
      <w:r>
        <w:rPr>
          <w:noProof/>
        </w:rPr>
        <w:drawing>
          <wp:inline distT="0" distB="0" distL="0" distR="0">
            <wp:extent cx="5931409" cy="1380744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40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626" w:rsidP="00B84D15" w14:paraId="276E3BD4" w14:textId="77777777">
      <w:pPr>
        <w:spacing w:after="0"/>
        <w:ind w:right="-1"/>
      </w:pPr>
    </w:p>
    <w:p w:rsidR="00715626" w:rsidP="00F97BC0" w14:paraId="4628335C" w14:textId="22B675EF">
      <w:pPr>
        <w:spacing w:after="0" w:line="240" w:lineRule="auto"/>
        <w:ind w:left="3600"/>
        <w:rPr>
          <w:rFonts w:ascii="Times New Roman" w:hAnsi="Times New Roman" w:eastAsiaTheme="minorHAnsi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Siguldā</w:t>
      </w:r>
    </w:p>
    <w:p w:rsidR="00715626" w:rsidP="00715626" w14:paraId="0F47259E" w14:textId="77777777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15626" w:rsidP="00B45AEB" w14:paraId="6852FA56" w14:textId="67F54773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7C2146">
        <w:rPr>
          <w:rFonts w:ascii="Times New Roman" w:hAnsi="Times New Roman" w:cs="Times New Roman"/>
          <w:noProof/>
          <w:sz w:val="24"/>
          <w:szCs w:val="24"/>
        </w:rPr>
        <w:t>02.06.2026</w:t>
      </w:r>
      <w:r w:rsidRPr="007C2146">
        <w:rPr>
          <w:rFonts w:ascii="Times New Roman" w:hAnsi="Times New Roman" w:cs="Times New Roman"/>
          <w:sz w:val="24"/>
          <w:szCs w:val="24"/>
        </w:rPr>
        <w:t>. Nr.</w:t>
      </w:r>
      <w:r w:rsidRPr="007C2146">
        <w:rPr>
          <w:rFonts w:ascii="Times New Roman" w:hAnsi="Times New Roman" w:cs="Times New Roman"/>
          <w:noProof/>
          <w:sz w:val="24"/>
          <w:szCs w:val="24"/>
        </w:rPr>
        <w:t>A-1.8/11</w:t>
      </w:r>
      <w:r w:rsidRPr="007C2146">
        <w:rPr>
          <w:rFonts w:ascii="Times New Roman" w:hAnsi="Times New Roman" w:cs="Times New Roman"/>
          <w:noProof/>
          <w:sz w:val="24"/>
          <w:szCs w:val="24"/>
        </w:rPr>
        <w:t>/1597</w:t>
      </w:r>
    </w:p>
    <w:p w:rsidR="00715626" w:rsidP="00715626" w14:paraId="525A9B85" w14:textId="77777777">
      <w:pPr>
        <w:ind w:right="141"/>
        <w:jc w:val="right"/>
        <w:rPr>
          <w:rFonts w:ascii="Times New Roman" w:hAnsi="Times New Roman" w:cstheme="minorBidi"/>
          <w:sz w:val="24"/>
          <w:szCs w:val="24"/>
        </w:rPr>
      </w:pPr>
    </w:p>
    <w:p w:rsidR="00715626" w:rsidP="00715626" w14:paraId="790D204B" w14:textId="77777777">
      <w:pPr>
        <w:spacing w:after="0" w:line="240" w:lineRule="auto"/>
        <w:ind w:right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SIA "VIZULO Solutions"</w:t>
      </w:r>
    </w:p>
    <w:p w:rsidR="00715626" w:rsidP="00B45AEB" w14:paraId="279AB9F1" w14:textId="77777777">
      <w:pPr>
        <w:tabs>
          <w:tab w:val="left" w:pos="510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:rsidR="00715626" w:rsidP="00715626" w14:paraId="75DC281E" w14:textId="77777777">
      <w:pPr>
        <w:spacing w:after="0" w:line="240" w:lineRule="auto"/>
        <w:ind w:left="6804" w:right="141"/>
        <w:rPr>
          <w:rFonts w:ascii="Times New Roman" w:hAnsi="Times New Roman" w:cs="Times New Roman"/>
          <w:sz w:val="24"/>
          <w:szCs w:val="24"/>
        </w:rPr>
      </w:pPr>
    </w:p>
    <w:p w:rsidR="00715626" w:rsidP="00715626" w14:paraId="19FBF160" w14:textId="77777777">
      <w:pPr>
        <w:ind w:right="141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Par atbildes sniegšanu</w:t>
      </w:r>
    </w:p>
    <w:p w:rsidR="00715626" w:rsidP="00715626" w14:paraId="7167A7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847" w:rsidP="00B45AEB" w14:paraId="05C7B435" w14:textId="331A0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Iepirkuma “</w:t>
      </w:r>
      <w:r w:rsidRPr="00B45AEB">
        <w:rPr>
          <w:rFonts w:ascii="Times New Roman" w:hAnsi="Times New Roman" w:cs="Times New Roman"/>
          <w:sz w:val="24"/>
          <w:szCs w:val="24"/>
        </w:rPr>
        <w:t>LED apgaismojuma pakalpojuma, izmantojot ESCO investīciju modeli, nodrošināšana Siguldas novada izglītības iestādēs</w:t>
      </w:r>
      <w:r>
        <w:rPr>
          <w:rFonts w:ascii="Times New Roman" w:hAnsi="Times New Roman" w:cs="Times New Roman"/>
          <w:sz w:val="24"/>
          <w:szCs w:val="24"/>
        </w:rPr>
        <w:t xml:space="preserve">” (identifikācijas Nr. </w:t>
      </w:r>
      <w:r w:rsidRPr="00B45AEB">
        <w:rPr>
          <w:rFonts w:ascii="Times New Roman" w:hAnsi="Times New Roman" w:cs="Times New Roman"/>
          <w:sz w:val="24"/>
          <w:szCs w:val="24"/>
        </w:rPr>
        <w:t>SNP 2026/47/AK</w:t>
      </w:r>
      <w:r>
        <w:rPr>
          <w:rFonts w:ascii="Times New Roman" w:hAnsi="Times New Roman" w:cs="Times New Roman"/>
          <w:sz w:val="24"/>
          <w:szCs w:val="24"/>
        </w:rPr>
        <w:t xml:space="preserve">) (turpmāk – Iepirkums) Iepirkuma komisija ir izskatījusi Jūsu 2026. gada 29. maijā iesniegto lūgumu Iepirkuma komisijai izvērtēt </w:t>
      </w:r>
      <w:r w:rsidR="00253D31">
        <w:rPr>
          <w:rFonts w:ascii="Times New Roman" w:hAnsi="Times New Roman" w:cs="Times New Roman"/>
          <w:sz w:val="24"/>
          <w:szCs w:val="24"/>
        </w:rPr>
        <w:t>Iepirkuma n</w:t>
      </w:r>
      <w:r>
        <w:rPr>
          <w:rFonts w:ascii="Times New Roman" w:hAnsi="Times New Roman" w:cs="Times New Roman"/>
          <w:sz w:val="24"/>
          <w:szCs w:val="24"/>
        </w:rPr>
        <w:t xml:space="preserve">olikuma 4.9. punkta svītrošanu vai precizēšanu, atstājot spēkā Iepirkuma nolikuma 4.3. un 4.4. punktā noteikto regulējumu, kas regulē kārtību, kādā pretendents var balstīties uz citu personu iespējām. </w:t>
      </w:r>
    </w:p>
    <w:p w:rsidR="007C6847" w:rsidP="007C6847" w14:paraId="48630E95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komisija pateicas par sniegto viedokli un pieņem to zināšanai, vienlaikus norādot, ka Iepirkuma komisijas ieskatā nav pamata veikt precizējumus Iepirkuma dokumentācijā iepriekš minētā iemesla dēļ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626" w:rsidP="007C6847" w14:paraId="30993DDE" w14:textId="7E65C6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komisija iespēju robežās ņems to vērā iepirkumu dokumentācijas izstrādē nākotnē.</w:t>
      </w:r>
    </w:p>
    <w:p w:rsidR="00715626" w:rsidP="00715626" w14:paraId="0B43992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626" w:rsidP="00715626" w14:paraId="253C597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626" w:rsidP="00715626" w14:paraId="174167E0" w14:textId="3154BC6E">
      <w:pPr>
        <w:tabs>
          <w:tab w:val="right" w:pos="9214"/>
        </w:tabs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Iepirkuma komisijas priekšsēdētājs</w:t>
      </w:r>
      <w:r>
        <w:rPr>
          <w:rFonts w:ascii="Times New Roman" w:hAnsi="Times New Roman"/>
          <w:sz w:val="24"/>
          <w:szCs w:val="24"/>
        </w:rPr>
        <w:tab/>
        <w:t>A. Ezeriņš</w:t>
      </w:r>
    </w:p>
    <w:p w:rsidR="00715626" w:rsidP="00715626" w14:paraId="433ACBF3" w14:textId="7777777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C6847" w:rsidP="00715626" w14:paraId="5BB41EF0" w14:textId="7777777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15626" w:rsidRPr="000D121E" w:rsidP="00715626" w14:paraId="41AEFF5F" w14:textId="77777777">
      <w:pPr>
        <w:spacing w:after="0" w:line="240" w:lineRule="auto"/>
        <w:jc w:val="both"/>
        <w:rPr>
          <w:rFonts w:ascii="Times New Roman" w:hAnsi="Times New Roman" w:cstheme="minorBidi"/>
          <w:sz w:val="20"/>
          <w:szCs w:val="20"/>
        </w:rPr>
      </w:pPr>
      <w:r w:rsidRPr="000D121E">
        <w:rPr>
          <w:rFonts w:ascii="Times New Roman" w:hAnsi="Times New Roman"/>
          <w:noProof/>
          <w:sz w:val="20"/>
          <w:szCs w:val="20"/>
        </w:rPr>
        <w:t>Liena Grīnberga</w:t>
      </w:r>
      <w:r w:rsidRPr="000D121E">
        <w:rPr>
          <w:rFonts w:ascii="Times New Roman" w:hAnsi="Times New Roman"/>
          <w:sz w:val="20"/>
          <w:szCs w:val="20"/>
        </w:rPr>
        <w:t xml:space="preserve"> </w:t>
      </w:r>
    </w:p>
    <w:p w:rsidR="00715626" w:rsidRPr="000D121E" w:rsidP="00715626" w14:paraId="7187AE09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121E">
        <w:rPr>
          <w:rFonts w:ascii="Times New Roman" w:hAnsi="Times New Roman"/>
          <w:noProof/>
          <w:sz w:val="20"/>
          <w:szCs w:val="20"/>
        </w:rPr>
        <w:t>liena.grinberga@sigulda.lv</w:t>
      </w:r>
    </w:p>
    <w:p w:rsidR="00343308" w14:paraId="1F770CE6" w14:textId="3536A827">
      <w:pPr>
        <w:spacing w:after="0"/>
        <w:ind w:left="288" w:right="-602"/>
      </w:pPr>
    </w:p>
    <w:p w:rsidR="00343308" w14:paraId="0CDDA4CE" w14:textId="2E083500">
      <w:pPr>
        <w:spacing w:after="0"/>
        <w:ind w:left="288" w:right="-602"/>
      </w:pPr>
    </w:p>
    <w:p w:rsidR="00343308" w:rsidP="003502B4" w14:paraId="0BE60364" w14:textId="68AA4D07">
      <w:pPr>
        <w:spacing w:after="0"/>
        <w:ind w:right="-1"/>
      </w:pPr>
    </w:p>
    <w:p w:rsidR="00CB584B" w:rsidP="003502B4" w14:paraId="6859EBBE" w14:textId="6C68D9F8">
      <w:pPr>
        <w:spacing w:after="0"/>
        <w:ind w:right="-1"/>
      </w:pPr>
    </w:p>
    <w:p w:rsidR="00CB584B" w:rsidP="003502B4" w14:paraId="0D7EEB98" w14:textId="5920DA4B">
      <w:pPr>
        <w:spacing w:after="0"/>
        <w:ind w:right="-1"/>
      </w:pPr>
    </w:p>
    <w:p w:rsidR="00CB584B" w:rsidRPr="00CB584B" w:rsidP="00CB584B" w14:paraId="5C63524D" w14:textId="477D171D">
      <w:pPr>
        <w:spacing w:after="0"/>
        <w:ind w:right="-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DOKUMENTS IR PARAKSTĪTS AR DROŠU ELEKTRONISKO PARAKSTU UN SATUR LAIKA ZĪMOGU</w:t>
      </w:r>
    </w:p>
    <w:sectPr w:rsidSect="006717EA">
      <w:footerReference w:type="default" r:id="rId5"/>
      <w:pgSz w:w="11906" w:h="16838"/>
      <w:pgMar w:top="1134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84B" w14:paraId="03087AB4" w14:textId="0FC403F3">
    <w:pPr>
      <w:pStyle w:val="Footer"/>
    </w:pPr>
  </w:p>
  <w:p w:rsidR="00B306B1" w14:paraId="5DE473A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13"/>
    <w:rsid w:val="000319B2"/>
    <w:rsid w:val="000D121E"/>
    <w:rsid w:val="001804B6"/>
    <w:rsid w:val="002015F0"/>
    <w:rsid w:val="00253D31"/>
    <w:rsid w:val="00301513"/>
    <w:rsid w:val="00343308"/>
    <w:rsid w:val="003502B4"/>
    <w:rsid w:val="00615656"/>
    <w:rsid w:val="006717EA"/>
    <w:rsid w:val="00715626"/>
    <w:rsid w:val="007C2146"/>
    <w:rsid w:val="007C6847"/>
    <w:rsid w:val="00886D70"/>
    <w:rsid w:val="008A1BDF"/>
    <w:rsid w:val="008A4277"/>
    <w:rsid w:val="009134C5"/>
    <w:rsid w:val="0096003A"/>
    <w:rsid w:val="00B306B1"/>
    <w:rsid w:val="00B45AEB"/>
    <w:rsid w:val="00B84D15"/>
    <w:rsid w:val="00CB584B"/>
    <w:rsid w:val="00D43AD4"/>
    <w:rsid w:val="00D967F2"/>
    <w:rsid w:val="00E04F6D"/>
    <w:rsid w:val="00E736C0"/>
    <w:rsid w:val="00E7583F"/>
    <w:rsid w:val="00EB26B0"/>
    <w:rsid w:val="00F97BC0"/>
    <w:rsid w:val="00FA550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60AE93"/>
  <w15:docId w15:val="{4CAE6B9B-E4AF-4125-AB92-4B3C53B4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B30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B306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KjeneRakstz"/>
    <w:uiPriority w:val="99"/>
    <w:unhideWhenUsed/>
    <w:rsid w:val="00B306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B306B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Rekvizitu_veidlapas_siguldas_novada_pasvaldiba.pdf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Rekvizitu_veidlapas_siguldas_novada_pasvaldiba.pdf</dc:title>
  <dc:creator>Inese Grinvalde</dc:creator>
  <cp:lastModifiedBy>Aldis Ezeriņš</cp:lastModifiedBy>
  <cp:revision>8</cp:revision>
  <dcterms:created xsi:type="dcterms:W3CDTF">2025-05-22T14:45:00Z</dcterms:created>
  <dcterms:modified xsi:type="dcterms:W3CDTF">2026-06-01T12:30:00Z</dcterms:modified>
</cp:coreProperties>
</file>