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32052D" w:rsidP="00487725" w14:paraId="12305FF1" w14:textId="77777777">
      <w:pPr>
        <w:spacing w:after="0" w:line="240" w:lineRule="auto"/>
        <w:jc w:val="center"/>
        <w:rPr>
          <w:rFonts w:ascii="Times New Roman" w:hAnsi="Times New Roman"/>
          <w:b/>
          <w:sz w:val="24"/>
          <w:szCs w:val="24"/>
          <w:lang w:val="lv-LV"/>
        </w:rPr>
      </w:pPr>
    </w:p>
    <w:p w:rsidR="00487725" w:rsidRPr="00CD5BD0" w:rsidP="00487725" w14:paraId="19BD1298" w14:textId="5D3D4296">
      <w:pPr>
        <w:spacing w:after="0" w:line="240" w:lineRule="auto"/>
        <w:jc w:val="center"/>
        <w:rPr>
          <w:rFonts w:ascii="Times New Roman" w:hAnsi="Times New Roman"/>
          <w:b/>
          <w:sz w:val="24"/>
          <w:szCs w:val="24"/>
          <w:lang w:val="lv-LV"/>
        </w:rPr>
      </w:pPr>
      <w:r w:rsidRPr="00CD5BD0">
        <w:rPr>
          <w:rFonts w:ascii="Times New Roman" w:hAnsi="Times New Roman"/>
          <w:b/>
          <w:sz w:val="24"/>
          <w:szCs w:val="24"/>
          <w:lang w:val="lv-LV"/>
        </w:rPr>
        <w:t>IEPIRKUMU KOMISIJAS SĒDES PROTOKOLS</w:t>
      </w:r>
    </w:p>
    <w:p w:rsidR="00A31BB8" w:rsidP="00BF6FFA" w14:paraId="057F2165" w14:textId="22B3202A">
      <w:pPr>
        <w:spacing w:after="0" w:line="240" w:lineRule="auto"/>
        <w:jc w:val="center"/>
        <w:rPr>
          <w:rFonts w:ascii="Times New Roman" w:hAnsi="Times New Roman"/>
          <w:bCs/>
          <w:noProof/>
          <w:sz w:val="24"/>
          <w:szCs w:val="24"/>
          <w:lang w:val="lv-LV"/>
        </w:rPr>
      </w:pPr>
      <w:r w:rsidRPr="002C62D1">
        <w:rPr>
          <w:rFonts w:ascii="Times New Roman" w:hAnsi="Times New Roman"/>
          <w:bCs/>
          <w:sz w:val="24"/>
          <w:szCs w:val="24"/>
          <w:lang w:val="lv-LV"/>
        </w:rPr>
        <w:t>Nr</w:t>
      </w:r>
      <w:r w:rsidRPr="00110804">
        <w:rPr>
          <w:rFonts w:ascii="Times New Roman" w:hAnsi="Times New Roman"/>
          <w:bCs/>
          <w:sz w:val="24"/>
          <w:szCs w:val="24"/>
          <w:lang w:val="lv-LV"/>
        </w:rPr>
        <w:t xml:space="preserve">. </w:t>
      </w:r>
      <w:bookmarkStart w:id="0" w:name="_Hlk114736663"/>
      <w:r w:rsidRPr="005F0CC7" w:rsidR="005012C5">
        <w:rPr>
          <w:rFonts w:ascii="Times New Roman" w:hAnsi="Times New Roman"/>
          <w:bCs/>
          <w:noProof/>
          <w:sz w:val="24"/>
          <w:szCs w:val="24"/>
          <w:lang w:val="lv-LV"/>
        </w:rPr>
        <w:t>1701-01.2/2026/6_JD</w:t>
      </w:r>
      <w:bookmarkEnd w:id="0"/>
    </w:p>
    <w:p w:rsidR="00BF6FFA" w:rsidRPr="00BF6FFA" w:rsidP="00BF6FFA" w14:paraId="7930E0CD" w14:textId="77777777">
      <w:pPr>
        <w:spacing w:after="0" w:line="240" w:lineRule="auto"/>
        <w:jc w:val="center"/>
        <w:rPr>
          <w:rFonts w:ascii="Times New Roman" w:hAnsi="Times New Roman"/>
          <w:bCs/>
          <w:noProof/>
          <w:sz w:val="24"/>
          <w:szCs w:val="24"/>
          <w:lang w:val="lv-LV"/>
        </w:rPr>
      </w:pPr>
    </w:p>
    <w:p w:rsidR="00487725" w:rsidRPr="00CD5BD0" w:rsidP="00F37E7C" w14:paraId="632D12C1" w14:textId="20130CB5">
      <w:pPr>
        <w:jc w:val="both"/>
        <w:rPr>
          <w:rFonts w:ascii="Times New Roman" w:hAnsi="Times New Roman"/>
          <w:sz w:val="24"/>
          <w:szCs w:val="24"/>
          <w:lang w:val="lv-LV"/>
        </w:rPr>
      </w:pPr>
      <w:r w:rsidRPr="00CD5BD0">
        <w:rPr>
          <w:rFonts w:ascii="Times New Roman" w:hAnsi="Times New Roman"/>
          <w:sz w:val="24"/>
          <w:szCs w:val="24"/>
          <w:lang w:val="lv-LV"/>
        </w:rPr>
        <w:t xml:space="preserve">Rīgā </w:t>
      </w:r>
      <w:r w:rsidRPr="00CD5BD0">
        <w:rPr>
          <w:rFonts w:ascii="Times New Roman" w:hAnsi="Times New Roman"/>
          <w:sz w:val="24"/>
          <w:szCs w:val="24"/>
          <w:lang w:val="lv-LV"/>
        </w:rPr>
        <w:tab/>
      </w:r>
      <w:r w:rsidRPr="00CD5BD0">
        <w:rPr>
          <w:rFonts w:ascii="Times New Roman" w:hAnsi="Times New Roman"/>
          <w:sz w:val="24"/>
          <w:szCs w:val="24"/>
          <w:lang w:val="lv-LV"/>
        </w:rPr>
        <w:tab/>
      </w:r>
      <w:r w:rsidRPr="00CD5BD0">
        <w:rPr>
          <w:rFonts w:ascii="Times New Roman" w:hAnsi="Times New Roman"/>
          <w:sz w:val="24"/>
          <w:szCs w:val="24"/>
          <w:lang w:val="lv-LV"/>
        </w:rPr>
        <w:tab/>
      </w:r>
      <w:r w:rsidRPr="00CD5BD0">
        <w:rPr>
          <w:rFonts w:ascii="Times New Roman" w:hAnsi="Times New Roman"/>
          <w:sz w:val="24"/>
          <w:szCs w:val="24"/>
          <w:lang w:val="lv-LV"/>
        </w:rPr>
        <w:tab/>
      </w:r>
      <w:r w:rsidRPr="00CD5BD0">
        <w:rPr>
          <w:rFonts w:ascii="Times New Roman" w:hAnsi="Times New Roman"/>
          <w:sz w:val="24"/>
          <w:szCs w:val="24"/>
          <w:lang w:val="lv-LV"/>
        </w:rPr>
        <w:tab/>
      </w:r>
      <w:r w:rsidRPr="00CD5BD0">
        <w:rPr>
          <w:rFonts w:ascii="Times New Roman" w:hAnsi="Times New Roman"/>
          <w:sz w:val="24"/>
          <w:szCs w:val="24"/>
          <w:lang w:val="lv-LV"/>
        </w:rPr>
        <w:tab/>
      </w:r>
      <w:r w:rsidRPr="00CD5BD0">
        <w:rPr>
          <w:rFonts w:ascii="Times New Roman" w:hAnsi="Times New Roman"/>
          <w:sz w:val="24"/>
          <w:szCs w:val="24"/>
          <w:lang w:val="lv-LV"/>
        </w:rPr>
        <w:tab/>
        <w:t xml:space="preserve"> </w:t>
      </w:r>
      <w:r w:rsidRPr="00CD5BD0">
        <w:rPr>
          <w:rFonts w:ascii="Times New Roman" w:hAnsi="Times New Roman"/>
          <w:sz w:val="24"/>
          <w:szCs w:val="24"/>
          <w:lang w:val="lv-LV"/>
        </w:rPr>
        <w:tab/>
      </w:r>
      <w:r w:rsidRPr="00CD5BD0" w:rsidR="00A31BB8">
        <w:rPr>
          <w:rFonts w:ascii="Times New Roman" w:hAnsi="Times New Roman"/>
          <w:sz w:val="24"/>
          <w:szCs w:val="24"/>
          <w:lang w:val="lv-LV"/>
        </w:rPr>
        <w:t xml:space="preserve"> </w:t>
      </w:r>
      <w:r w:rsidRPr="00CD5BD0" w:rsidR="00A31BB8">
        <w:rPr>
          <w:rFonts w:ascii="Times New Roman" w:hAnsi="Times New Roman"/>
          <w:sz w:val="24"/>
          <w:szCs w:val="24"/>
          <w:lang w:val="lv-LV"/>
        </w:rPr>
        <w:tab/>
      </w:r>
      <w:r w:rsidR="00F37E7C">
        <w:rPr>
          <w:rFonts w:ascii="Times New Roman" w:hAnsi="Times New Roman"/>
          <w:sz w:val="24"/>
          <w:szCs w:val="24"/>
          <w:lang w:val="lv-LV"/>
        </w:rPr>
        <w:t xml:space="preserve"> </w:t>
      </w:r>
      <w:r w:rsidR="00A523BB">
        <w:rPr>
          <w:rFonts w:ascii="Times New Roman" w:hAnsi="Times New Roman"/>
          <w:sz w:val="24"/>
          <w:szCs w:val="24"/>
          <w:lang w:val="lv-LV"/>
        </w:rPr>
        <w:t>2026</w:t>
      </w:r>
      <w:r w:rsidRPr="00CD5BD0">
        <w:rPr>
          <w:rFonts w:ascii="Times New Roman" w:hAnsi="Times New Roman"/>
          <w:sz w:val="24"/>
          <w:szCs w:val="24"/>
          <w:lang w:val="lv-LV"/>
        </w:rPr>
        <w:t xml:space="preserve">. gada </w:t>
      </w:r>
      <w:r w:rsidR="005012C5">
        <w:rPr>
          <w:rFonts w:ascii="Times New Roman" w:hAnsi="Times New Roman"/>
          <w:sz w:val="24"/>
          <w:szCs w:val="24"/>
          <w:lang w:val="lv-LV"/>
        </w:rPr>
        <w:t>12. jūnijs</w:t>
      </w:r>
    </w:p>
    <w:p w:rsidR="00A523BB" w:rsidRPr="00C36D0C" w:rsidP="00A523BB" w14:paraId="618E4E40" w14:textId="77777777">
      <w:pPr>
        <w:spacing w:after="120" w:line="240" w:lineRule="auto"/>
        <w:ind w:firstLine="720"/>
        <w:jc w:val="both"/>
        <w:rPr>
          <w:rFonts w:ascii="Times New Roman" w:hAnsi="Times New Roman"/>
          <w:sz w:val="24"/>
          <w:szCs w:val="24"/>
          <w:lang w:val="lv-LV"/>
        </w:rPr>
      </w:pPr>
      <w:bookmarkStart w:id="1" w:name="OLE_LINK2"/>
      <w:r w:rsidRPr="00C36D0C">
        <w:rPr>
          <w:rFonts w:ascii="Times New Roman" w:hAnsi="Times New Roman"/>
          <w:sz w:val="24"/>
          <w:szCs w:val="24"/>
          <w:lang w:val="lv-LV"/>
        </w:rPr>
        <w:t>Sēdes protokols sagatavots, pamatojoties uz normām, kuras izvirza Publisko iepirkumu likums.</w:t>
      </w:r>
    </w:p>
    <w:p w:rsidR="00A523BB" w:rsidRPr="00C36D0C" w:rsidP="00A523BB" w14:paraId="2B5CDD92" w14:textId="77777777">
      <w:pPr>
        <w:spacing w:after="120" w:line="240" w:lineRule="auto"/>
        <w:ind w:firstLine="720"/>
        <w:jc w:val="both"/>
        <w:rPr>
          <w:rFonts w:ascii="Times New Roman" w:hAnsi="Times New Roman"/>
          <w:sz w:val="24"/>
          <w:szCs w:val="24"/>
          <w:lang w:val="lv-LV"/>
        </w:rPr>
      </w:pPr>
      <w:r w:rsidRPr="00C36D0C">
        <w:rPr>
          <w:rFonts w:ascii="Times New Roman" w:hAnsi="Times New Roman"/>
          <w:sz w:val="24"/>
          <w:szCs w:val="24"/>
          <w:lang w:val="lv-LV"/>
        </w:rPr>
        <w:t xml:space="preserve">Iepirkuma komisijas (turpmāk – Komisija) sastāvs ir noteikts Centrālās statistikas pārvaldes (turpmāk – Pārvalde) </w:t>
      </w:r>
      <w:r w:rsidRPr="0018652B">
        <w:rPr>
          <w:rFonts w:ascii="Times New Roman" w:hAnsi="Times New Roman"/>
          <w:sz w:val="24"/>
          <w:szCs w:val="24"/>
          <w:lang w:val="lv-LV"/>
        </w:rPr>
        <w:t>2025. gada 18. decembra rīkojumā Nr. 1703-39/2025/136</w:t>
      </w:r>
      <w:r>
        <w:rPr>
          <w:rFonts w:ascii="Times New Roman" w:hAnsi="Times New Roman"/>
          <w:sz w:val="24"/>
          <w:szCs w:val="24"/>
          <w:lang w:val="lv-LV"/>
        </w:rPr>
        <w:t xml:space="preserve"> </w:t>
      </w:r>
      <w:r w:rsidRPr="00CC40D3">
        <w:rPr>
          <w:rFonts w:ascii="Times New Roman" w:hAnsi="Times New Roman"/>
          <w:sz w:val="24"/>
          <w:szCs w:val="24"/>
          <w:lang w:val="lv-LV"/>
        </w:rPr>
        <w:t>„Par iepirkuma komisijas izveidi”</w:t>
      </w:r>
      <w:r w:rsidRPr="00C36D0C">
        <w:rPr>
          <w:rFonts w:ascii="Times New Roman" w:hAnsi="Times New Roman"/>
          <w:sz w:val="24"/>
          <w:szCs w:val="24"/>
          <w:lang w:val="lv-LV"/>
        </w:rPr>
        <w:t xml:space="preserve">.  </w:t>
      </w:r>
    </w:p>
    <w:p w:rsidR="00A523BB" w:rsidRPr="00C36D0C" w:rsidP="002E2416" w14:paraId="24ACE83B" w14:textId="77777777">
      <w:pPr>
        <w:pStyle w:val="BodyText3"/>
        <w:ind w:right="-26" w:firstLine="709"/>
        <w:jc w:val="both"/>
        <w:rPr>
          <w:rFonts w:ascii="Times New Roman" w:hAnsi="Times New Roman"/>
          <w:sz w:val="24"/>
          <w:szCs w:val="24"/>
          <w:lang w:val="lv-LV"/>
        </w:rPr>
      </w:pPr>
      <w:r w:rsidRPr="00C36D0C">
        <w:rPr>
          <w:rFonts w:ascii="Times New Roman" w:hAnsi="Times New Roman"/>
          <w:sz w:val="24"/>
          <w:szCs w:val="24"/>
          <w:lang w:val="lv-LV"/>
        </w:rPr>
        <w:t>Sēdes jautājumi izskatīti un saskaņoti elektroniski. Sēdē piedalījās šādi Komisijas locekļi:</w:t>
      </w:r>
    </w:p>
    <w:tbl>
      <w:tblPr>
        <w:tblpPr w:leftFromText="180" w:rightFromText="180" w:vertAnchor="text" w:tblpY="1"/>
        <w:tblOverlap w:val="never"/>
        <w:tblW w:w="9628" w:type="dxa"/>
        <w:tblLook w:val="0000"/>
      </w:tblPr>
      <w:tblGrid>
        <w:gridCol w:w="3708"/>
        <w:gridCol w:w="5920"/>
      </w:tblGrid>
      <w:tr w14:paraId="36097C2D" w14:textId="77777777" w:rsidTr="00CD2BBB">
        <w:tblPrEx>
          <w:tblW w:w="9628" w:type="dxa"/>
          <w:tblLook w:val="0000"/>
        </w:tblPrEx>
        <w:tc>
          <w:tcPr>
            <w:tcW w:w="3708" w:type="dxa"/>
          </w:tcPr>
          <w:p w:rsidR="00A523BB" w:rsidRPr="00C36D0C" w:rsidP="00CD2BBB" w14:paraId="1855F022" w14:textId="77777777">
            <w:pPr>
              <w:pStyle w:val="Heading2"/>
            </w:pPr>
            <w:r w:rsidRPr="00C36D0C">
              <w:t>Sēdi vada:</w:t>
            </w:r>
          </w:p>
        </w:tc>
        <w:tc>
          <w:tcPr>
            <w:tcW w:w="5920" w:type="dxa"/>
          </w:tcPr>
          <w:p w:rsidR="00A523BB" w:rsidRPr="00C36D0C" w:rsidP="00CD2BBB" w14:paraId="33EA13E1" w14:textId="77777777">
            <w:pPr>
              <w:spacing w:after="0" w:line="240" w:lineRule="auto"/>
              <w:ind w:right="-710"/>
              <w:jc w:val="both"/>
              <w:rPr>
                <w:rFonts w:ascii="Times New Roman" w:hAnsi="Times New Roman"/>
                <w:sz w:val="24"/>
                <w:szCs w:val="24"/>
                <w:lang w:val="lv-LV"/>
              </w:rPr>
            </w:pPr>
          </w:p>
        </w:tc>
      </w:tr>
      <w:tr w14:paraId="083BAD3E" w14:textId="77777777" w:rsidTr="00CD2BBB">
        <w:tblPrEx>
          <w:tblW w:w="9628" w:type="dxa"/>
          <w:tblLook w:val="0000"/>
        </w:tblPrEx>
        <w:trPr>
          <w:trHeight w:val="411"/>
        </w:trPr>
        <w:tc>
          <w:tcPr>
            <w:tcW w:w="3708" w:type="dxa"/>
          </w:tcPr>
          <w:p w:rsidR="00A523BB" w:rsidRPr="00C36D0C" w:rsidP="00CD2BBB" w14:paraId="24ED913B" w14:textId="4BE7D8CB">
            <w:pPr>
              <w:spacing w:after="0" w:line="240" w:lineRule="auto"/>
              <w:ind w:right="-710"/>
              <w:rPr>
                <w:rFonts w:ascii="Times New Roman" w:hAnsi="Times New Roman"/>
                <w:sz w:val="24"/>
                <w:szCs w:val="24"/>
                <w:lang w:val="lv-LV"/>
              </w:rPr>
            </w:pPr>
            <w:r w:rsidRPr="00C36D0C">
              <w:rPr>
                <w:rFonts w:ascii="Times New Roman" w:hAnsi="Times New Roman"/>
                <w:sz w:val="24"/>
                <w:szCs w:val="24"/>
                <w:lang w:val="lv-LV"/>
              </w:rPr>
              <w:t>Komisijas priekšsēdētāj</w:t>
            </w:r>
            <w:r w:rsidR="005012C5">
              <w:rPr>
                <w:rFonts w:ascii="Times New Roman" w:hAnsi="Times New Roman"/>
                <w:sz w:val="24"/>
                <w:szCs w:val="24"/>
                <w:lang w:val="lv-LV"/>
              </w:rPr>
              <w:t>a vietniece</w:t>
            </w:r>
            <w:r w:rsidRPr="00C36D0C">
              <w:rPr>
                <w:rFonts w:ascii="Times New Roman" w:hAnsi="Times New Roman"/>
                <w:sz w:val="24"/>
                <w:szCs w:val="24"/>
                <w:lang w:val="lv-LV"/>
              </w:rPr>
              <w:tab/>
            </w:r>
          </w:p>
        </w:tc>
        <w:tc>
          <w:tcPr>
            <w:tcW w:w="5920" w:type="dxa"/>
          </w:tcPr>
          <w:p w:rsidR="00A523BB" w:rsidRPr="00C36D0C" w:rsidP="005012C5" w14:paraId="48E957D4" w14:textId="14E088EC">
            <w:pPr>
              <w:spacing w:after="120" w:line="240" w:lineRule="auto"/>
              <w:jc w:val="both"/>
              <w:rPr>
                <w:rFonts w:ascii="Times New Roman" w:hAnsi="Times New Roman"/>
                <w:sz w:val="24"/>
                <w:szCs w:val="24"/>
                <w:lang w:val="lv-LV"/>
              </w:rPr>
            </w:pPr>
            <w:r w:rsidRPr="00C36D0C">
              <w:rPr>
                <w:rFonts w:ascii="Times New Roman" w:hAnsi="Times New Roman"/>
                <w:sz w:val="24"/>
                <w:szCs w:val="24"/>
                <w:lang w:val="lv-LV"/>
              </w:rPr>
              <w:t>P.R. Krieviņa - Stratēģiskās plānošanas un resursu vadības departamenta direktore</w:t>
            </w:r>
            <w:r w:rsidRPr="00C36D0C">
              <w:rPr>
                <w:rFonts w:ascii="Times New Roman" w:hAnsi="Times New Roman"/>
                <w:sz w:val="24"/>
                <w:szCs w:val="24"/>
                <w:lang w:val="lv-LV"/>
              </w:rPr>
              <w:t>.</w:t>
            </w:r>
          </w:p>
          <w:p w:rsidR="00A523BB" w:rsidRPr="00C36D0C" w:rsidP="00CD2BBB" w14:paraId="3ADB4039" w14:textId="77777777">
            <w:pPr>
              <w:spacing w:after="0" w:line="240" w:lineRule="auto"/>
              <w:ind w:right="-710"/>
              <w:rPr>
                <w:rFonts w:ascii="Times New Roman" w:hAnsi="Times New Roman"/>
                <w:sz w:val="24"/>
                <w:szCs w:val="24"/>
                <w:lang w:val="lv-LV"/>
              </w:rPr>
            </w:pPr>
          </w:p>
        </w:tc>
      </w:tr>
      <w:tr w14:paraId="2E138F04" w14:textId="77777777" w:rsidTr="00CD2BBB">
        <w:tblPrEx>
          <w:tblW w:w="9628" w:type="dxa"/>
          <w:tblLook w:val="0000"/>
        </w:tblPrEx>
        <w:trPr>
          <w:trHeight w:val="1247"/>
        </w:trPr>
        <w:tc>
          <w:tcPr>
            <w:tcW w:w="3708" w:type="dxa"/>
          </w:tcPr>
          <w:p w:rsidR="00A523BB" w:rsidRPr="00C36D0C" w:rsidP="00CD2BBB" w14:paraId="7471D187" w14:textId="77777777">
            <w:pPr>
              <w:spacing w:after="0" w:line="240" w:lineRule="auto"/>
              <w:rPr>
                <w:rFonts w:ascii="Times New Roman" w:hAnsi="Times New Roman"/>
                <w:b/>
                <w:bCs/>
                <w:sz w:val="24"/>
                <w:szCs w:val="24"/>
                <w:lang w:val="lv-LV"/>
              </w:rPr>
            </w:pPr>
            <w:r w:rsidRPr="00C36D0C">
              <w:rPr>
                <w:rFonts w:ascii="Times New Roman" w:hAnsi="Times New Roman"/>
                <w:b/>
                <w:bCs/>
                <w:sz w:val="24"/>
                <w:szCs w:val="24"/>
                <w:lang w:val="lv-LV"/>
              </w:rPr>
              <w:t xml:space="preserve">Sēdē piedalās </w:t>
            </w:r>
          </w:p>
          <w:p w:rsidR="00A523BB" w:rsidP="00CD2BBB" w14:paraId="4D80161D" w14:textId="77777777">
            <w:pPr>
              <w:spacing w:after="0" w:line="240" w:lineRule="auto"/>
              <w:rPr>
                <w:rFonts w:ascii="Times New Roman" w:hAnsi="Times New Roman"/>
                <w:bCs/>
                <w:sz w:val="24"/>
                <w:szCs w:val="24"/>
                <w:lang w:val="lv-LV"/>
              </w:rPr>
            </w:pPr>
            <w:r w:rsidRPr="00C36D0C">
              <w:rPr>
                <w:rFonts w:ascii="Times New Roman" w:hAnsi="Times New Roman"/>
                <w:b/>
                <w:bCs/>
                <w:sz w:val="24"/>
                <w:szCs w:val="24"/>
                <w:lang w:val="lv-LV"/>
              </w:rPr>
              <w:t>Komisijas locekļi</w:t>
            </w:r>
            <w:r w:rsidRPr="00C36D0C">
              <w:rPr>
                <w:rFonts w:ascii="Times New Roman" w:hAnsi="Times New Roman"/>
                <w:bCs/>
                <w:sz w:val="24"/>
                <w:szCs w:val="24"/>
                <w:lang w:val="lv-LV"/>
              </w:rPr>
              <w:t>:</w:t>
            </w:r>
          </w:p>
          <w:p w:rsidR="00A523BB" w:rsidP="00CD2BBB" w14:paraId="45DD29EE" w14:textId="77777777">
            <w:pPr>
              <w:spacing w:after="0" w:line="240" w:lineRule="auto"/>
              <w:rPr>
                <w:rFonts w:ascii="Times New Roman" w:hAnsi="Times New Roman"/>
                <w:bCs/>
                <w:sz w:val="24"/>
                <w:szCs w:val="24"/>
                <w:lang w:val="lv-LV"/>
              </w:rPr>
            </w:pPr>
          </w:p>
          <w:p w:rsidR="00A523BB" w:rsidP="00CD2BBB" w14:paraId="509E6FAB" w14:textId="77777777">
            <w:pPr>
              <w:spacing w:after="0" w:line="240" w:lineRule="auto"/>
              <w:rPr>
                <w:rFonts w:ascii="Times New Roman" w:hAnsi="Times New Roman"/>
                <w:bCs/>
                <w:sz w:val="24"/>
                <w:szCs w:val="24"/>
                <w:lang w:val="lv-LV"/>
              </w:rPr>
            </w:pPr>
          </w:p>
          <w:p w:rsidR="00A523BB" w:rsidP="00CD2BBB" w14:paraId="692ED5A6" w14:textId="77777777">
            <w:pPr>
              <w:spacing w:after="0" w:line="240" w:lineRule="auto"/>
              <w:rPr>
                <w:rFonts w:ascii="Times New Roman" w:hAnsi="Times New Roman"/>
                <w:bCs/>
                <w:sz w:val="24"/>
                <w:szCs w:val="24"/>
                <w:lang w:val="lv-LV"/>
              </w:rPr>
            </w:pPr>
          </w:p>
          <w:p w:rsidR="00A523BB" w:rsidP="00CD2BBB" w14:paraId="44C73C0A" w14:textId="77777777">
            <w:pPr>
              <w:spacing w:after="0" w:line="240" w:lineRule="auto"/>
              <w:rPr>
                <w:rFonts w:ascii="Times New Roman" w:hAnsi="Times New Roman"/>
                <w:bCs/>
                <w:sz w:val="24"/>
                <w:szCs w:val="24"/>
                <w:lang w:val="lv-LV"/>
              </w:rPr>
            </w:pPr>
          </w:p>
          <w:p w:rsidR="00A523BB" w:rsidP="00CD2BBB" w14:paraId="2A571357" w14:textId="77777777">
            <w:pPr>
              <w:spacing w:after="0" w:line="240" w:lineRule="auto"/>
              <w:rPr>
                <w:rFonts w:ascii="Times New Roman" w:hAnsi="Times New Roman"/>
                <w:bCs/>
                <w:sz w:val="24"/>
                <w:szCs w:val="24"/>
                <w:lang w:val="lv-LV"/>
              </w:rPr>
            </w:pPr>
          </w:p>
          <w:p w:rsidR="00A523BB" w:rsidP="00CD2BBB" w14:paraId="698DC3EC" w14:textId="77777777">
            <w:pPr>
              <w:spacing w:after="0" w:line="240" w:lineRule="auto"/>
              <w:rPr>
                <w:rFonts w:ascii="Times New Roman" w:hAnsi="Times New Roman"/>
                <w:bCs/>
                <w:sz w:val="24"/>
                <w:szCs w:val="24"/>
                <w:lang w:val="lv-LV"/>
              </w:rPr>
            </w:pPr>
          </w:p>
          <w:p w:rsidR="00A523BB" w:rsidP="00CD2BBB" w14:paraId="7EA23455" w14:textId="77777777">
            <w:pPr>
              <w:spacing w:after="0" w:line="240" w:lineRule="auto"/>
              <w:rPr>
                <w:rFonts w:ascii="Times New Roman" w:hAnsi="Times New Roman"/>
                <w:bCs/>
                <w:sz w:val="24"/>
                <w:szCs w:val="24"/>
                <w:lang w:val="lv-LV"/>
              </w:rPr>
            </w:pPr>
          </w:p>
          <w:p w:rsidR="00A523BB" w:rsidP="00CD2BBB" w14:paraId="2FBEADE5" w14:textId="77777777">
            <w:pPr>
              <w:spacing w:after="0" w:line="240" w:lineRule="auto"/>
              <w:rPr>
                <w:rFonts w:ascii="Times New Roman" w:hAnsi="Times New Roman"/>
                <w:bCs/>
                <w:sz w:val="24"/>
                <w:szCs w:val="24"/>
                <w:lang w:val="lv-LV"/>
              </w:rPr>
            </w:pPr>
          </w:p>
          <w:p w:rsidR="00A523BB" w:rsidP="00CD2BBB" w14:paraId="4121FE56" w14:textId="77777777">
            <w:pPr>
              <w:spacing w:after="0" w:line="240" w:lineRule="auto"/>
              <w:rPr>
                <w:rFonts w:ascii="Times New Roman" w:hAnsi="Times New Roman"/>
                <w:bCs/>
                <w:sz w:val="24"/>
                <w:szCs w:val="24"/>
                <w:lang w:val="lv-LV"/>
              </w:rPr>
            </w:pPr>
          </w:p>
          <w:p w:rsidR="00A523BB" w:rsidP="00CD2BBB" w14:paraId="50270268" w14:textId="77777777">
            <w:pPr>
              <w:spacing w:after="0" w:line="240" w:lineRule="auto"/>
              <w:rPr>
                <w:rFonts w:ascii="Times New Roman" w:hAnsi="Times New Roman"/>
                <w:bCs/>
                <w:sz w:val="24"/>
                <w:szCs w:val="24"/>
                <w:lang w:val="lv-LV"/>
              </w:rPr>
            </w:pPr>
          </w:p>
          <w:p w:rsidR="00A523BB" w:rsidP="00CD2BBB" w14:paraId="03942F78" w14:textId="77777777">
            <w:pPr>
              <w:spacing w:after="0" w:line="240" w:lineRule="auto"/>
              <w:rPr>
                <w:rFonts w:ascii="Times New Roman" w:hAnsi="Times New Roman"/>
                <w:b/>
                <w:sz w:val="24"/>
                <w:szCs w:val="24"/>
                <w:lang w:val="lv-LV"/>
              </w:rPr>
            </w:pPr>
          </w:p>
          <w:p w:rsidR="00A523BB" w:rsidRPr="00734408" w:rsidP="00CD2BBB" w14:paraId="66EDC058" w14:textId="0438357A">
            <w:pPr>
              <w:spacing w:after="0" w:line="240" w:lineRule="auto"/>
              <w:rPr>
                <w:rFonts w:ascii="Times New Roman" w:hAnsi="Times New Roman"/>
                <w:b/>
                <w:sz w:val="24"/>
                <w:szCs w:val="24"/>
                <w:lang w:val="lv-LV"/>
              </w:rPr>
            </w:pPr>
            <w:r w:rsidRPr="00734408">
              <w:rPr>
                <w:rFonts w:ascii="Times New Roman" w:hAnsi="Times New Roman"/>
                <w:b/>
                <w:sz w:val="24"/>
                <w:szCs w:val="24"/>
                <w:lang w:val="lv-LV"/>
              </w:rPr>
              <w:t>Pieaicinātais ekspert</w:t>
            </w:r>
            <w:r w:rsidR="005012C5">
              <w:rPr>
                <w:rFonts w:ascii="Times New Roman" w:hAnsi="Times New Roman"/>
                <w:b/>
                <w:sz w:val="24"/>
                <w:szCs w:val="24"/>
                <w:lang w:val="lv-LV"/>
              </w:rPr>
              <w:t>e</w:t>
            </w:r>
            <w:r w:rsidRPr="00734408">
              <w:rPr>
                <w:rFonts w:ascii="Times New Roman" w:hAnsi="Times New Roman"/>
                <w:b/>
                <w:sz w:val="24"/>
                <w:szCs w:val="24"/>
                <w:lang w:val="lv-LV"/>
              </w:rPr>
              <w:t>:</w:t>
            </w:r>
          </w:p>
          <w:p w:rsidR="00A523BB" w:rsidRPr="00C36D0C" w:rsidP="00CD2BBB" w14:paraId="49F8E12F" w14:textId="77777777">
            <w:pPr>
              <w:spacing w:after="0" w:line="240" w:lineRule="auto"/>
              <w:rPr>
                <w:rFonts w:ascii="Times New Roman" w:hAnsi="Times New Roman"/>
                <w:b/>
                <w:sz w:val="24"/>
                <w:szCs w:val="24"/>
                <w:lang w:val="lv-LV"/>
              </w:rPr>
            </w:pPr>
          </w:p>
          <w:p w:rsidR="00A523BB" w:rsidRPr="00C36D0C" w:rsidP="00CD2BBB" w14:paraId="6BE3B385" w14:textId="77777777">
            <w:pPr>
              <w:spacing w:after="0" w:line="240" w:lineRule="auto"/>
              <w:rPr>
                <w:rFonts w:ascii="Times New Roman" w:hAnsi="Times New Roman"/>
                <w:b/>
                <w:sz w:val="24"/>
                <w:szCs w:val="24"/>
                <w:lang w:val="lv-LV"/>
              </w:rPr>
            </w:pPr>
          </w:p>
        </w:tc>
        <w:tc>
          <w:tcPr>
            <w:tcW w:w="5920" w:type="dxa"/>
          </w:tcPr>
          <w:p w:rsidR="00A523BB" w:rsidRPr="00C36D0C" w:rsidP="00CD2BBB" w14:paraId="3451A3FB" w14:textId="77777777">
            <w:pPr>
              <w:spacing w:after="120" w:line="240" w:lineRule="auto"/>
              <w:jc w:val="both"/>
              <w:rPr>
                <w:rFonts w:ascii="Times New Roman" w:hAnsi="Times New Roman"/>
                <w:sz w:val="24"/>
                <w:szCs w:val="24"/>
                <w:lang w:val="lv-LV"/>
              </w:rPr>
            </w:pPr>
            <w:r w:rsidRPr="00C36D0C">
              <w:rPr>
                <w:rFonts w:ascii="Times New Roman" w:hAnsi="Times New Roman"/>
                <w:sz w:val="24"/>
                <w:szCs w:val="24"/>
                <w:lang w:val="lv-LV"/>
              </w:rPr>
              <w:t>I. Saule – Juridiskā un pārvaldes organizācijas departamenta direktore;</w:t>
            </w:r>
          </w:p>
          <w:p w:rsidR="00A523BB" w:rsidRPr="00C36D0C" w:rsidP="00CD2BBB" w14:paraId="3B0CB4B1" w14:textId="77777777">
            <w:pPr>
              <w:spacing w:after="120" w:line="240" w:lineRule="auto"/>
              <w:jc w:val="both"/>
              <w:rPr>
                <w:rFonts w:ascii="Times New Roman" w:hAnsi="Times New Roman"/>
                <w:sz w:val="24"/>
                <w:szCs w:val="24"/>
                <w:lang w:val="lv-LV"/>
              </w:rPr>
            </w:pPr>
            <w:r w:rsidRPr="00C36D0C">
              <w:rPr>
                <w:rFonts w:ascii="Times New Roman" w:hAnsi="Times New Roman"/>
                <w:sz w:val="24"/>
                <w:szCs w:val="24"/>
                <w:lang w:val="lv-LV"/>
              </w:rPr>
              <w:t>J. Žuks-Rože – Tehniskās ekspluatācijas un saimniecības daļas vadītājs;</w:t>
            </w:r>
          </w:p>
          <w:p w:rsidR="00A523BB" w:rsidRPr="00C36D0C" w:rsidP="00CD2BBB" w14:paraId="717CC257" w14:textId="77777777">
            <w:pPr>
              <w:spacing w:after="120" w:line="240" w:lineRule="auto"/>
              <w:jc w:val="both"/>
              <w:rPr>
                <w:rFonts w:ascii="Times New Roman" w:hAnsi="Times New Roman"/>
                <w:sz w:val="24"/>
                <w:szCs w:val="24"/>
                <w:lang w:val="lv-LV"/>
              </w:rPr>
            </w:pPr>
            <w:r w:rsidRPr="00C36D0C">
              <w:rPr>
                <w:rFonts w:ascii="Times New Roman" w:hAnsi="Times New Roman"/>
                <w:sz w:val="24"/>
                <w:szCs w:val="24"/>
                <w:lang w:val="lv-LV"/>
              </w:rPr>
              <w:t>M. Deaks – Juridiskā un pārvaldes organizācijas departamenta direktora vietnieks;</w:t>
            </w:r>
          </w:p>
          <w:p w:rsidR="00A523BB" w:rsidP="00CD2BBB" w14:paraId="5A386DDA" w14:textId="77777777">
            <w:pPr>
              <w:spacing w:after="120" w:line="240" w:lineRule="auto"/>
              <w:jc w:val="both"/>
              <w:rPr>
                <w:rFonts w:ascii="Times New Roman" w:hAnsi="Times New Roman"/>
                <w:sz w:val="24"/>
                <w:szCs w:val="24"/>
                <w:lang w:val="lv-LV"/>
              </w:rPr>
            </w:pPr>
            <w:r w:rsidRPr="00C36D0C">
              <w:rPr>
                <w:rFonts w:ascii="Times New Roman" w:hAnsi="Times New Roman"/>
                <w:sz w:val="24"/>
                <w:szCs w:val="24"/>
                <w:lang w:val="lv-LV"/>
              </w:rPr>
              <w:t>P. Onufrijevs – Informātikas departamenta direktors</w:t>
            </w:r>
            <w:r>
              <w:rPr>
                <w:rFonts w:ascii="Times New Roman" w:hAnsi="Times New Roman"/>
                <w:sz w:val="24"/>
                <w:szCs w:val="24"/>
                <w:lang w:val="lv-LV"/>
              </w:rPr>
              <w:t>.</w:t>
            </w:r>
          </w:p>
          <w:p w:rsidR="00A523BB" w:rsidP="00A523BB" w14:paraId="7DED2351" w14:textId="466B1DF7">
            <w:pPr>
              <w:spacing w:after="120" w:line="240" w:lineRule="auto"/>
              <w:jc w:val="both"/>
              <w:rPr>
                <w:rFonts w:ascii="Times New Roman" w:hAnsi="Times New Roman"/>
                <w:sz w:val="24"/>
                <w:szCs w:val="24"/>
                <w:lang w:val="lv-LV"/>
              </w:rPr>
            </w:pPr>
            <w:r w:rsidRPr="00B50CB8">
              <w:rPr>
                <w:rFonts w:ascii="Times New Roman" w:hAnsi="Times New Roman"/>
                <w:sz w:val="24"/>
                <w:szCs w:val="24"/>
                <w:lang w:val="lv-LV"/>
              </w:rPr>
              <w:t>S</w:t>
            </w:r>
            <w:r>
              <w:rPr>
                <w:rFonts w:ascii="Times New Roman" w:hAnsi="Times New Roman"/>
                <w:sz w:val="24"/>
                <w:szCs w:val="24"/>
                <w:lang w:val="lv-LV"/>
              </w:rPr>
              <w:t xml:space="preserve">. </w:t>
            </w:r>
            <w:r w:rsidRPr="00B50CB8">
              <w:rPr>
                <w:rFonts w:ascii="Times New Roman" w:hAnsi="Times New Roman"/>
                <w:sz w:val="24"/>
                <w:szCs w:val="24"/>
                <w:lang w:val="lv-LV"/>
              </w:rPr>
              <w:t>Stepiņa</w:t>
            </w:r>
            <w:r w:rsidR="00790451">
              <w:rPr>
                <w:rFonts w:ascii="Times New Roman" w:hAnsi="Times New Roman"/>
                <w:sz w:val="24"/>
                <w:szCs w:val="24"/>
                <w:lang w:val="lv-LV"/>
              </w:rPr>
              <w:t xml:space="preserve"> </w:t>
            </w:r>
            <w:r w:rsidRPr="00C36D0C">
              <w:rPr>
                <w:rFonts w:ascii="Times New Roman" w:hAnsi="Times New Roman"/>
                <w:sz w:val="24"/>
                <w:szCs w:val="24"/>
                <w:lang w:val="lv-LV"/>
              </w:rPr>
              <w:t xml:space="preserve">– Stratēģiskās plānošanas un resursu vadības departamenta </w:t>
            </w:r>
            <w:r>
              <w:rPr>
                <w:rFonts w:ascii="Times New Roman" w:hAnsi="Times New Roman"/>
                <w:sz w:val="24"/>
                <w:szCs w:val="24"/>
                <w:lang w:val="lv-LV"/>
              </w:rPr>
              <w:t>direktora vietniece</w:t>
            </w:r>
            <w:r w:rsidRPr="00C36D0C">
              <w:rPr>
                <w:rFonts w:ascii="Times New Roman" w:hAnsi="Times New Roman"/>
                <w:sz w:val="24"/>
                <w:szCs w:val="24"/>
                <w:lang w:val="lv-LV"/>
              </w:rPr>
              <w:t>.</w:t>
            </w:r>
          </w:p>
          <w:p w:rsidR="00A523BB" w:rsidRPr="00C36D0C" w:rsidP="00CD2BBB" w14:paraId="41DB33EA" w14:textId="77777777">
            <w:pPr>
              <w:spacing w:after="120" w:line="240" w:lineRule="auto"/>
              <w:jc w:val="both"/>
              <w:rPr>
                <w:rFonts w:ascii="Times New Roman" w:hAnsi="Times New Roman"/>
                <w:sz w:val="24"/>
                <w:szCs w:val="24"/>
                <w:lang w:val="lv-LV"/>
              </w:rPr>
            </w:pPr>
          </w:p>
          <w:p w:rsidR="005012C5" w:rsidRPr="005012C5" w:rsidP="005012C5" w14:paraId="6427E8AC" w14:textId="67EFFAEF">
            <w:pPr>
              <w:spacing w:after="120" w:line="240" w:lineRule="auto"/>
              <w:jc w:val="both"/>
              <w:rPr>
                <w:rFonts w:ascii="Times New Roman" w:hAnsi="Times New Roman"/>
                <w:sz w:val="24"/>
                <w:szCs w:val="24"/>
                <w:lang w:val="lv-LV"/>
              </w:rPr>
            </w:pPr>
            <w:r>
              <w:rPr>
                <w:rFonts w:ascii="Times New Roman" w:hAnsi="Times New Roman"/>
                <w:sz w:val="24"/>
                <w:szCs w:val="24"/>
                <w:lang w:val="lv-LV"/>
              </w:rPr>
              <w:t>B. Alksnīte</w:t>
            </w:r>
            <w:r w:rsidRPr="00C36D0C" w:rsidR="00A523BB">
              <w:rPr>
                <w:rFonts w:ascii="Times New Roman" w:hAnsi="Times New Roman"/>
                <w:sz w:val="24"/>
                <w:szCs w:val="24"/>
                <w:lang w:val="lv-LV"/>
              </w:rPr>
              <w:t xml:space="preserve"> –</w:t>
            </w:r>
            <w:r w:rsidR="00A523BB">
              <w:rPr>
                <w:rFonts w:ascii="Times New Roman" w:hAnsi="Times New Roman"/>
                <w:sz w:val="24"/>
                <w:szCs w:val="24"/>
                <w:lang w:val="lv-LV"/>
              </w:rPr>
              <w:t xml:space="preserve"> </w:t>
            </w:r>
            <w:r w:rsidRPr="005012C5">
              <w:rPr>
                <w:rFonts w:ascii="Times New Roman" w:hAnsi="Times New Roman"/>
                <w:sz w:val="24"/>
                <w:szCs w:val="24"/>
                <w:lang w:val="lv-LV"/>
              </w:rPr>
              <w:t>Makroekonomiskās statistikas departamenta</w:t>
            </w:r>
          </w:p>
          <w:p w:rsidR="00A523BB" w:rsidRPr="00C36D0C" w:rsidP="005012C5" w14:paraId="11636B2E" w14:textId="7F589372">
            <w:pPr>
              <w:spacing w:after="120" w:line="240" w:lineRule="auto"/>
              <w:jc w:val="both"/>
              <w:rPr>
                <w:rFonts w:ascii="Times New Roman" w:hAnsi="Times New Roman"/>
                <w:sz w:val="24"/>
                <w:szCs w:val="24"/>
                <w:lang w:val="lv-LV"/>
              </w:rPr>
            </w:pPr>
            <w:r w:rsidRPr="005012C5">
              <w:rPr>
                <w:rFonts w:ascii="Times New Roman" w:hAnsi="Times New Roman"/>
                <w:sz w:val="24"/>
                <w:szCs w:val="24"/>
                <w:lang w:val="lv-LV"/>
              </w:rPr>
              <w:t>direktora vietniece</w:t>
            </w:r>
            <w:r w:rsidRPr="00C36D0C">
              <w:rPr>
                <w:rFonts w:ascii="Times New Roman" w:hAnsi="Times New Roman"/>
                <w:sz w:val="24"/>
                <w:szCs w:val="24"/>
                <w:lang w:val="lv-LV"/>
              </w:rPr>
              <w:t>.</w:t>
            </w:r>
          </w:p>
        </w:tc>
      </w:tr>
      <w:tr w14:paraId="0707B005" w14:textId="77777777" w:rsidTr="00CD2BBB">
        <w:tblPrEx>
          <w:tblW w:w="9628" w:type="dxa"/>
          <w:tblLook w:val="0000"/>
        </w:tblPrEx>
        <w:trPr>
          <w:trHeight w:val="344"/>
        </w:trPr>
        <w:tc>
          <w:tcPr>
            <w:tcW w:w="3708" w:type="dxa"/>
          </w:tcPr>
          <w:p w:rsidR="00A523BB" w:rsidRPr="00C36D0C" w:rsidP="00CD2BBB" w14:paraId="3F6254FC" w14:textId="77777777">
            <w:pPr>
              <w:pStyle w:val="Heading2"/>
              <w:jc w:val="left"/>
            </w:pPr>
            <w:r w:rsidRPr="00C36D0C">
              <w:t>Protokolē:</w:t>
            </w:r>
          </w:p>
        </w:tc>
        <w:tc>
          <w:tcPr>
            <w:tcW w:w="5920" w:type="dxa"/>
          </w:tcPr>
          <w:p w:rsidR="00A523BB" w:rsidRPr="00C36D0C" w:rsidP="00CD2BBB" w14:paraId="3A631ACB" w14:textId="5933FACE">
            <w:pPr>
              <w:spacing w:after="60" w:line="240" w:lineRule="auto"/>
              <w:jc w:val="both"/>
              <w:rPr>
                <w:rFonts w:ascii="Times New Roman" w:hAnsi="Times New Roman"/>
                <w:sz w:val="24"/>
                <w:szCs w:val="24"/>
                <w:lang w:val="lv-LV"/>
              </w:rPr>
            </w:pPr>
            <w:r w:rsidRPr="00C36D0C">
              <w:rPr>
                <w:rFonts w:ascii="Times New Roman" w:hAnsi="Times New Roman"/>
                <w:sz w:val="24"/>
                <w:szCs w:val="24"/>
                <w:lang w:val="lv-LV"/>
              </w:rPr>
              <w:t>I. Saule – Juridiskā un pārvaldes organizācijas departamenta direktore</w:t>
            </w:r>
            <w:r>
              <w:rPr>
                <w:rFonts w:ascii="Times New Roman" w:hAnsi="Times New Roman"/>
                <w:sz w:val="24"/>
                <w:szCs w:val="24"/>
                <w:lang w:val="lv-LV"/>
              </w:rPr>
              <w:t>.</w:t>
            </w:r>
          </w:p>
        </w:tc>
      </w:tr>
    </w:tbl>
    <w:p w:rsidR="00A523BB" w:rsidRPr="0018652B" w:rsidP="00A523BB" w14:paraId="4CF8743A" w14:textId="77777777">
      <w:pPr>
        <w:pStyle w:val="BodyText3"/>
        <w:ind w:firstLine="720"/>
        <w:rPr>
          <w:rFonts w:ascii="Times New Roman" w:hAnsi="Times New Roman"/>
          <w:sz w:val="24"/>
          <w:szCs w:val="24"/>
          <w:lang w:val="nn-NO"/>
        </w:rPr>
      </w:pPr>
    </w:p>
    <w:p w:rsidR="00A523BB" w:rsidRPr="00C36D0C" w:rsidP="00A523BB" w14:paraId="728FA8B0" w14:textId="77777777">
      <w:pPr>
        <w:pStyle w:val="BodyText2"/>
        <w:spacing w:line="240" w:lineRule="auto"/>
        <w:jc w:val="both"/>
        <w:rPr>
          <w:rFonts w:ascii="Times New Roman" w:hAnsi="Times New Roman"/>
          <w:sz w:val="24"/>
          <w:szCs w:val="24"/>
          <w:lang w:val="lv-LV"/>
        </w:rPr>
      </w:pPr>
      <w:r w:rsidRPr="00C36D0C">
        <w:rPr>
          <w:rFonts w:ascii="Times New Roman" w:hAnsi="Times New Roman"/>
          <w:sz w:val="24"/>
          <w:szCs w:val="24"/>
          <w:lang w:val="lv-LV"/>
        </w:rPr>
        <w:t xml:space="preserve">Darba kārtība: </w:t>
      </w:r>
    </w:p>
    <w:p w:rsidR="00A523BB" w:rsidP="00A523BB" w14:paraId="6CE7A35A" w14:textId="50E4537D">
      <w:pPr>
        <w:spacing w:after="120" w:line="240" w:lineRule="auto"/>
        <w:ind w:firstLine="720"/>
        <w:jc w:val="both"/>
        <w:rPr>
          <w:rFonts w:ascii="Times New Roman" w:hAnsi="Times New Roman"/>
          <w:sz w:val="24"/>
          <w:szCs w:val="24"/>
          <w:lang w:val="lv-LV"/>
        </w:rPr>
      </w:pPr>
      <w:bookmarkStart w:id="2" w:name="OLE_LINK1"/>
      <w:r w:rsidRPr="005012C5">
        <w:rPr>
          <w:rFonts w:ascii="Times New Roman" w:hAnsi="Times New Roman"/>
          <w:bCs/>
          <w:sz w:val="24"/>
          <w:szCs w:val="24"/>
          <w:lang w:val="lv-LV"/>
        </w:rPr>
        <w:t xml:space="preserve">Iepirkuma </w:t>
      </w:r>
      <w:r w:rsidRPr="005012C5">
        <w:rPr>
          <w:rFonts w:ascii="Times New Roman" w:hAnsi="Times New Roman"/>
          <w:b/>
          <w:bCs/>
          <w:sz w:val="24"/>
          <w:szCs w:val="24"/>
          <w:lang w:val="lv-LV"/>
        </w:rPr>
        <w:t>“Būvniecības cenu informācijas nodrošināšana Eurostat projektam “Pamatinformācijas nodrošināšana pirktspējas paritātēm””</w:t>
      </w:r>
      <w:r>
        <w:rPr>
          <w:rFonts w:ascii="Times New Roman" w:hAnsi="Times New Roman"/>
          <w:bCs/>
          <w:sz w:val="24"/>
          <w:szCs w:val="24"/>
          <w:lang w:val="lv-LV"/>
        </w:rPr>
        <w:t xml:space="preserve"> </w:t>
      </w:r>
      <w:r w:rsidRPr="005012C5">
        <w:rPr>
          <w:rFonts w:ascii="Times New Roman" w:hAnsi="Times New Roman"/>
          <w:bCs/>
          <w:sz w:val="24"/>
          <w:szCs w:val="24"/>
          <w:lang w:val="lv-LV"/>
        </w:rPr>
        <w:t xml:space="preserve">ar id. Nr. CSP 2026/02 </w:t>
      </w:r>
      <w:bookmarkEnd w:id="2"/>
      <w:r w:rsidRPr="005012C5">
        <w:rPr>
          <w:rFonts w:ascii="Times New Roman" w:hAnsi="Times New Roman"/>
          <w:bCs/>
          <w:sz w:val="24"/>
          <w:szCs w:val="24"/>
          <w:lang w:val="lv-LV"/>
        </w:rPr>
        <w:t xml:space="preserve">(turpmāk - iepirkums CSP 2026/02) </w:t>
      </w:r>
      <w:r w:rsidRPr="00CD5BD0" w:rsidR="00B50CB8">
        <w:rPr>
          <w:rFonts w:ascii="Times New Roman" w:hAnsi="Times New Roman"/>
          <w:sz w:val="24"/>
          <w:szCs w:val="24"/>
          <w:lang w:val="lv-LV"/>
        </w:rPr>
        <w:t>piedāvājum</w:t>
      </w:r>
      <w:r w:rsidR="004E58D8">
        <w:rPr>
          <w:rFonts w:ascii="Times New Roman" w:hAnsi="Times New Roman"/>
          <w:sz w:val="24"/>
          <w:szCs w:val="24"/>
          <w:lang w:val="lv-LV"/>
        </w:rPr>
        <w:t>u</w:t>
      </w:r>
      <w:r w:rsidRPr="00CD5BD0" w:rsidR="00B50CB8">
        <w:rPr>
          <w:rFonts w:ascii="Times New Roman" w:hAnsi="Times New Roman"/>
          <w:sz w:val="24"/>
          <w:szCs w:val="24"/>
          <w:lang w:val="lv-LV"/>
        </w:rPr>
        <w:t xml:space="preserve"> vērtēšana un lēmuma par </w:t>
      </w:r>
      <w:r w:rsidR="00B50CB8">
        <w:rPr>
          <w:rFonts w:ascii="Times New Roman" w:hAnsi="Times New Roman"/>
          <w:sz w:val="24"/>
          <w:szCs w:val="24"/>
          <w:lang w:val="lv-LV"/>
        </w:rPr>
        <w:t xml:space="preserve">iepirkuma </w:t>
      </w:r>
      <w:r w:rsidR="002E2416">
        <w:rPr>
          <w:rFonts w:ascii="Times New Roman" w:hAnsi="Times New Roman"/>
          <w:sz w:val="24"/>
          <w:szCs w:val="24"/>
          <w:lang w:val="lv-LV"/>
        </w:rPr>
        <w:t>uzvarētāj</w:t>
      </w:r>
      <w:r w:rsidR="004E58D8">
        <w:rPr>
          <w:rFonts w:ascii="Times New Roman" w:hAnsi="Times New Roman"/>
          <w:sz w:val="24"/>
          <w:szCs w:val="24"/>
          <w:lang w:val="lv-LV"/>
        </w:rPr>
        <w:t>iem</w:t>
      </w:r>
      <w:r w:rsidR="00B50CB8">
        <w:rPr>
          <w:rFonts w:ascii="Times New Roman" w:hAnsi="Times New Roman"/>
          <w:sz w:val="24"/>
          <w:szCs w:val="24"/>
          <w:lang w:val="lv-LV"/>
        </w:rPr>
        <w:t xml:space="preserve"> </w:t>
      </w:r>
      <w:r w:rsidRPr="00CD5BD0" w:rsidR="00B50CB8">
        <w:rPr>
          <w:rFonts w:ascii="Times New Roman" w:hAnsi="Times New Roman"/>
          <w:sz w:val="24"/>
          <w:szCs w:val="24"/>
          <w:lang w:val="lv-LV"/>
        </w:rPr>
        <w:t>pieņemšana.</w:t>
      </w:r>
    </w:p>
    <w:bookmarkEnd w:id="1"/>
    <w:p w:rsidR="00B04CD4" w:rsidRPr="00CD5BD0" w:rsidP="00B04CD4" w14:paraId="33715054" w14:textId="2ED24216">
      <w:pPr>
        <w:pStyle w:val="BodyText2"/>
        <w:spacing w:line="240" w:lineRule="auto"/>
        <w:jc w:val="both"/>
        <w:rPr>
          <w:rFonts w:ascii="Times New Roman" w:hAnsi="Times New Roman"/>
          <w:sz w:val="20"/>
          <w:szCs w:val="20"/>
          <w:lang w:val="lv-LV"/>
        </w:rPr>
      </w:pPr>
      <w:r w:rsidRPr="00CD5BD0">
        <w:rPr>
          <w:rFonts w:ascii="Times New Roman" w:hAnsi="Times New Roman"/>
          <w:sz w:val="20"/>
          <w:szCs w:val="20"/>
          <w:lang w:val="lv-LV"/>
        </w:rPr>
        <w:t xml:space="preserve">Sēdi sāk </w:t>
      </w:r>
      <w:r w:rsidR="005012C5">
        <w:rPr>
          <w:rFonts w:ascii="Times New Roman" w:hAnsi="Times New Roman"/>
          <w:sz w:val="20"/>
          <w:szCs w:val="20"/>
          <w:lang w:val="lv-LV"/>
        </w:rPr>
        <w:t>12.06</w:t>
      </w:r>
      <w:r w:rsidRPr="00497250" w:rsidR="0032052D">
        <w:rPr>
          <w:rFonts w:ascii="Times New Roman" w:hAnsi="Times New Roman"/>
          <w:sz w:val="20"/>
          <w:szCs w:val="20"/>
          <w:lang w:val="lv-LV"/>
        </w:rPr>
        <w:t>.</w:t>
      </w:r>
      <w:r w:rsidR="00A523BB">
        <w:rPr>
          <w:rFonts w:ascii="Times New Roman" w:hAnsi="Times New Roman"/>
          <w:sz w:val="20"/>
          <w:szCs w:val="20"/>
          <w:lang w:val="lv-LV"/>
        </w:rPr>
        <w:t>2026</w:t>
      </w:r>
      <w:r w:rsidRPr="00497250">
        <w:rPr>
          <w:rFonts w:ascii="Times New Roman" w:hAnsi="Times New Roman"/>
          <w:sz w:val="20"/>
          <w:szCs w:val="20"/>
          <w:lang w:val="lv-LV"/>
        </w:rPr>
        <w:t xml:space="preserve">. plkst. </w:t>
      </w:r>
      <w:r w:rsidR="005012C5">
        <w:rPr>
          <w:rFonts w:ascii="Times New Roman" w:hAnsi="Times New Roman"/>
          <w:sz w:val="20"/>
          <w:szCs w:val="20"/>
          <w:lang w:val="lv-LV"/>
        </w:rPr>
        <w:t>9</w:t>
      </w:r>
      <w:r w:rsidRPr="00497250" w:rsidR="00F77A80">
        <w:rPr>
          <w:rFonts w:ascii="Times New Roman" w:hAnsi="Times New Roman"/>
          <w:sz w:val="20"/>
          <w:szCs w:val="20"/>
          <w:lang w:val="lv-LV"/>
        </w:rPr>
        <w:t>:</w:t>
      </w:r>
      <w:r w:rsidR="00884D13">
        <w:rPr>
          <w:rFonts w:ascii="Times New Roman" w:hAnsi="Times New Roman"/>
          <w:sz w:val="20"/>
          <w:szCs w:val="20"/>
          <w:lang w:val="lv-LV"/>
        </w:rPr>
        <w:t>3</w:t>
      </w:r>
      <w:r w:rsidR="002E2416">
        <w:rPr>
          <w:rFonts w:ascii="Times New Roman" w:hAnsi="Times New Roman"/>
          <w:sz w:val="20"/>
          <w:szCs w:val="20"/>
          <w:lang w:val="lv-LV"/>
        </w:rPr>
        <w:t>0</w:t>
      </w:r>
      <w:r w:rsidRPr="00497250" w:rsidR="00F77A80">
        <w:rPr>
          <w:rFonts w:ascii="Times New Roman" w:hAnsi="Times New Roman"/>
          <w:sz w:val="20"/>
          <w:szCs w:val="20"/>
          <w:lang w:val="lv-LV"/>
        </w:rPr>
        <w:t>.</w:t>
      </w:r>
    </w:p>
    <w:p w:rsidR="005F0CC7" w:rsidP="0077733E" w14:paraId="72F0D129" w14:textId="77777777">
      <w:pPr>
        <w:spacing w:after="0" w:line="240" w:lineRule="auto"/>
        <w:jc w:val="center"/>
        <w:rPr>
          <w:rFonts w:ascii="Times New Roman" w:hAnsi="Times New Roman"/>
          <w:b/>
          <w:bCs/>
          <w:sz w:val="24"/>
          <w:szCs w:val="24"/>
          <w:lang w:val="lv-LV"/>
        </w:rPr>
      </w:pPr>
    </w:p>
    <w:p w:rsidR="00497250" w:rsidRPr="00497250" w:rsidP="0077733E" w14:paraId="4306E89A" w14:textId="3F77D345">
      <w:pPr>
        <w:spacing w:after="0" w:line="240" w:lineRule="auto"/>
        <w:jc w:val="center"/>
        <w:rPr>
          <w:rFonts w:ascii="Times New Roman" w:hAnsi="Times New Roman"/>
          <w:b/>
          <w:bCs/>
          <w:sz w:val="24"/>
          <w:szCs w:val="24"/>
          <w:lang w:val="lv-LV"/>
        </w:rPr>
      </w:pPr>
      <w:r w:rsidRPr="00497250">
        <w:rPr>
          <w:rFonts w:ascii="Times New Roman" w:hAnsi="Times New Roman"/>
          <w:b/>
          <w:bCs/>
          <w:sz w:val="24"/>
          <w:szCs w:val="24"/>
          <w:lang w:val="lv-LV"/>
        </w:rPr>
        <w:t xml:space="preserve">Iepirkuma CSP </w:t>
      </w:r>
      <w:r w:rsidR="00A523BB">
        <w:rPr>
          <w:rFonts w:ascii="Times New Roman" w:hAnsi="Times New Roman"/>
          <w:b/>
          <w:bCs/>
          <w:sz w:val="24"/>
          <w:szCs w:val="24"/>
          <w:lang w:val="lv-LV"/>
        </w:rPr>
        <w:t>2026</w:t>
      </w:r>
      <w:r w:rsidRPr="00497250" w:rsidR="007929B8">
        <w:rPr>
          <w:rFonts w:ascii="Times New Roman" w:hAnsi="Times New Roman"/>
          <w:b/>
          <w:bCs/>
          <w:sz w:val="24"/>
          <w:szCs w:val="24"/>
          <w:lang w:val="lv-LV"/>
        </w:rPr>
        <w:t>/0</w:t>
      </w:r>
      <w:r w:rsidR="005012C5">
        <w:rPr>
          <w:rFonts w:ascii="Times New Roman" w:hAnsi="Times New Roman"/>
          <w:b/>
          <w:bCs/>
          <w:sz w:val="24"/>
          <w:szCs w:val="24"/>
          <w:lang w:val="lv-LV"/>
        </w:rPr>
        <w:t>2</w:t>
      </w:r>
      <w:r w:rsidRPr="00497250">
        <w:rPr>
          <w:rFonts w:ascii="Times New Roman" w:hAnsi="Times New Roman"/>
          <w:b/>
          <w:bCs/>
          <w:sz w:val="24"/>
          <w:szCs w:val="24"/>
          <w:lang w:val="lv-LV"/>
        </w:rPr>
        <w:t xml:space="preserve"> piedāvājum</w:t>
      </w:r>
      <w:r w:rsidR="005012C5">
        <w:rPr>
          <w:rFonts w:ascii="Times New Roman" w:hAnsi="Times New Roman"/>
          <w:b/>
          <w:bCs/>
          <w:sz w:val="24"/>
          <w:szCs w:val="24"/>
          <w:lang w:val="lv-LV"/>
        </w:rPr>
        <w:t>u</w:t>
      </w:r>
      <w:r w:rsidRPr="00497250">
        <w:rPr>
          <w:rFonts w:ascii="Times New Roman" w:hAnsi="Times New Roman"/>
          <w:b/>
          <w:bCs/>
          <w:sz w:val="24"/>
          <w:szCs w:val="24"/>
          <w:lang w:val="lv-LV"/>
        </w:rPr>
        <w:t xml:space="preserve"> vērtēšana</w:t>
      </w:r>
    </w:p>
    <w:p w:rsidR="0077733E" w:rsidRPr="00497250" w:rsidP="0077733E" w14:paraId="53ACF84F" w14:textId="498C189C">
      <w:pPr>
        <w:spacing w:after="0" w:line="240" w:lineRule="auto"/>
        <w:jc w:val="center"/>
        <w:rPr>
          <w:rFonts w:ascii="Times New Roman" w:hAnsi="Times New Roman"/>
          <w:b/>
          <w:bCs/>
          <w:i/>
          <w:sz w:val="24"/>
          <w:szCs w:val="24"/>
          <w:lang w:val="lv-LV"/>
        </w:rPr>
      </w:pPr>
      <w:r w:rsidRPr="00497250">
        <w:rPr>
          <w:rFonts w:ascii="Times New Roman" w:hAnsi="Times New Roman"/>
          <w:b/>
          <w:bCs/>
          <w:sz w:val="24"/>
          <w:szCs w:val="24"/>
          <w:lang w:val="lv-LV"/>
        </w:rPr>
        <w:t xml:space="preserve">un lēmuma </w:t>
      </w:r>
      <w:r w:rsidRPr="00497250" w:rsidR="00497250">
        <w:rPr>
          <w:rFonts w:ascii="Times New Roman" w:hAnsi="Times New Roman"/>
          <w:b/>
          <w:bCs/>
          <w:sz w:val="24"/>
          <w:szCs w:val="24"/>
          <w:lang w:val="lv-LV"/>
        </w:rPr>
        <w:t xml:space="preserve">par iepirkuma </w:t>
      </w:r>
      <w:r w:rsidR="002E2416">
        <w:rPr>
          <w:rFonts w:ascii="Times New Roman" w:hAnsi="Times New Roman"/>
          <w:b/>
          <w:bCs/>
          <w:sz w:val="24"/>
          <w:szCs w:val="24"/>
          <w:lang w:val="lv-LV"/>
        </w:rPr>
        <w:t>uzvarētāj</w:t>
      </w:r>
      <w:r w:rsidR="004E58D8">
        <w:rPr>
          <w:rFonts w:ascii="Times New Roman" w:hAnsi="Times New Roman"/>
          <w:b/>
          <w:bCs/>
          <w:sz w:val="24"/>
          <w:szCs w:val="24"/>
          <w:lang w:val="lv-LV"/>
        </w:rPr>
        <w:t>iem</w:t>
      </w:r>
      <w:r w:rsidR="002E2416">
        <w:rPr>
          <w:rFonts w:ascii="Times New Roman" w:hAnsi="Times New Roman"/>
          <w:b/>
          <w:bCs/>
          <w:sz w:val="24"/>
          <w:szCs w:val="24"/>
          <w:lang w:val="lv-LV"/>
        </w:rPr>
        <w:t xml:space="preserve"> </w:t>
      </w:r>
      <w:r w:rsidRPr="00497250">
        <w:rPr>
          <w:rFonts w:ascii="Times New Roman" w:hAnsi="Times New Roman"/>
          <w:b/>
          <w:bCs/>
          <w:sz w:val="24"/>
          <w:szCs w:val="24"/>
          <w:lang w:val="lv-LV"/>
        </w:rPr>
        <w:t>pieņemšana</w:t>
      </w:r>
    </w:p>
    <w:p w:rsidR="0077733E" w:rsidRPr="00CD5BD0" w:rsidP="0077733E" w14:paraId="2DBEDA73" w14:textId="77777777">
      <w:pPr>
        <w:jc w:val="center"/>
        <w:rPr>
          <w:rFonts w:ascii="Times New Roman" w:hAnsi="Times New Roman"/>
          <w:sz w:val="24"/>
          <w:szCs w:val="24"/>
          <w:lang w:val="lv-LV"/>
        </w:rPr>
      </w:pPr>
      <w:r w:rsidRPr="00CD5BD0">
        <w:rPr>
          <w:rFonts w:ascii="Times New Roman" w:hAnsi="Times New Roman"/>
          <w:sz w:val="24"/>
          <w:szCs w:val="24"/>
          <w:lang w:val="lv-LV"/>
        </w:rPr>
        <w:t>______________________________________________________</w:t>
      </w:r>
    </w:p>
    <w:p w:rsidR="0077733E" w:rsidRPr="00CD5BD0" w:rsidP="0077733E" w14:paraId="0DCF28E6" w14:textId="17A33669">
      <w:pPr>
        <w:widowControl/>
        <w:numPr>
          <w:ilvl w:val="0"/>
          <w:numId w:val="12"/>
        </w:numPr>
        <w:tabs>
          <w:tab w:val="num" w:pos="426"/>
          <w:tab w:val="clear" w:pos="720"/>
        </w:tabs>
        <w:spacing w:after="0" w:line="240" w:lineRule="auto"/>
        <w:ind w:left="426" w:hanging="426"/>
        <w:jc w:val="both"/>
        <w:rPr>
          <w:rFonts w:ascii="Times New Roman" w:hAnsi="Times New Roman"/>
          <w:sz w:val="24"/>
          <w:szCs w:val="24"/>
          <w:u w:val="single"/>
          <w:lang w:val="lv-LV"/>
        </w:rPr>
      </w:pPr>
      <w:r w:rsidRPr="00CD5BD0">
        <w:rPr>
          <w:rFonts w:ascii="Times New Roman" w:hAnsi="Times New Roman"/>
          <w:sz w:val="24"/>
          <w:szCs w:val="24"/>
          <w:lang w:val="lv-LV"/>
        </w:rPr>
        <w:t>Piedāvājumu</w:t>
      </w:r>
      <w:r w:rsidR="005012C5">
        <w:rPr>
          <w:rFonts w:ascii="Times New Roman" w:hAnsi="Times New Roman"/>
          <w:sz w:val="24"/>
          <w:szCs w:val="24"/>
          <w:lang w:val="lv-LV"/>
        </w:rPr>
        <w:t>s</w:t>
      </w:r>
      <w:r w:rsidRPr="00CD5BD0">
        <w:rPr>
          <w:rFonts w:ascii="Times New Roman" w:hAnsi="Times New Roman"/>
          <w:sz w:val="24"/>
          <w:szCs w:val="24"/>
          <w:lang w:val="lv-LV"/>
        </w:rPr>
        <w:t xml:space="preserve"> iepirkumā CSP </w:t>
      </w:r>
      <w:r w:rsidR="00A523BB">
        <w:rPr>
          <w:rFonts w:ascii="Times New Roman" w:hAnsi="Times New Roman"/>
          <w:sz w:val="24"/>
          <w:szCs w:val="24"/>
          <w:lang w:val="lv-LV"/>
        </w:rPr>
        <w:t>2026</w:t>
      </w:r>
      <w:r w:rsidR="007929B8">
        <w:rPr>
          <w:rFonts w:ascii="Times New Roman" w:hAnsi="Times New Roman"/>
          <w:sz w:val="24"/>
          <w:szCs w:val="24"/>
          <w:lang w:val="lv-LV"/>
        </w:rPr>
        <w:t>/0</w:t>
      </w:r>
      <w:r w:rsidR="005012C5">
        <w:rPr>
          <w:rFonts w:ascii="Times New Roman" w:hAnsi="Times New Roman"/>
          <w:sz w:val="24"/>
          <w:szCs w:val="24"/>
          <w:lang w:val="lv-LV"/>
        </w:rPr>
        <w:t>2</w:t>
      </w:r>
      <w:r w:rsidRPr="00CD5BD0" w:rsidR="00BD2268">
        <w:rPr>
          <w:rFonts w:ascii="Times New Roman" w:hAnsi="Times New Roman"/>
          <w:sz w:val="24"/>
          <w:szCs w:val="24"/>
          <w:lang w:val="lv-LV"/>
        </w:rPr>
        <w:t xml:space="preserve"> </w:t>
      </w:r>
      <w:r w:rsidRPr="00CD5BD0">
        <w:rPr>
          <w:rFonts w:ascii="Times New Roman" w:hAnsi="Times New Roman"/>
          <w:sz w:val="24"/>
          <w:szCs w:val="24"/>
          <w:lang w:val="lv-LV"/>
        </w:rPr>
        <w:t>iesniedza šād</w:t>
      </w:r>
      <w:r w:rsidR="005012C5">
        <w:rPr>
          <w:rFonts w:ascii="Times New Roman" w:hAnsi="Times New Roman"/>
          <w:sz w:val="24"/>
          <w:szCs w:val="24"/>
          <w:lang w:val="lv-LV"/>
        </w:rPr>
        <w:t>i</w:t>
      </w:r>
      <w:r w:rsidRPr="00CD5BD0">
        <w:rPr>
          <w:rFonts w:ascii="Times New Roman" w:hAnsi="Times New Roman"/>
          <w:sz w:val="24"/>
          <w:szCs w:val="24"/>
          <w:lang w:val="lv-LV"/>
        </w:rPr>
        <w:t xml:space="preserve"> pretendent</w:t>
      </w:r>
      <w:r w:rsidR="005012C5">
        <w:rPr>
          <w:rFonts w:ascii="Times New Roman" w:hAnsi="Times New Roman"/>
          <w:sz w:val="24"/>
          <w:szCs w:val="24"/>
          <w:lang w:val="lv-LV"/>
        </w:rPr>
        <w:t>i</w:t>
      </w:r>
      <w:r w:rsidRPr="00CD5BD0">
        <w:rPr>
          <w:rFonts w:ascii="Times New Roman" w:hAnsi="Times New Roman"/>
          <w:sz w:val="24"/>
          <w:szCs w:val="24"/>
          <w:lang w:val="lv-LV"/>
        </w:rPr>
        <w:t>:</w:t>
      </w:r>
    </w:p>
    <w:p w:rsidR="005012C5" w:rsidRPr="00992CEE" w:rsidP="005012C5" w14:paraId="5061D89C" w14:textId="6B6B206D">
      <w:pPr>
        <w:pStyle w:val="ListParagraph"/>
        <w:numPr>
          <w:ilvl w:val="1"/>
          <w:numId w:val="19"/>
        </w:numPr>
        <w:rPr>
          <w:rFonts w:ascii="Times New Roman" w:hAnsi="Times New Roman"/>
          <w:bCs/>
          <w:sz w:val="24"/>
          <w:szCs w:val="24"/>
          <w:lang w:val="lv-LV"/>
        </w:rPr>
      </w:pPr>
      <w:r w:rsidRPr="00992CEE">
        <w:rPr>
          <w:rFonts w:ascii="Times New Roman" w:hAnsi="Times New Roman"/>
          <w:bCs/>
          <w:sz w:val="24"/>
          <w:szCs w:val="24"/>
          <w:lang w:val="lv-LV"/>
        </w:rPr>
        <w:t>Daļai Nr. 1 - Cenu informācijas sagatavošana tipveida būvtāmēs par dzīvojamo un nedzīvojamo ēku sadaļām, kas noteiktas Nolikumā.</w:t>
      </w:r>
    </w:p>
    <w:tbl>
      <w:tblPr>
        <w:tblStyle w:val="TableGrid"/>
        <w:tblW w:w="5000" w:type="pct"/>
        <w:tblLook w:val="04A0"/>
      </w:tblPr>
      <w:tblGrid>
        <w:gridCol w:w="2181"/>
        <w:gridCol w:w="2075"/>
        <w:gridCol w:w="2450"/>
        <w:gridCol w:w="2356"/>
      </w:tblGrid>
      <w:tr w14:paraId="36669E49" w14:textId="77777777">
        <w:tblPrEx>
          <w:tblW w:w="5000" w:type="pct"/>
          <w:tblLook w:val="04A0"/>
        </w:tblPrEx>
        <w:tc>
          <w:tcPr>
            <w:tcW w:w="1203" w:type="pct"/>
            <w:tcBorders>
              <w:top w:val="single" w:sz="4" w:space="0" w:color="auto"/>
              <w:left w:val="single" w:sz="4" w:space="0" w:color="auto"/>
              <w:bottom w:val="single" w:sz="4" w:space="0" w:color="auto"/>
              <w:right w:val="single" w:sz="4" w:space="0" w:color="auto"/>
            </w:tcBorders>
            <w:shd w:val="pct10" w:color="auto" w:fill="auto"/>
            <w:hideMark/>
          </w:tcPr>
          <w:p w:rsidR="005012C5" w14:paraId="438921A0" w14:textId="77777777">
            <w:pPr>
              <w:rPr>
                <w:b/>
                <w:bCs/>
                <w:szCs w:val="24"/>
              </w:rPr>
            </w:pPr>
            <w:r>
              <w:rPr>
                <w:b/>
                <w:bCs/>
              </w:rPr>
              <w:t>Pretendents</w:t>
            </w:r>
          </w:p>
        </w:tc>
        <w:tc>
          <w:tcPr>
            <w:tcW w:w="1145" w:type="pct"/>
            <w:tcBorders>
              <w:top w:val="single" w:sz="4" w:space="0" w:color="auto"/>
              <w:left w:val="single" w:sz="4" w:space="0" w:color="auto"/>
              <w:bottom w:val="single" w:sz="4" w:space="0" w:color="auto"/>
              <w:right w:val="single" w:sz="4" w:space="0" w:color="auto"/>
            </w:tcBorders>
            <w:shd w:val="pct10" w:color="auto" w:fill="auto"/>
            <w:hideMark/>
          </w:tcPr>
          <w:p w:rsidR="005012C5" w14:paraId="7EDBCD37" w14:textId="77777777">
            <w:pPr>
              <w:rPr>
                <w:b/>
                <w:bCs/>
              </w:rPr>
            </w:pPr>
            <w:r>
              <w:rPr>
                <w:b/>
                <w:bCs/>
              </w:rPr>
              <w:t>Iesniegšanas datums un laiks</w:t>
            </w:r>
          </w:p>
        </w:tc>
        <w:tc>
          <w:tcPr>
            <w:tcW w:w="1352" w:type="pct"/>
            <w:tcBorders>
              <w:top w:val="single" w:sz="4" w:space="0" w:color="auto"/>
              <w:left w:val="single" w:sz="4" w:space="0" w:color="auto"/>
              <w:bottom w:val="single" w:sz="4" w:space="0" w:color="auto"/>
              <w:right w:val="single" w:sz="4" w:space="0" w:color="auto"/>
            </w:tcBorders>
            <w:shd w:val="pct10" w:color="auto" w:fill="auto"/>
            <w:hideMark/>
          </w:tcPr>
          <w:p w:rsidR="005012C5" w14:paraId="515CABDE" w14:textId="77777777">
            <w:pPr>
              <w:rPr>
                <w:b/>
                <w:bCs/>
              </w:rPr>
            </w:pPr>
            <w:r>
              <w:rPr>
                <w:b/>
              </w:rPr>
              <w:t>Cena bez PVN</w:t>
            </w:r>
          </w:p>
        </w:tc>
        <w:tc>
          <w:tcPr>
            <w:tcW w:w="1300" w:type="pct"/>
            <w:tcBorders>
              <w:top w:val="single" w:sz="4" w:space="0" w:color="auto"/>
              <w:left w:val="single" w:sz="4" w:space="0" w:color="auto"/>
              <w:bottom w:val="single" w:sz="4" w:space="0" w:color="auto"/>
              <w:right w:val="single" w:sz="4" w:space="0" w:color="auto"/>
            </w:tcBorders>
            <w:shd w:val="pct10" w:color="auto" w:fill="auto"/>
            <w:hideMark/>
          </w:tcPr>
          <w:p w:rsidR="005012C5" w14:paraId="6B3A4B46" w14:textId="77777777">
            <w:pPr>
              <w:rPr>
                <w:b/>
                <w:bCs/>
              </w:rPr>
            </w:pPr>
            <w:r>
              <w:rPr>
                <w:b/>
              </w:rPr>
              <w:t>Finanšu piedāvājums</w:t>
            </w:r>
          </w:p>
        </w:tc>
      </w:tr>
      <w:tr w14:paraId="7DF37304" w14:textId="77777777">
        <w:tblPrEx>
          <w:tblW w:w="5000" w:type="pct"/>
          <w:tblLook w:val="04A0"/>
        </w:tblPrEx>
        <w:tc>
          <w:tcPr>
            <w:tcW w:w="1203" w:type="pct"/>
            <w:tcBorders>
              <w:top w:val="single" w:sz="4" w:space="0" w:color="auto"/>
              <w:left w:val="single" w:sz="4" w:space="0" w:color="auto"/>
              <w:bottom w:val="single" w:sz="4" w:space="0" w:color="auto"/>
              <w:right w:val="single" w:sz="4" w:space="0" w:color="auto"/>
            </w:tcBorders>
            <w:hideMark/>
          </w:tcPr>
          <w:p w:rsidR="005012C5" w14:paraId="19D3390E" w14:textId="77777777">
            <w:pPr>
              <w:rPr>
                <w:bCs/>
              </w:rPr>
            </w:pPr>
            <w:r>
              <w:t>Sabiedrība ar ierobežotu atbildību "NORTHPROJECT"</w:t>
            </w:r>
            <w:r>
              <w:rPr>
                <w:bCs/>
              </w:rPr>
              <w:t xml:space="preserve"> </w:t>
            </w:r>
          </w:p>
        </w:tc>
        <w:tc>
          <w:tcPr>
            <w:tcW w:w="1145" w:type="pct"/>
            <w:tcBorders>
              <w:top w:val="single" w:sz="4" w:space="0" w:color="auto"/>
              <w:left w:val="single" w:sz="4" w:space="0" w:color="auto"/>
              <w:bottom w:val="single" w:sz="4" w:space="0" w:color="auto"/>
              <w:right w:val="single" w:sz="4" w:space="0" w:color="auto"/>
            </w:tcBorders>
            <w:hideMark/>
          </w:tcPr>
          <w:p w:rsidR="005012C5" w14:paraId="57407C17" w14:textId="77777777">
            <w:pPr>
              <w:rPr>
                <w:bCs/>
              </w:rPr>
            </w:pPr>
            <w:r>
              <w:t>09.06.2026 plkst. 00:07</w:t>
            </w:r>
          </w:p>
        </w:tc>
        <w:tc>
          <w:tcPr>
            <w:tcW w:w="1352" w:type="pct"/>
            <w:tcBorders>
              <w:top w:val="single" w:sz="4" w:space="0" w:color="auto"/>
              <w:left w:val="single" w:sz="4" w:space="0" w:color="auto"/>
              <w:bottom w:val="single" w:sz="4" w:space="0" w:color="auto"/>
              <w:right w:val="single" w:sz="4" w:space="0" w:color="auto"/>
            </w:tcBorders>
          </w:tcPr>
          <w:p w:rsidR="005012C5" w14:paraId="5FE56C6C" w14:textId="77777777">
            <w:r>
              <w:t>EUR 8800.0</w:t>
            </w:r>
          </w:p>
          <w:p w:rsidR="005012C5" w14:paraId="7F7D64EA" w14:textId="77777777">
            <w:pPr>
              <w:rPr>
                <w:bCs/>
              </w:rPr>
            </w:pPr>
          </w:p>
        </w:tc>
        <w:tc>
          <w:tcPr>
            <w:tcW w:w="1300" w:type="pct"/>
            <w:tcBorders>
              <w:top w:val="single" w:sz="4" w:space="0" w:color="auto"/>
              <w:left w:val="single" w:sz="4" w:space="0" w:color="auto"/>
              <w:bottom w:val="single" w:sz="4" w:space="0" w:color="auto"/>
              <w:right w:val="single" w:sz="4" w:space="0" w:color="auto"/>
            </w:tcBorders>
          </w:tcPr>
          <w:p w:rsidR="005012C5" w14:paraId="0895649D" w14:textId="77777777">
            <w:r>
              <w:t>EUR 8800.0</w:t>
            </w:r>
          </w:p>
          <w:p w:rsidR="005012C5" w14:paraId="66419B66" w14:textId="77777777">
            <w:pPr>
              <w:rPr>
                <w:bCs/>
              </w:rPr>
            </w:pPr>
          </w:p>
        </w:tc>
      </w:tr>
    </w:tbl>
    <w:p w:rsidR="005012C5" w:rsidRPr="00992CEE" w:rsidP="005012C5" w14:paraId="6073E149" w14:textId="77777777">
      <w:pPr>
        <w:pStyle w:val="ListParagraph"/>
        <w:numPr>
          <w:ilvl w:val="1"/>
          <w:numId w:val="19"/>
        </w:numPr>
        <w:rPr>
          <w:rFonts w:ascii="Times New Roman" w:hAnsi="Times New Roman"/>
          <w:bCs/>
          <w:sz w:val="24"/>
          <w:szCs w:val="24"/>
          <w:lang w:val="lv-LV"/>
        </w:rPr>
      </w:pPr>
      <w:r w:rsidRPr="00992CEE">
        <w:rPr>
          <w:rFonts w:ascii="Times New Roman" w:hAnsi="Times New Roman"/>
          <w:bCs/>
          <w:sz w:val="24"/>
          <w:szCs w:val="24"/>
          <w:lang w:val="lv-LV"/>
        </w:rPr>
        <w:tab/>
        <w:t>Daļai Nr. 2 - Cenu informācijas sagatavošana tipveida būvtāmēs par inženierbūvēm, kas noteiktas Nolikumā.</w:t>
      </w:r>
    </w:p>
    <w:tbl>
      <w:tblPr>
        <w:tblStyle w:val="TableGrid"/>
        <w:tblW w:w="5000" w:type="pct"/>
        <w:tblLook w:val="04A0"/>
      </w:tblPr>
      <w:tblGrid>
        <w:gridCol w:w="2181"/>
        <w:gridCol w:w="2075"/>
        <w:gridCol w:w="2450"/>
        <w:gridCol w:w="2356"/>
      </w:tblGrid>
      <w:tr w14:paraId="368DFD70" w14:textId="77777777">
        <w:tblPrEx>
          <w:tblW w:w="5000" w:type="pct"/>
          <w:tblLook w:val="04A0"/>
        </w:tblPrEx>
        <w:tc>
          <w:tcPr>
            <w:tcW w:w="1203" w:type="pct"/>
            <w:tcBorders>
              <w:top w:val="single" w:sz="4" w:space="0" w:color="auto"/>
              <w:left w:val="single" w:sz="4" w:space="0" w:color="auto"/>
              <w:bottom w:val="single" w:sz="4" w:space="0" w:color="auto"/>
              <w:right w:val="single" w:sz="4" w:space="0" w:color="auto"/>
            </w:tcBorders>
            <w:shd w:val="pct10" w:color="auto" w:fill="auto"/>
            <w:hideMark/>
          </w:tcPr>
          <w:p w:rsidR="005012C5" w:rsidRPr="005012C5" w:rsidP="005012C5" w14:paraId="58968748" w14:textId="77777777">
            <w:pPr>
              <w:widowControl/>
              <w:tabs>
                <w:tab w:val="left" w:pos="1853"/>
              </w:tabs>
              <w:spacing w:after="0" w:line="240" w:lineRule="auto"/>
              <w:jc w:val="both"/>
              <w:rPr>
                <w:b/>
                <w:bCs/>
                <w:sz w:val="24"/>
                <w:szCs w:val="24"/>
                <w:u w:val="single"/>
                <w:lang w:val="lv-LV"/>
              </w:rPr>
            </w:pPr>
            <w:r w:rsidRPr="005012C5">
              <w:rPr>
                <w:b/>
                <w:bCs/>
                <w:sz w:val="24"/>
                <w:szCs w:val="24"/>
                <w:u w:val="single"/>
                <w:lang w:val="lv-LV"/>
              </w:rPr>
              <w:t>Pretendents</w:t>
            </w:r>
          </w:p>
        </w:tc>
        <w:tc>
          <w:tcPr>
            <w:tcW w:w="1145" w:type="pct"/>
            <w:tcBorders>
              <w:top w:val="single" w:sz="4" w:space="0" w:color="auto"/>
              <w:left w:val="single" w:sz="4" w:space="0" w:color="auto"/>
              <w:bottom w:val="single" w:sz="4" w:space="0" w:color="auto"/>
              <w:right w:val="single" w:sz="4" w:space="0" w:color="auto"/>
            </w:tcBorders>
            <w:shd w:val="pct10" w:color="auto" w:fill="auto"/>
            <w:hideMark/>
          </w:tcPr>
          <w:p w:rsidR="005012C5" w:rsidRPr="005012C5" w:rsidP="005012C5" w14:paraId="21D0C63A" w14:textId="77777777">
            <w:pPr>
              <w:widowControl/>
              <w:tabs>
                <w:tab w:val="left" w:pos="1853"/>
              </w:tabs>
              <w:spacing w:after="0" w:line="240" w:lineRule="auto"/>
              <w:jc w:val="both"/>
              <w:rPr>
                <w:b/>
                <w:bCs/>
                <w:sz w:val="24"/>
                <w:szCs w:val="24"/>
                <w:u w:val="single"/>
                <w:lang w:val="lv-LV"/>
              </w:rPr>
            </w:pPr>
            <w:r w:rsidRPr="005012C5">
              <w:rPr>
                <w:b/>
                <w:bCs/>
                <w:sz w:val="24"/>
                <w:szCs w:val="24"/>
                <w:u w:val="single"/>
                <w:lang w:val="lv-LV"/>
              </w:rPr>
              <w:t>Iesniegšanas datums un laiks</w:t>
            </w:r>
          </w:p>
        </w:tc>
        <w:tc>
          <w:tcPr>
            <w:tcW w:w="1352" w:type="pct"/>
            <w:tcBorders>
              <w:top w:val="single" w:sz="4" w:space="0" w:color="auto"/>
              <w:left w:val="single" w:sz="4" w:space="0" w:color="auto"/>
              <w:bottom w:val="single" w:sz="4" w:space="0" w:color="auto"/>
              <w:right w:val="single" w:sz="4" w:space="0" w:color="auto"/>
            </w:tcBorders>
            <w:shd w:val="pct10" w:color="auto" w:fill="auto"/>
            <w:hideMark/>
          </w:tcPr>
          <w:p w:rsidR="005012C5" w:rsidRPr="005012C5" w:rsidP="005012C5" w14:paraId="61515637" w14:textId="77777777">
            <w:pPr>
              <w:widowControl/>
              <w:tabs>
                <w:tab w:val="left" w:pos="1853"/>
              </w:tabs>
              <w:spacing w:after="0" w:line="240" w:lineRule="auto"/>
              <w:jc w:val="both"/>
              <w:rPr>
                <w:b/>
                <w:bCs/>
                <w:sz w:val="24"/>
                <w:szCs w:val="24"/>
                <w:u w:val="single"/>
                <w:lang w:val="lv-LV"/>
              </w:rPr>
            </w:pPr>
            <w:r w:rsidRPr="005012C5">
              <w:rPr>
                <w:b/>
                <w:sz w:val="24"/>
                <w:szCs w:val="24"/>
                <w:u w:val="single"/>
                <w:lang w:val="lv-LV"/>
              </w:rPr>
              <w:t>Cena bez PVN</w:t>
            </w:r>
          </w:p>
        </w:tc>
        <w:tc>
          <w:tcPr>
            <w:tcW w:w="1300" w:type="pct"/>
            <w:tcBorders>
              <w:top w:val="single" w:sz="4" w:space="0" w:color="auto"/>
              <w:left w:val="single" w:sz="4" w:space="0" w:color="auto"/>
              <w:bottom w:val="single" w:sz="4" w:space="0" w:color="auto"/>
              <w:right w:val="single" w:sz="4" w:space="0" w:color="auto"/>
            </w:tcBorders>
            <w:shd w:val="pct10" w:color="auto" w:fill="auto"/>
            <w:hideMark/>
          </w:tcPr>
          <w:p w:rsidR="005012C5" w:rsidRPr="005012C5" w:rsidP="005012C5" w14:paraId="08657033" w14:textId="77777777">
            <w:pPr>
              <w:widowControl/>
              <w:tabs>
                <w:tab w:val="left" w:pos="1853"/>
              </w:tabs>
              <w:spacing w:after="0" w:line="240" w:lineRule="auto"/>
              <w:jc w:val="both"/>
              <w:rPr>
                <w:b/>
                <w:bCs/>
                <w:sz w:val="24"/>
                <w:szCs w:val="24"/>
                <w:u w:val="single"/>
                <w:lang w:val="lv-LV"/>
              </w:rPr>
            </w:pPr>
            <w:r w:rsidRPr="005012C5">
              <w:rPr>
                <w:b/>
                <w:sz w:val="24"/>
                <w:szCs w:val="24"/>
                <w:u w:val="single"/>
                <w:lang w:val="lv-LV"/>
              </w:rPr>
              <w:t>Finanšu piedāvājums</w:t>
            </w:r>
          </w:p>
        </w:tc>
      </w:tr>
      <w:tr w14:paraId="73290D43" w14:textId="77777777">
        <w:tblPrEx>
          <w:tblW w:w="5000" w:type="pct"/>
          <w:tblLook w:val="04A0"/>
        </w:tblPrEx>
        <w:tc>
          <w:tcPr>
            <w:tcW w:w="1203" w:type="pct"/>
            <w:tcBorders>
              <w:top w:val="single" w:sz="4" w:space="0" w:color="auto"/>
              <w:left w:val="single" w:sz="4" w:space="0" w:color="auto"/>
              <w:bottom w:val="single" w:sz="4" w:space="0" w:color="auto"/>
              <w:right w:val="single" w:sz="4" w:space="0" w:color="auto"/>
            </w:tcBorders>
            <w:hideMark/>
          </w:tcPr>
          <w:p w:rsidR="005012C5" w:rsidRPr="005012C5" w:rsidP="005012C5" w14:paraId="00409246" w14:textId="77777777">
            <w:pPr>
              <w:widowControl/>
              <w:tabs>
                <w:tab w:val="left" w:pos="1853"/>
              </w:tabs>
              <w:spacing w:after="0" w:line="240" w:lineRule="auto"/>
              <w:jc w:val="both"/>
              <w:rPr>
                <w:bCs/>
                <w:sz w:val="24"/>
                <w:szCs w:val="24"/>
                <w:lang w:val="lv-LV"/>
              </w:rPr>
            </w:pPr>
            <w:r w:rsidRPr="005012C5">
              <w:rPr>
                <w:sz w:val="24"/>
                <w:szCs w:val="24"/>
                <w:lang w:val="lv-LV"/>
              </w:rPr>
              <w:t>SIA Berg Way</w:t>
            </w:r>
            <w:r w:rsidRPr="005012C5">
              <w:rPr>
                <w:bCs/>
                <w:sz w:val="24"/>
                <w:szCs w:val="24"/>
                <w:lang w:val="lv-LV"/>
              </w:rPr>
              <w:t xml:space="preserve"> </w:t>
            </w:r>
          </w:p>
        </w:tc>
        <w:tc>
          <w:tcPr>
            <w:tcW w:w="1145" w:type="pct"/>
            <w:tcBorders>
              <w:top w:val="single" w:sz="4" w:space="0" w:color="auto"/>
              <w:left w:val="single" w:sz="4" w:space="0" w:color="auto"/>
              <w:bottom w:val="single" w:sz="4" w:space="0" w:color="auto"/>
              <w:right w:val="single" w:sz="4" w:space="0" w:color="auto"/>
            </w:tcBorders>
            <w:hideMark/>
          </w:tcPr>
          <w:p w:rsidR="005012C5" w:rsidRPr="005012C5" w:rsidP="005012C5" w14:paraId="48384013" w14:textId="77777777">
            <w:pPr>
              <w:widowControl/>
              <w:tabs>
                <w:tab w:val="left" w:pos="1853"/>
              </w:tabs>
              <w:spacing w:after="0" w:line="240" w:lineRule="auto"/>
              <w:jc w:val="both"/>
              <w:rPr>
                <w:bCs/>
                <w:sz w:val="24"/>
                <w:szCs w:val="24"/>
                <w:lang w:val="lv-LV"/>
              </w:rPr>
            </w:pPr>
            <w:r w:rsidRPr="005012C5">
              <w:rPr>
                <w:sz w:val="24"/>
                <w:szCs w:val="24"/>
                <w:lang w:val="lv-LV"/>
              </w:rPr>
              <w:t>07.06.2026 plkst. 12:32</w:t>
            </w:r>
          </w:p>
        </w:tc>
        <w:tc>
          <w:tcPr>
            <w:tcW w:w="1352" w:type="pct"/>
            <w:tcBorders>
              <w:top w:val="single" w:sz="4" w:space="0" w:color="auto"/>
              <w:left w:val="single" w:sz="4" w:space="0" w:color="auto"/>
              <w:bottom w:val="single" w:sz="4" w:space="0" w:color="auto"/>
              <w:right w:val="single" w:sz="4" w:space="0" w:color="auto"/>
            </w:tcBorders>
          </w:tcPr>
          <w:p w:rsidR="005012C5" w:rsidRPr="005012C5" w:rsidP="005012C5" w14:paraId="30FEFF08" w14:textId="77777777">
            <w:pPr>
              <w:widowControl/>
              <w:tabs>
                <w:tab w:val="left" w:pos="1853"/>
              </w:tabs>
              <w:spacing w:after="0" w:line="240" w:lineRule="auto"/>
              <w:jc w:val="both"/>
              <w:rPr>
                <w:sz w:val="24"/>
                <w:szCs w:val="24"/>
                <w:lang w:val="lv-LV"/>
              </w:rPr>
            </w:pPr>
            <w:r w:rsidRPr="005012C5">
              <w:rPr>
                <w:sz w:val="24"/>
                <w:szCs w:val="24"/>
                <w:lang w:val="lv-LV"/>
              </w:rPr>
              <w:t>EUR 7540.0</w:t>
            </w:r>
          </w:p>
          <w:p w:rsidR="005012C5" w:rsidRPr="005012C5" w:rsidP="005012C5" w14:paraId="418AADDF" w14:textId="77777777">
            <w:pPr>
              <w:widowControl/>
              <w:tabs>
                <w:tab w:val="left" w:pos="1853"/>
              </w:tabs>
              <w:spacing w:after="0" w:line="240" w:lineRule="auto"/>
              <w:jc w:val="both"/>
              <w:rPr>
                <w:bCs/>
                <w:sz w:val="24"/>
                <w:szCs w:val="24"/>
                <w:lang w:val="lv-LV"/>
              </w:rPr>
            </w:pPr>
          </w:p>
        </w:tc>
        <w:tc>
          <w:tcPr>
            <w:tcW w:w="1300" w:type="pct"/>
            <w:tcBorders>
              <w:top w:val="single" w:sz="4" w:space="0" w:color="auto"/>
              <w:left w:val="single" w:sz="4" w:space="0" w:color="auto"/>
              <w:bottom w:val="single" w:sz="4" w:space="0" w:color="auto"/>
              <w:right w:val="single" w:sz="4" w:space="0" w:color="auto"/>
            </w:tcBorders>
          </w:tcPr>
          <w:p w:rsidR="005012C5" w:rsidRPr="005012C5" w:rsidP="005012C5" w14:paraId="003D274C" w14:textId="77777777">
            <w:pPr>
              <w:widowControl/>
              <w:tabs>
                <w:tab w:val="left" w:pos="1853"/>
              </w:tabs>
              <w:spacing w:after="0" w:line="240" w:lineRule="auto"/>
              <w:jc w:val="both"/>
              <w:rPr>
                <w:sz w:val="24"/>
                <w:szCs w:val="24"/>
                <w:lang w:val="lv-LV"/>
              </w:rPr>
            </w:pPr>
            <w:r w:rsidRPr="005012C5">
              <w:rPr>
                <w:sz w:val="24"/>
                <w:szCs w:val="24"/>
                <w:lang w:val="lv-LV"/>
              </w:rPr>
              <w:t>EUR 7540.0</w:t>
            </w:r>
          </w:p>
          <w:p w:rsidR="005012C5" w:rsidRPr="005012C5" w:rsidP="005012C5" w14:paraId="45193592" w14:textId="77777777">
            <w:pPr>
              <w:widowControl/>
              <w:tabs>
                <w:tab w:val="left" w:pos="1853"/>
              </w:tabs>
              <w:spacing w:after="0" w:line="240" w:lineRule="auto"/>
              <w:jc w:val="both"/>
              <w:rPr>
                <w:bCs/>
                <w:sz w:val="24"/>
                <w:szCs w:val="24"/>
                <w:lang w:val="lv-LV"/>
              </w:rPr>
            </w:pPr>
          </w:p>
        </w:tc>
      </w:tr>
    </w:tbl>
    <w:p w:rsidR="00A3207F" w:rsidP="005012C5" w14:paraId="31EF37EA" w14:textId="08EEA8CC">
      <w:pPr>
        <w:widowControl/>
        <w:tabs>
          <w:tab w:val="left" w:pos="1853"/>
        </w:tabs>
        <w:spacing w:after="0" w:line="240" w:lineRule="auto"/>
        <w:jc w:val="both"/>
        <w:rPr>
          <w:rFonts w:ascii="Times New Roman" w:hAnsi="Times New Roman"/>
          <w:sz w:val="24"/>
          <w:szCs w:val="24"/>
          <w:u w:val="single"/>
          <w:lang w:val="lv-LV"/>
        </w:rPr>
      </w:pPr>
    </w:p>
    <w:p w:rsidR="005012C5" w:rsidP="00A022EA" w14:paraId="2C091AD8" w14:textId="77777777">
      <w:pPr>
        <w:widowControl/>
        <w:spacing w:after="0" w:line="240" w:lineRule="auto"/>
        <w:jc w:val="both"/>
        <w:rPr>
          <w:rFonts w:ascii="Times New Roman" w:hAnsi="Times New Roman"/>
          <w:sz w:val="24"/>
          <w:szCs w:val="24"/>
          <w:u w:val="single"/>
          <w:lang w:val="lv-LV"/>
        </w:rPr>
      </w:pPr>
    </w:p>
    <w:p w:rsidR="002E2416" w:rsidRPr="00CC7CF7" w:rsidP="002E2416" w14:paraId="6E1C7C35" w14:textId="77C64828">
      <w:pPr>
        <w:pStyle w:val="BodyText"/>
        <w:numPr>
          <w:ilvl w:val="0"/>
          <w:numId w:val="12"/>
        </w:numPr>
        <w:tabs>
          <w:tab w:val="num" w:pos="426"/>
          <w:tab w:val="clear" w:pos="720"/>
        </w:tabs>
        <w:spacing w:after="120"/>
        <w:ind w:left="426" w:hanging="426"/>
        <w:jc w:val="both"/>
        <w:rPr>
          <w:lang w:val="lv-LV"/>
        </w:rPr>
      </w:pPr>
      <w:r w:rsidRPr="00CC7CF7">
        <w:rPr>
          <w:lang w:val="lv-LV"/>
        </w:rPr>
        <w:t>Komisija izvērtē pretendent</w:t>
      </w:r>
      <w:r w:rsidR="005012C5">
        <w:rPr>
          <w:lang w:val="lv-LV"/>
        </w:rPr>
        <w:t>u</w:t>
      </w:r>
      <w:r w:rsidRPr="00CC7CF7">
        <w:rPr>
          <w:lang w:val="lv-LV"/>
        </w:rPr>
        <w:t xml:space="preserve"> iesniegto</w:t>
      </w:r>
      <w:r w:rsidR="004E58D8">
        <w:rPr>
          <w:lang w:val="lv-LV"/>
        </w:rPr>
        <w:t>s</w:t>
      </w:r>
      <w:r w:rsidRPr="00CC7CF7">
        <w:rPr>
          <w:lang w:val="lv-LV"/>
        </w:rPr>
        <w:t xml:space="preserve"> piedāvājumu</w:t>
      </w:r>
      <w:r w:rsidR="004E58D8">
        <w:rPr>
          <w:lang w:val="lv-LV"/>
        </w:rPr>
        <w:t>s</w:t>
      </w:r>
      <w:r w:rsidRPr="00CC7CF7">
        <w:rPr>
          <w:lang w:val="lv-LV"/>
        </w:rPr>
        <w:t xml:space="preserve"> un konstatē, ka t</w:t>
      </w:r>
      <w:r w:rsidR="005012C5">
        <w:rPr>
          <w:lang w:val="lv-LV"/>
        </w:rPr>
        <w:t>ie</w:t>
      </w:r>
      <w:r w:rsidRPr="00CC7CF7">
        <w:rPr>
          <w:lang w:val="lv-LV"/>
        </w:rPr>
        <w:t xml:space="preserve"> atbilst visām iepirkuma CSP </w:t>
      </w:r>
      <w:r>
        <w:rPr>
          <w:lang w:val="lv-LV"/>
        </w:rPr>
        <w:t>2026/0</w:t>
      </w:r>
      <w:r w:rsidR="005012C5">
        <w:rPr>
          <w:lang w:val="lv-LV"/>
        </w:rPr>
        <w:t>2</w:t>
      </w:r>
      <w:r w:rsidRPr="00CC7CF7">
        <w:rPr>
          <w:lang w:val="lv-LV"/>
        </w:rPr>
        <w:t xml:space="preserve"> nolikumā izvirzītajām prasībām. Komisija pārbauda pretendent</w:t>
      </w:r>
      <w:r w:rsidR="005012C5">
        <w:rPr>
          <w:lang w:val="lv-LV"/>
        </w:rPr>
        <w:t>u</w:t>
      </w:r>
      <w:r w:rsidRPr="00CC7CF7">
        <w:rPr>
          <w:lang w:val="lv-LV"/>
        </w:rPr>
        <w:t xml:space="preserve"> finanšu piedāvājum</w:t>
      </w:r>
      <w:r w:rsidR="005012C5">
        <w:rPr>
          <w:lang w:val="lv-LV"/>
        </w:rPr>
        <w:t>os</w:t>
      </w:r>
      <w:r w:rsidRPr="00CC7CF7">
        <w:rPr>
          <w:lang w:val="lv-LV"/>
        </w:rPr>
        <w:t xml:space="preserve"> aritmētiskās kļūdas un </w:t>
      </w:r>
      <w:r>
        <w:rPr>
          <w:lang w:val="lv-LV"/>
        </w:rPr>
        <w:t>ne</w:t>
      </w:r>
      <w:r w:rsidRPr="00CC7CF7">
        <w:rPr>
          <w:lang w:val="lv-LV"/>
        </w:rPr>
        <w:t xml:space="preserve">konstatē </w:t>
      </w:r>
      <w:r>
        <w:rPr>
          <w:lang w:val="lv-LV"/>
        </w:rPr>
        <w:t>tās.</w:t>
      </w:r>
    </w:p>
    <w:p w:rsidR="005012C5" w:rsidP="002E2416" w14:paraId="27125181" w14:textId="0EBEC936">
      <w:pPr>
        <w:pStyle w:val="BodyText"/>
        <w:numPr>
          <w:ilvl w:val="0"/>
          <w:numId w:val="12"/>
        </w:numPr>
        <w:tabs>
          <w:tab w:val="num" w:pos="426"/>
          <w:tab w:val="clear" w:pos="720"/>
        </w:tabs>
        <w:spacing w:after="120"/>
        <w:ind w:left="426" w:hanging="426"/>
        <w:jc w:val="both"/>
        <w:rPr>
          <w:lang w:val="lv-LV"/>
        </w:rPr>
      </w:pPr>
      <w:r w:rsidRPr="00CD5BD0">
        <w:rPr>
          <w:lang w:val="lv-LV"/>
        </w:rPr>
        <w:t>Komisija novērtē pretendent</w:t>
      </w:r>
      <w:r w:rsidR="004E58D8">
        <w:rPr>
          <w:lang w:val="lv-LV"/>
        </w:rPr>
        <w:t>u</w:t>
      </w:r>
      <w:r w:rsidRPr="00CD5BD0">
        <w:rPr>
          <w:lang w:val="lv-LV"/>
        </w:rPr>
        <w:t xml:space="preserve"> piedāvājumu</w:t>
      </w:r>
      <w:r w:rsidR="004E58D8">
        <w:rPr>
          <w:lang w:val="lv-LV"/>
        </w:rPr>
        <w:t>s</w:t>
      </w:r>
      <w:r w:rsidRPr="00CD5BD0">
        <w:rPr>
          <w:lang w:val="lv-LV"/>
        </w:rPr>
        <w:t xml:space="preserve"> un konstatē, ka līguma slēgšanas tiesības</w:t>
      </w:r>
      <w:r>
        <w:rPr>
          <w:lang w:val="lv-LV"/>
        </w:rPr>
        <w:t xml:space="preserve"> piešķiramas:</w:t>
      </w:r>
    </w:p>
    <w:p w:rsidR="002E2416" w:rsidP="005012C5" w14:paraId="55D5E10F" w14:textId="564F4F05">
      <w:pPr>
        <w:pStyle w:val="BodyText"/>
        <w:numPr>
          <w:ilvl w:val="1"/>
          <w:numId w:val="20"/>
        </w:numPr>
        <w:tabs>
          <w:tab w:val="num" w:pos="426"/>
        </w:tabs>
        <w:spacing w:after="120"/>
        <w:jc w:val="both"/>
        <w:rPr>
          <w:lang w:val="lv-LV"/>
        </w:rPr>
      </w:pPr>
      <w:r w:rsidRPr="00CD5BD0">
        <w:rPr>
          <w:lang w:val="lv-LV"/>
        </w:rPr>
        <w:t xml:space="preserve"> iepirkum</w:t>
      </w:r>
      <w:r w:rsidR="00992CEE">
        <w:rPr>
          <w:lang w:val="lv-LV"/>
        </w:rPr>
        <w:t>a</w:t>
      </w:r>
      <w:r w:rsidRPr="00CD5BD0">
        <w:rPr>
          <w:lang w:val="lv-LV"/>
        </w:rPr>
        <w:t xml:space="preserve"> CSP </w:t>
      </w:r>
      <w:r>
        <w:rPr>
          <w:lang w:val="lv-LV"/>
        </w:rPr>
        <w:t>2026/0</w:t>
      </w:r>
      <w:r w:rsidR="005012C5">
        <w:rPr>
          <w:lang w:val="lv-LV"/>
        </w:rPr>
        <w:t>2 1. daļā</w:t>
      </w:r>
      <w:r w:rsidRPr="00CD5BD0">
        <w:rPr>
          <w:lang w:val="lv-LV"/>
        </w:rPr>
        <w:t xml:space="preserve"> </w:t>
      </w:r>
      <w:r w:rsidRPr="006F0B89">
        <w:rPr>
          <w:b/>
          <w:bCs/>
          <w:lang w:val="lv-LV"/>
        </w:rPr>
        <w:t>SIA “</w:t>
      </w:r>
      <w:r w:rsidR="005012C5">
        <w:rPr>
          <w:b/>
          <w:bCs/>
          <w:lang w:val="lv-LV"/>
        </w:rPr>
        <w:t>NORTHPROJECT</w:t>
      </w:r>
      <w:r w:rsidRPr="006F0B89">
        <w:rPr>
          <w:b/>
          <w:bCs/>
          <w:lang w:val="lv-LV"/>
        </w:rPr>
        <w:t>”</w:t>
      </w:r>
      <w:r w:rsidRPr="006F0B89">
        <w:rPr>
          <w:lang w:val="lv-LV"/>
        </w:rPr>
        <w:t>, jo tā</w:t>
      </w:r>
      <w:r w:rsidR="00992CEE">
        <w:rPr>
          <w:lang w:val="lv-LV"/>
        </w:rPr>
        <w:t>s</w:t>
      </w:r>
      <w:r w:rsidRPr="006F0B89">
        <w:rPr>
          <w:lang w:val="lv-LV"/>
        </w:rPr>
        <w:t xml:space="preserve"> piedāvājums atbilst visām iepirkumā CSP </w:t>
      </w:r>
      <w:r>
        <w:rPr>
          <w:lang w:val="lv-LV"/>
        </w:rPr>
        <w:t>2026/0</w:t>
      </w:r>
      <w:r w:rsidR="005012C5">
        <w:rPr>
          <w:lang w:val="lv-LV"/>
        </w:rPr>
        <w:t>2</w:t>
      </w:r>
      <w:r w:rsidRPr="006F0B89">
        <w:rPr>
          <w:lang w:val="lv-LV"/>
        </w:rPr>
        <w:t xml:space="preserve"> izvirzītajām prasībām</w:t>
      </w:r>
      <w:r w:rsidR="005012C5">
        <w:rPr>
          <w:lang w:val="lv-LV"/>
        </w:rPr>
        <w:t>;</w:t>
      </w:r>
    </w:p>
    <w:p w:rsidR="005012C5" w:rsidP="005012C5" w14:paraId="4E60C383" w14:textId="39053C71">
      <w:pPr>
        <w:pStyle w:val="BodyText"/>
        <w:numPr>
          <w:ilvl w:val="1"/>
          <w:numId w:val="20"/>
        </w:numPr>
        <w:tabs>
          <w:tab w:val="num" w:pos="426"/>
        </w:tabs>
        <w:spacing w:after="120"/>
        <w:jc w:val="both"/>
        <w:rPr>
          <w:lang w:val="lv-LV"/>
        </w:rPr>
      </w:pPr>
      <w:r w:rsidRPr="00CD5BD0">
        <w:rPr>
          <w:lang w:val="lv-LV"/>
        </w:rPr>
        <w:t>iepirkum</w:t>
      </w:r>
      <w:r w:rsidR="00992CEE">
        <w:rPr>
          <w:lang w:val="lv-LV"/>
        </w:rPr>
        <w:t>a</w:t>
      </w:r>
      <w:r w:rsidRPr="00CD5BD0">
        <w:rPr>
          <w:lang w:val="lv-LV"/>
        </w:rPr>
        <w:t xml:space="preserve"> CSP </w:t>
      </w:r>
      <w:r>
        <w:rPr>
          <w:lang w:val="lv-LV"/>
        </w:rPr>
        <w:t>2026/02 2. daļā</w:t>
      </w:r>
      <w:r w:rsidRPr="00CD5BD0">
        <w:rPr>
          <w:lang w:val="lv-LV"/>
        </w:rPr>
        <w:t xml:space="preserve"> </w:t>
      </w:r>
      <w:r w:rsidRPr="006F0B89">
        <w:rPr>
          <w:b/>
          <w:bCs/>
          <w:lang w:val="lv-LV"/>
        </w:rPr>
        <w:t>SIA “</w:t>
      </w:r>
      <w:r>
        <w:rPr>
          <w:b/>
          <w:bCs/>
          <w:lang w:val="lv-LV"/>
        </w:rPr>
        <w:t>Berg Way</w:t>
      </w:r>
      <w:r w:rsidRPr="006F0B89">
        <w:rPr>
          <w:b/>
          <w:bCs/>
          <w:lang w:val="lv-LV"/>
        </w:rPr>
        <w:t>”</w:t>
      </w:r>
      <w:r w:rsidRPr="006F0B89">
        <w:rPr>
          <w:lang w:val="lv-LV"/>
        </w:rPr>
        <w:t>, jo tā</w:t>
      </w:r>
      <w:r w:rsidR="004E58D8">
        <w:rPr>
          <w:lang w:val="lv-LV"/>
        </w:rPr>
        <w:t>s</w:t>
      </w:r>
      <w:r w:rsidRPr="006F0B89">
        <w:rPr>
          <w:lang w:val="lv-LV"/>
        </w:rPr>
        <w:t xml:space="preserve"> piedāvājums atbilst visām iepirkumā CSP </w:t>
      </w:r>
      <w:r>
        <w:rPr>
          <w:lang w:val="lv-LV"/>
        </w:rPr>
        <w:t>2026/02</w:t>
      </w:r>
      <w:r w:rsidRPr="006F0B89">
        <w:rPr>
          <w:lang w:val="lv-LV"/>
        </w:rPr>
        <w:t xml:space="preserve"> izvirzītajām prasībām</w:t>
      </w:r>
      <w:r>
        <w:rPr>
          <w:lang w:val="lv-LV"/>
        </w:rPr>
        <w:t>.</w:t>
      </w:r>
    </w:p>
    <w:p w:rsidR="002E2416" w:rsidRPr="008E634B" w:rsidP="002E2416" w14:paraId="0927D432" w14:textId="6F35A044">
      <w:pPr>
        <w:pStyle w:val="BodyText"/>
        <w:numPr>
          <w:ilvl w:val="0"/>
          <w:numId w:val="12"/>
        </w:numPr>
        <w:tabs>
          <w:tab w:val="num" w:pos="426"/>
          <w:tab w:val="clear" w:pos="720"/>
        </w:tabs>
        <w:spacing w:after="120"/>
        <w:ind w:left="426" w:hanging="426"/>
        <w:jc w:val="both"/>
        <w:rPr>
          <w:lang w:val="lv-LV"/>
        </w:rPr>
      </w:pPr>
      <w:r w:rsidRPr="00CD5BD0">
        <w:rPr>
          <w:lang w:val="lv-LV"/>
        </w:rPr>
        <w:t xml:space="preserve">Lai pārbaudītu, vai </w:t>
      </w:r>
      <w:r w:rsidRPr="006F0B89">
        <w:rPr>
          <w:b/>
          <w:bCs/>
          <w:lang w:val="lv-LV"/>
        </w:rPr>
        <w:t>SIA “</w:t>
      </w:r>
      <w:r w:rsidR="00987608">
        <w:rPr>
          <w:b/>
          <w:bCs/>
          <w:lang w:val="lv-LV"/>
        </w:rPr>
        <w:t>NORTHPROJECT</w:t>
      </w:r>
      <w:r w:rsidRPr="006F0B89">
        <w:rPr>
          <w:b/>
          <w:bCs/>
          <w:lang w:val="lv-LV"/>
        </w:rPr>
        <w:t>”</w:t>
      </w:r>
      <w:r w:rsidR="00987608">
        <w:rPr>
          <w:b/>
          <w:bCs/>
          <w:lang w:val="lv-LV"/>
        </w:rPr>
        <w:t xml:space="preserve"> </w:t>
      </w:r>
      <w:r w:rsidRPr="00987608" w:rsidR="00987608">
        <w:rPr>
          <w:lang w:val="lv-LV"/>
        </w:rPr>
        <w:t>un</w:t>
      </w:r>
      <w:r w:rsidR="00987608">
        <w:rPr>
          <w:b/>
          <w:bCs/>
          <w:lang w:val="lv-LV"/>
        </w:rPr>
        <w:t xml:space="preserve"> </w:t>
      </w:r>
      <w:r w:rsidRPr="006F0B89" w:rsidR="00987608">
        <w:rPr>
          <w:b/>
          <w:bCs/>
          <w:lang w:val="lv-LV"/>
        </w:rPr>
        <w:t>SIA “</w:t>
      </w:r>
      <w:r w:rsidR="00987608">
        <w:rPr>
          <w:b/>
          <w:bCs/>
          <w:lang w:val="lv-LV"/>
        </w:rPr>
        <w:t>Berg Way</w:t>
      </w:r>
      <w:r w:rsidRPr="006F0B89" w:rsidR="00987608">
        <w:rPr>
          <w:b/>
          <w:bCs/>
          <w:lang w:val="lv-LV"/>
        </w:rPr>
        <w:t>”</w:t>
      </w:r>
      <w:r w:rsidRPr="006F0B89" w:rsidR="00987608">
        <w:rPr>
          <w:lang w:val="lv-LV"/>
        </w:rPr>
        <w:t xml:space="preserve"> </w:t>
      </w:r>
      <w:r w:rsidRPr="00CD5BD0">
        <w:rPr>
          <w:lang w:val="lv-LV"/>
        </w:rPr>
        <w:t xml:space="preserve">neatbilst Publisko iepirkumu likuma </w:t>
      </w:r>
      <w:r w:rsidRPr="00F6549B">
        <w:rPr>
          <w:lang w:val="lv-LV"/>
        </w:rPr>
        <w:t xml:space="preserve">9. </w:t>
      </w:r>
      <w:r w:rsidRPr="008E634B">
        <w:rPr>
          <w:lang w:val="lv-LV"/>
        </w:rPr>
        <w:t>panta astotajā daļā noteiktajiem pretendenta izslēgšanas nosacījumiem</w:t>
      </w:r>
      <w:r w:rsidRPr="008E634B">
        <w:rPr>
          <w:bCs/>
          <w:lang w:val="lv-LV"/>
        </w:rPr>
        <w:t>:</w:t>
      </w:r>
    </w:p>
    <w:p w:rsidR="002E2416" w:rsidRPr="008E634B" w:rsidP="002E2416" w14:paraId="58042A2D" w14:textId="77777777">
      <w:pPr>
        <w:pStyle w:val="ListParagraph"/>
        <w:widowControl/>
        <w:numPr>
          <w:ilvl w:val="0"/>
          <w:numId w:val="18"/>
        </w:numPr>
        <w:spacing w:after="120" w:line="240" w:lineRule="auto"/>
        <w:contextualSpacing w:val="0"/>
        <w:jc w:val="both"/>
        <w:rPr>
          <w:rFonts w:ascii="Times New Roman" w:eastAsia="Times New Roman" w:hAnsi="Times New Roman"/>
          <w:vanish/>
          <w:sz w:val="24"/>
          <w:szCs w:val="24"/>
          <w:lang w:val="lv-LV"/>
        </w:rPr>
      </w:pPr>
    </w:p>
    <w:p w:rsidR="002E2416" w:rsidRPr="008E634B" w:rsidP="002E2416" w14:paraId="32D2DA0A" w14:textId="77777777">
      <w:pPr>
        <w:pStyle w:val="ListParagraph"/>
        <w:widowControl/>
        <w:numPr>
          <w:ilvl w:val="0"/>
          <w:numId w:val="18"/>
        </w:numPr>
        <w:spacing w:after="120" w:line="240" w:lineRule="auto"/>
        <w:contextualSpacing w:val="0"/>
        <w:jc w:val="both"/>
        <w:rPr>
          <w:rFonts w:ascii="Times New Roman" w:eastAsia="Times New Roman" w:hAnsi="Times New Roman"/>
          <w:vanish/>
          <w:sz w:val="24"/>
          <w:szCs w:val="24"/>
          <w:lang w:val="lv-LV"/>
        </w:rPr>
      </w:pPr>
    </w:p>
    <w:p w:rsidR="002E2416" w:rsidRPr="008E634B" w:rsidP="002E2416" w14:paraId="5E03755E" w14:textId="77777777">
      <w:pPr>
        <w:pStyle w:val="ListParagraph"/>
        <w:widowControl/>
        <w:numPr>
          <w:ilvl w:val="0"/>
          <w:numId w:val="18"/>
        </w:numPr>
        <w:spacing w:after="120" w:line="240" w:lineRule="auto"/>
        <w:contextualSpacing w:val="0"/>
        <w:jc w:val="both"/>
        <w:rPr>
          <w:rFonts w:ascii="Times New Roman" w:eastAsia="Times New Roman" w:hAnsi="Times New Roman"/>
          <w:vanish/>
          <w:sz w:val="24"/>
          <w:szCs w:val="24"/>
          <w:lang w:val="lv-LV"/>
        </w:rPr>
      </w:pPr>
    </w:p>
    <w:p w:rsidR="002E2416" w:rsidRPr="008E634B" w:rsidP="002E2416" w14:paraId="45BA78C8" w14:textId="77777777">
      <w:pPr>
        <w:pStyle w:val="ListParagraph"/>
        <w:widowControl/>
        <w:numPr>
          <w:ilvl w:val="0"/>
          <w:numId w:val="18"/>
        </w:numPr>
        <w:spacing w:after="120" w:line="240" w:lineRule="auto"/>
        <w:contextualSpacing w:val="0"/>
        <w:jc w:val="both"/>
        <w:rPr>
          <w:rFonts w:ascii="Times New Roman" w:eastAsia="Times New Roman" w:hAnsi="Times New Roman"/>
          <w:vanish/>
          <w:sz w:val="24"/>
          <w:szCs w:val="24"/>
          <w:lang w:val="lv-LV"/>
        </w:rPr>
      </w:pPr>
    </w:p>
    <w:p w:rsidR="002E2416" w:rsidRPr="0060148D" w:rsidP="002E2416" w14:paraId="1DB85E22" w14:textId="3D8AB65D">
      <w:pPr>
        <w:pStyle w:val="ListParagraph"/>
        <w:widowControl/>
        <w:numPr>
          <w:ilvl w:val="1"/>
          <w:numId w:val="18"/>
        </w:numPr>
        <w:spacing w:after="120" w:line="240" w:lineRule="auto"/>
        <w:contextualSpacing w:val="0"/>
        <w:jc w:val="both"/>
        <w:rPr>
          <w:rFonts w:ascii="Times New Roman" w:hAnsi="Times New Roman"/>
          <w:sz w:val="24"/>
          <w:szCs w:val="24"/>
          <w:lang w:val="lv-LV"/>
        </w:rPr>
      </w:pPr>
      <w:r w:rsidRPr="0060148D">
        <w:rPr>
          <w:rFonts w:ascii="Times New Roman" w:hAnsi="Times New Roman"/>
          <w:bCs/>
          <w:sz w:val="24"/>
          <w:szCs w:val="24"/>
          <w:lang w:val="lv-LV"/>
        </w:rPr>
        <w:t xml:space="preserve">Komisija </w:t>
      </w:r>
      <w:r w:rsidRPr="0060148D">
        <w:rPr>
          <w:rFonts w:ascii="Times New Roman" w:hAnsi="Times New Roman"/>
          <w:sz w:val="24"/>
          <w:szCs w:val="24"/>
          <w:lang w:val="lv-LV"/>
        </w:rPr>
        <w:t xml:space="preserve">iegūst informāciju no tīmekļa vietnē </w:t>
      </w:r>
      <w:hyperlink r:id="rId4" w:history="1">
        <w:r w:rsidRPr="0060148D">
          <w:rPr>
            <w:rStyle w:val="Hyperlink"/>
            <w:rFonts w:ascii="Times New Roman" w:hAnsi="Times New Roman"/>
            <w:sz w:val="24"/>
            <w:szCs w:val="24"/>
            <w:lang w:val="lv-LV"/>
          </w:rPr>
          <w:t>www.eis.gov.lv</w:t>
        </w:r>
      </w:hyperlink>
      <w:r w:rsidRPr="0060148D">
        <w:rPr>
          <w:rFonts w:ascii="Times New Roman" w:hAnsi="Times New Roman"/>
          <w:sz w:val="24"/>
          <w:szCs w:val="24"/>
          <w:lang w:val="lv-LV"/>
        </w:rPr>
        <w:t xml:space="preserve"> esošās apakšsistēmas „E-izziņas” un konstatē, ka </w:t>
      </w:r>
      <w:r w:rsidRPr="00987608" w:rsidR="00987608">
        <w:rPr>
          <w:rFonts w:ascii="Times New Roman" w:hAnsi="Times New Roman"/>
          <w:b/>
          <w:bCs/>
          <w:sz w:val="24"/>
          <w:szCs w:val="24"/>
          <w:lang w:val="lv-LV"/>
        </w:rPr>
        <w:t xml:space="preserve">SIA “NORTHPROJECT” </w:t>
      </w:r>
      <w:r w:rsidRPr="00987608" w:rsidR="00987608">
        <w:rPr>
          <w:rFonts w:ascii="Times New Roman" w:hAnsi="Times New Roman"/>
          <w:sz w:val="24"/>
          <w:szCs w:val="24"/>
          <w:lang w:val="lv-LV"/>
        </w:rPr>
        <w:t>un</w:t>
      </w:r>
      <w:r w:rsidRPr="00987608" w:rsidR="00987608">
        <w:rPr>
          <w:rFonts w:ascii="Times New Roman" w:hAnsi="Times New Roman"/>
          <w:b/>
          <w:bCs/>
          <w:sz w:val="24"/>
          <w:szCs w:val="24"/>
          <w:lang w:val="lv-LV"/>
        </w:rPr>
        <w:t xml:space="preserve"> SIA “Berg Way”</w:t>
      </w:r>
      <w:r w:rsidR="00987608">
        <w:rPr>
          <w:rFonts w:ascii="Times New Roman" w:hAnsi="Times New Roman"/>
          <w:sz w:val="24"/>
          <w:szCs w:val="24"/>
          <w:lang w:val="lv-LV"/>
        </w:rPr>
        <w:t xml:space="preserve"> </w:t>
      </w:r>
      <w:r w:rsidRPr="0060148D">
        <w:rPr>
          <w:rFonts w:ascii="Times New Roman" w:hAnsi="Times New Roman"/>
          <w:sz w:val="24"/>
          <w:szCs w:val="24"/>
          <w:lang w:val="lv-LV"/>
        </w:rPr>
        <w:t>neatbilst Publisko iepirkumu 42. panta otrās daļas 1., 2., 3., un 4. punktā minētajiem pretendenta izslēgšanas nosacījumiem.</w:t>
      </w:r>
    </w:p>
    <w:p w:rsidR="002E2416" w:rsidRPr="008E634B" w:rsidP="002E2416" w14:paraId="45001126" w14:textId="2A1BC131">
      <w:pPr>
        <w:pStyle w:val="ListParagraph"/>
        <w:widowControl/>
        <w:numPr>
          <w:ilvl w:val="1"/>
          <w:numId w:val="18"/>
        </w:numPr>
        <w:spacing w:after="120" w:line="240" w:lineRule="auto"/>
        <w:contextualSpacing w:val="0"/>
        <w:jc w:val="both"/>
        <w:rPr>
          <w:rFonts w:ascii="Times New Roman" w:hAnsi="Times New Roman"/>
          <w:sz w:val="24"/>
          <w:szCs w:val="24"/>
          <w:lang w:val="lv-LV"/>
        </w:rPr>
      </w:pPr>
      <w:r w:rsidRPr="008E634B">
        <w:rPr>
          <w:rFonts w:ascii="Times New Roman" w:hAnsi="Times New Roman"/>
          <w:sz w:val="24"/>
          <w:szCs w:val="24"/>
          <w:lang w:val="lv-LV"/>
        </w:rPr>
        <w:t xml:space="preserve">Komisija konstatē, ka </w:t>
      </w:r>
      <w:r w:rsidRPr="00987608" w:rsidR="00987608">
        <w:rPr>
          <w:rFonts w:ascii="Times New Roman" w:hAnsi="Times New Roman"/>
          <w:b/>
          <w:bCs/>
          <w:sz w:val="24"/>
          <w:szCs w:val="24"/>
          <w:lang w:val="lv-LV"/>
        </w:rPr>
        <w:t xml:space="preserve">SIA “NORTHPROJECT” </w:t>
      </w:r>
      <w:r w:rsidRPr="00987608" w:rsidR="00987608">
        <w:rPr>
          <w:rFonts w:ascii="Times New Roman" w:hAnsi="Times New Roman"/>
          <w:sz w:val="24"/>
          <w:szCs w:val="24"/>
          <w:lang w:val="lv-LV"/>
        </w:rPr>
        <w:t>un</w:t>
      </w:r>
      <w:r w:rsidRPr="00987608" w:rsidR="00987608">
        <w:rPr>
          <w:rFonts w:ascii="Times New Roman" w:hAnsi="Times New Roman"/>
          <w:b/>
          <w:bCs/>
          <w:sz w:val="24"/>
          <w:szCs w:val="24"/>
          <w:lang w:val="lv-LV"/>
        </w:rPr>
        <w:t xml:space="preserve"> SIA “Berg Way”</w:t>
      </w:r>
      <w:r w:rsidR="00987608">
        <w:rPr>
          <w:rFonts w:ascii="Times New Roman" w:hAnsi="Times New Roman"/>
          <w:b/>
          <w:bCs/>
          <w:sz w:val="24"/>
          <w:szCs w:val="24"/>
          <w:lang w:val="lv-LV"/>
        </w:rPr>
        <w:t xml:space="preserve"> </w:t>
      </w:r>
      <w:r w:rsidRPr="008E634B">
        <w:rPr>
          <w:rFonts w:ascii="Times New Roman" w:hAnsi="Times New Roman"/>
          <w:sz w:val="24"/>
          <w:szCs w:val="24"/>
          <w:lang w:val="lv-LV"/>
        </w:rPr>
        <w:t>neatbilst Publisko iepirkumu likuma 42. panta otrās daļas 11. punktā noteiktajam pretendenta izslēgšanas nosacījumam.</w:t>
      </w:r>
    </w:p>
    <w:p w:rsidR="002E2416" w:rsidP="002E2416" w14:paraId="2E9EADA1" w14:textId="78039362">
      <w:pPr>
        <w:pStyle w:val="BodyText"/>
        <w:numPr>
          <w:ilvl w:val="0"/>
          <w:numId w:val="12"/>
        </w:numPr>
        <w:tabs>
          <w:tab w:val="num" w:pos="426"/>
          <w:tab w:val="clear" w:pos="720"/>
        </w:tabs>
        <w:spacing w:after="120"/>
        <w:ind w:left="425" w:hanging="425"/>
        <w:jc w:val="both"/>
        <w:rPr>
          <w:lang w:val="lv-LV"/>
        </w:rPr>
      </w:pPr>
      <w:r w:rsidRPr="008E634B">
        <w:rPr>
          <w:lang w:val="lv-LV"/>
        </w:rPr>
        <w:t>Komisija, pārbaudot informāciju saskaņā ar Iepirkumu uzraudzības</w:t>
      </w:r>
      <w:r w:rsidRPr="00CD5BD0">
        <w:rPr>
          <w:lang w:val="lv-LV"/>
        </w:rPr>
        <w:t xml:space="preserve"> biroja skaidrojumiem, kas publicēti tīmekļa vietnē: </w:t>
      </w:r>
      <w:hyperlink r:id="rId5" w:history="1">
        <w:r w:rsidRPr="00CD5BD0">
          <w:rPr>
            <w:rStyle w:val="Hyperlink"/>
            <w:lang w:val="lv-LV"/>
          </w:rPr>
          <w:t>https://www.iub.gov.lv/lv/skaidrojums-sankciju-piemerosana-publiskajos-iepirkumos</w:t>
        </w:r>
      </w:hyperlink>
      <w:r w:rsidRPr="00CD5BD0">
        <w:rPr>
          <w:lang w:val="lv-LV"/>
        </w:rPr>
        <w:t xml:space="preserve">, konstatē, ka </w:t>
      </w:r>
      <w:r w:rsidRPr="00987608" w:rsidR="00987608">
        <w:rPr>
          <w:b/>
          <w:bCs/>
          <w:lang w:val="lv-LV"/>
        </w:rPr>
        <w:t xml:space="preserve">SIA “NORTHPROJECT” </w:t>
      </w:r>
      <w:r w:rsidRPr="00987608" w:rsidR="00987608">
        <w:rPr>
          <w:lang w:val="lv-LV"/>
        </w:rPr>
        <w:t>un</w:t>
      </w:r>
      <w:r w:rsidRPr="00987608" w:rsidR="00987608">
        <w:rPr>
          <w:b/>
          <w:bCs/>
          <w:lang w:val="lv-LV"/>
        </w:rPr>
        <w:t xml:space="preserve"> SIA “Berg Way”</w:t>
      </w:r>
      <w:r w:rsidR="00987608">
        <w:rPr>
          <w:b/>
          <w:bCs/>
          <w:lang w:val="lv-LV"/>
        </w:rPr>
        <w:t xml:space="preserve"> </w:t>
      </w:r>
      <w:r w:rsidRPr="00CD5BD0">
        <w:rPr>
          <w:lang w:val="lv-LV"/>
        </w:rPr>
        <w:t>neatbilst Starptautisko un Latvijas Republikas nacionālo sankciju likuma 11.</w:t>
      </w:r>
      <w:r w:rsidRPr="00CD5BD0">
        <w:rPr>
          <w:vertAlign w:val="superscript"/>
          <w:lang w:val="lv-LV"/>
        </w:rPr>
        <w:t>1</w:t>
      </w:r>
      <w:r w:rsidRPr="00CD5BD0">
        <w:rPr>
          <w:lang w:val="lv-LV"/>
        </w:rPr>
        <w:t xml:space="preserve"> </w:t>
      </w:r>
      <w:r w:rsidRPr="00CD5BD0">
        <w:rPr>
          <w:lang w:val="lv-LV"/>
        </w:rPr>
        <w:t>pantā noteiktajiem izslēgšanas nosacījumiem.</w:t>
      </w:r>
      <w:r>
        <w:rPr>
          <w:lang w:val="lv-LV"/>
        </w:rPr>
        <w:t xml:space="preserve"> </w:t>
      </w:r>
      <w:r w:rsidRPr="00BF11EA">
        <w:rPr>
          <w:lang w:val="lv-LV"/>
        </w:rPr>
        <w:t xml:space="preserve">Komisija, veicot pārbaudi firmas.lv datu bāzē, konstatē, ka </w:t>
      </w:r>
      <w:r w:rsidRPr="00987608" w:rsidR="00987608">
        <w:rPr>
          <w:b/>
          <w:bCs/>
          <w:lang w:val="lv-LV"/>
        </w:rPr>
        <w:t xml:space="preserve">SIA “NORTHPROJECT” </w:t>
      </w:r>
      <w:r w:rsidRPr="00987608" w:rsidR="00987608">
        <w:rPr>
          <w:lang w:val="lv-LV"/>
        </w:rPr>
        <w:t>un</w:t>
      </w:r>
      <w:r w:rsidRPr="00987608" w:rsidR="00987608">
        <w:rPr>
          <w:b/>
          <w:bCs/>
          <w:lang w:val="lv-LV"/>
        </w:rPr>
        <w:t xml:space="preserve"> SIA “Berg Way”</w:t>
      </w:r>
      <w:r w:rsidR="00987608">
        <w:rPr>
          <w:b/>
          <w:bCs/>
          <w:lang w:val="lv-LV"/>
        </w:rPr>
        <w:t xml:space="preserve"> </w:t>
      </w:r>
      <w:r w:rsidRPr="00BF11EA">
        <w:rPr>
          <w:lang w:val="lv-LV"/>
        </w:rPr>
        <w:t>neatbilst Padomes Regulas (ES) Nr. 833/2014 5k pantā noteiktajam attiecībā uz aizliegumu piešķirt publiskus līgumus.</w:t>
      </w:r>
    </w:p>
    <w:p w:rsidR="002E2416" w:rsidRPr="00CD5BD0" w:rsidP="00CD2BBB" w14:paraId="1877D6A0" w14:textId="77777777">
      <w:pPr>
        <w:pStyle w:val="BodyText"/>
        <w:spacing w:after="120"/>
        <w:rPr>
          <w:b/>
          <w:lang w:val="lv-LV"/>
        </w:rPr>
      </w:pPr>
      <w:r w:rsidRPr="00CD5BD0">
        <w:rPr>
          <w:b/>
          <w:lang w:val="lv-LV"/>
        </w:rPr>
        <w:t>Lēmums</w:t>
      </w:r>
    </w:p>
    <w:p w:rsidR="00987608" w:rsidP="00CD2BBB" w14:paraId="772860BC" w14:textId="63141018">
      <w:pPr>
        <w:pStyle w:val="BodyText"/>
        <w:spacing w:after="120"/>
        <w:jc w:val="both"/>
        <w:rPr>
          <w:lang w:val="lv-LV"/>
        </w:rPr>
      </w:pPr>
      <w:r w:rsidRPr="00CD5BD0">
        <w:rPr>
          <w:lang w:val="lv-LV"/>
        </w:rPr>
        <w:t>Ņemot vērā visā vērtēšanas procesā konstatēto un nolemto, Komisija saskaņā ar Publisko iepirkumu likuma 9.</w:t>
      </w:r>
      <w:r w:rsidRPr="00CD5BD0">
        <w:rPr>
          <w:vertAlign w:val="superscript"/>
          <w:lang w:val="lv-LV"/>
        </w:rPr>
        <w:t xml:space="preserve"> </w:t>
      </w:r>
      <w:r w:rsidRPr="00CD5BD0">
        <w:rPr>
          <w:lang w:val="lv-LV"/>
        </w:rPr>
        <w:t xml:space="preserve">panta septīto un trīspadsmito daļu un iepirkuma CSP </w:t>
      </w:r>
      <w:r>
        <w:rPr>
          <w:lang w:val="lv-LV"/>
        </w:rPr>
        <w:t>2026/0</w:t>
      </w:r>
      <w:r>
        <w:rPr>
          <w:lang w:val="lv-LV"/>
        </w:rPr>
        <w:t>2</w:t>
      </w:r>
      <w:r w:rsidRPr="00CD5BD0">
        <w:rPr>
          <w:lang w:val="lv-LV"/>
        </w:rPr>
        <w:t xml:space="preserve"> piedāvājuma izvēles kritēriju par iepirkuma CSP </w:t>
      </w:r>
      <w:r>
        <w:rPr>
          <w:lang w:val="lv-LV"/>
        </w:rPr>
        <w:t>2026/0</w:t>
      </w:r>
      <w:r>
        <w:rPr>
          <w:lang w:val="lv-LV"/>
        </w:rPr>
        <w:t xml:space="preserve">2 </w:t>
      </w:r>
      <w:r w:rsidRPr="00CD5BD0">
        <w:rPr>
          <w:lang w:val="lv-LV"/>
        </w:rPr>
        <w:t>uzvarētāju atzīst</w:t>
      </w:r>
      <w:r>
        <w:rPr>
          <w:lang w:val="lv-LV"/>
        </w:rPr>
        <w:t>:</w:t>
      </w:r>
    </w:p>
    <w:p w:rsidR="002E2416" w:rsidP="00987608" w14:paraId="4871897F" w14:textId="47A57CD7">
      <w:pPr>
        <w:pStyle w:val="BodyText"/>
        <w:numPr>
          <w:ilvl w:val="0"/>
          <w:numId w:val="21"/>
        </w:numPr>
        <w:spacing w:after="120"/>
        <w:jc w:val="both"/>
        <w:rPr>
          <w:bCs/>
          <w:lang w:val="lv-LV"/>
        </w:rPr>
      </w:pPr>
      <w:r>
        <w:rPr>
          <w:lang w:val="lv-LV"/>
        </w:rPr>
        <w:t xml:space="preserve">Iepirkuma CSP 2026/02 1.daļā - </w:t>
      </w:r>
      <w:r w:rsidRPr="006F0B89">
        <w:rPr>
          <w:b/>
          <w:bCs/>
          <w:lang w:val="lv-LV"/>
        </w:rPr>
        <w:t>SIA “</w:t>
      </w:r>
      <w:r>
        <w:rPr>
          <w:b/>
          <w:bCs/>
          <w:lang w:val="lv-LV"/>
        </w:rPr>
        <w:t>NORTHPROJECT</w:t>
      </w:r>
      <w:r w:rsidRPr="006F0B89">
        <w:rPr>
          <w:b/>
          <w:bCs/>
          <w:lang w:val="lv-LV"/>
        </w:rPr>
        <w:t>”</w:t>
      </w:r>
      <w:r w:rsidRPr="006F0B89">
        <w:rPr>
          <w:lang w:val="lv-LV"/>
        </w:rPr>
        <w:t xml:space="preserve">, </w:t>
      </w:r>
      <w:r w:rsidRPr="00CD5BD0">
        <w:rPr>
          <w:bCs/>
          <w:lang w:val="lv-LV"/>
        </w:rPr>
        <w:t>jo tā</w:t>
      </w:r>
      <w:r>
        <w:rPr>
          <w:bCs/>
          <w:lang w:val="lv-LV"/>
        </w:rPr>
        <w:t>s</w:t>
      </w:r>
      <w:r w:rsidRPr="00CD5BD0">
        <w:rPr>
          <w:bCs/>
          <w:lang w:val="lv-LV"/>
        </w:rPr>
        <w:t xml:space="preserve"> piedāvājums atbilst visām iepirkumā CSP </w:t>
      </w:r>
      <w:r>
        <w:rPr>
          <w:lang w:val="lv-LV"/>
        </w:rPr>
        <w:t>2026/0</w:t>
      </w:r>
      <w:r>
        <w:rPr>
          <w:lang w:val="lv-LV"/>
        </w:rPr>
        <w:t>2</w:t>
      </w:r>
      <w:r w:rsidRPr="00CD5BD0">
        <w:rPr>
          <w:lang w:val="lv-LV"/>
        </w:rPr>
        <w:t xml:space="preserve"> </w:t>
      </w:r>
      <w:r w:rsidRPr="00CD5BD0">
        <w:rPr>
          <w:bCs/>
          <w:lang w:val="lv-LV"/>
        </w:rPr>
        <w:t xml:space="preserve">izvirzītajām prasībām un ir saimnieciski visizdevīgākais, proti, finanšu piedāvājums ir ar viszemāko </w:t>
      </w:r>
      <w:r>
        <w:rPr>
          <w:b/>
          <w:lang w:val="lv-LV"/>
        </w:rPr>
        <w:t>8800</w:t>
      </w:r>
      <w:r w:rsidR="004E58D8">
        <w:rPr>
          <w:b/>
          <w:lang w:val="lv-LV"/>
        </w:rPr>
        <w:t>.</w:t>
      </w:r>
      <w:r>
        <w:rPr>
          <w:b/>
          <w:lang w:val="lv-LV"/>
        </w:rPr>
        <w:t>00</w:t>
      </w:r>
      <w:r>
        <w:rPr>
          <w:b/>
          <w:lang w:val="lv-LV"/>
        </w:rPr>
        <w:t xml:space="preserve"> </w:t>
      </w:r>
      <w:r w:rsidRPr="00866384">
        <w:rPr>
          <w:b/>
          <w:lang w:val="lv-LV"/>
        </w:rPr>
        <w:t>EUR bez PVN</w:t>
      </w:r>
      <w:r>
        <w:rPr>
          <w:b/>
          <w:lang w:val="lv-LV"/>
        </w:rPr>
        <w:t xml:space="preserve"> </w:t>
      </w:r>
      <w:r>
        <w:rPr>
          <w:bCs/>
          <w:lang w:val="lv-LV"/>
        </w:rPr>
        <w:t>un tās piedāvājums nav izslēgts no dalības iepirkumā</w:t>
      </w:r>
      <w:r>
        <w:rPr>
          <w:bCs/>
          <w:lang w:val="lv-LV"/>
        </w:rPr>
        <w:t>;</w:t>
      </w:r>
    </w:p>
    <w:p w:rsidR="00987608" w:rsidP="00987608" w14:paraId="211CC32C" w14:textId="276ACF75">
      <w:pPr>
        <w:pStyle w:val="BodyText"/>
        <w:numPr>
          <w:ilvl w:val="0"/>
          <w:numId w:val="21"/>
        </w:numPr>
        <w:spacing w:after="120"/>
        <w:jc w:val="both"/>
        <w:rPr>
          <w:bCs/>
          <w:lang w:val="lv-LV"/>
        </w:rPr>
      </w:pPr>
      <w:r>
        <w:rPr>
          <w:lang w:val="lv-LV"/>
        </w:rPr>
        <w:t xml:space="preserve">Iepirkuma CSP 2026/02 2.daļā - </w:t>
      </w:r>
      <w:r w:rsidRPr="006F0B89">
        <w:rPr>
          <w:b/>
          <w:bCs/>
          <w:lang w:val="lv-LV"/>
        </w:rPr>
        <w:t>SIA “</w:t>
      </w:r>
      <w:r>
        <w:rPr>
          <w:b/>
          <w:bCs/>
          <w:lang w:val="lv-LV"/>
        </w:rPr>
        <w:t>Berg Way</w:t>
      </w:r>
      <w:r w:rsidRPr="006F0B89">
        <w:rPr>
          <w:b/>
          <w:bCs/>
          <w:lang w:val="lv-LV"/>
        </w:rPr>
        <w:t>”</w:t>
      </w:r>
      <w:r w:rsidRPr="006F0B89">
        <w:rPr>
          <w:lang w:val="lv-LV"/>
        </w:rPr>
        <w:t xml:space="preserve">, </w:t>
      </w:r>
      <w:r w:rsidRPr="00CD5BD0">
        <w:rPr>
          <w:bCs/>
          <w:lang w:val="lv-LV"/>
        </w:rPr>
        <w:t>jo tā</w:t>
      </w:r>
      <w:r>
        <w:rPr>
          <w:bCs/>
          <w:lang w:val="lv-LV"/>
        </w:rPr>
        <w:t>s</w:t>
      </w:r>
      <w:r w:rsidRPr="00CD5BD0">
        <w:rPr>
          <w:bCs/>
          <w:lang w:val="lv-LV"/>
        </w:rPr>
        <w:t xml:space="preserve"> piedāvājums atbilst visām iepirkumā CSP </w:t>
      </w:r>
      <w:r>
        <w:rPr>
          <w:lang w:val="lv-LV"/>
        </w:rPr>
        <w:t>2026/02</w:t>
      </w:r>
      <w:r w:rsidRPr="00CD5BD0">
        <w:rPr>
          <w:lang w:val="lv-LV"/>
        </w:rPr>
        <w:t xml:space="preserve"> </w:t>
      </w:r>
      <w:r w:rsidRPr="00CD5BD0">
        <w:rPr>
          <w:bCs/>
          <w:lang w:val="lv-LV"/>
        </w:rPr>
        <w:t xml:space="preserve">izvirzītajām prasībām un ir saimnieciski visizdevīgākais, proti, finanšu piedāvājums ir ar viszemāko </w:t>
      </w:r>
      <w:r>
        <w:rPr>
          <w:b/>
          <w:lang w:val="lv-LV"/>
        </w:rPr>
        <w:t>7540</w:t>
      </w:r>
      <w:r w:rsidR="004E58D8">
        <w:rPr>
          <w:b/>
          <w:lang w:val="lv-LV"/>
        </w:rPr>
        <w:t>.</w:t>
      </w:r>
      <w:r>
        <w:rPr>
          <w:b/>
          <w:lang w:val="lv-LV"/>
        </w:rPr>
        <w:t xml:space="preserve">00 </w:t>
      </w:r>
      <w:r w:rsidRPr="00866384">
        <w:rPr>
          <w:b/>
          <w:lang w:val="lv-LV"/>
        </w:rPr>
        <w:t>EUR bez PVN</w:t>
      </w:r>
      <w:r>
        <w:rPr>
          <w:b/>
          <w:lang w:val="lv-LV"/>
        </w:rPr>
        <w:t xml:space="preserve"> </w:t>
      </w:r>
      <w:r>
        <w:rPr>
          <w:bCs/>
          <w:lang w:val="lv-LV"/>
        </w:rPr>
        <w:t>un tās piedāvājums nav izslēgts no dalības iepirkumā;</w:t>
      </w:r>
    </w:p>
    <w:p w:rsidR="002E2416" w:rsidRPr="00CD5BD0" w:rsidP="002E2416" w14:paraId="1CF7C52A" w14:textId="77777777">
      <w:pPr>
        <w:pStyle w:val="ListParagraph"/>
        <w:widowControl/>
        <w:spacing w:after="120" w:line="240" w:lineRule="auto"/>
        <w:ind w:left="0"/>
        <w:contextualSpacing w:val="0"/>
        <w:jc w:val="both"/>
        <w:rPr>
          <w:rFonts w:ascii="Times New Roman" w:hAnsi="Times New Roman"/>
          <w:sz w:val="24"/>
          <w:szCs w:val="24"/>
          <w:lang w:val="lv-LV"/>
        </w:rPr>
      </w:pPr>
      <w:r w:rsidRPr="00CD5BD0">
        <w:rPr>
          <w:rFonts w:ascii="Times New Roman" w:hAnsi="Times New Roman"/>
          <w:i/>
          <w:sz w:val="24"/>
          <w:szCs w:val="24"/>
          <w:lang w:val="lv-LV"/>
        </w:rPr>
        <w:t>Pretendents, kurš iesniedzis piedāvājumu iepirkumā, uz ko attiecas Publisko iepirkumu likuma 9. panta noteikumi, un kurš uzskata, ka ir aizskartas tā tiesības vai ir iespējams šo tiesību aizskārums, ir tiesīgs pārsūdzēt šo lēmumu Administratīvajā rajona tiesā Administratīvā procesa likumā noteiktajā kārtībā mēneša laikā no lēmuma saņemšanas dienas.</w:t>
      </w:r>
    </w:p>
    <w:tbl>
      <w:tblPr>
        <w:tblW w:w="8988" w:type="dxa"/>
        <w:tblLayout w:type="fixed"/>
        <w:tblLook w:val="0000"/>
      </w:tblPr>
      <w:tblGrid>
        <w:gridCol w:w="6379"/>
        <w:gridCol w:w="2609"/>
      </w:tblGrid>
      <w:tr w14:paraId="32178B13" w14:textId="77777777" w:rsidTr="00C54835">
        <w:tblPrEx>
          <w:tblW w:w="8988" w:type="dxa"/>
          <w:tblLayout w:type="fixed"/>
          <w:tblLook w:val="0000"/>
        </w:tblPrEx>
        <w:trPr>
          <w:trHeight w:val="156"/>
        </w:trPr>
        <w:tc>
          <w:tcPr>
            <w:tcW w:w="6379" w:type="dxa"/>
          </w:tcPr>
          <w:p w:rsidR="00DF46AA" w:rsidRPr="002D4E65" w:rsidP="00C54835" w14:paraId="54AEFA33" w14:textId="77777777">
            <w:pPr>
              <w:tabs>
                <w:tab w:val="num" w:pos="0"/>
              </w:tabs>
              <w:spacing w:after="0"/>
              <w:rPr>
                <w:rFonts w:ascii="Times New Roman" w:hAnsi="Times New Roman"/>
                <w:lang w:val="lv-LV"/>
              </w:rPr>
            </w:pPr>
          </w:p>
        </w:tc>
        <w:tc>
          <w:tcPr>
            <w:tcW w:w="2609" w:type="dxa"/>
          </w:tcPr>
          <w:p w:rsidR="00DF46AA" w:rsidRPr="002D4E65" w:rsidP="00C54835" w14:paraId="57C16A4A" w14:textId="77777777">
            <w:pPr>
              <w:tabs>
                <w:tab w:val="num" w:pos="0"/>
              </w:tabs>
              <w:spacing w:after="0"/>
              <w:rPr>
                <w:rFonts w:ascii="Times New Roman" w:hAnsi="Times New Roman"/>
                <w:lang w:val="lv-LV"/>
              </w:rPr>
            </w:pPr>
          </w:p>
        </w:tc>
      </w:tr>
    </w:tbl>
    <w:p w:rsidR="00B43E08" w:rsidRPr="00B97359" w:rsidP="00B43E08" w14:paraId="3BE44952" w14:textId="59D9004E">
      <w:pPr>
        <w:pStyle w:val="BodyText"/>
        <w:tabs>
          <w:tab w:val="num" w:pos="0"/>
        </w:tabs>
        <w:spacing w:after="60"/>
        <w:jc w:val="both"/>
        <w:rPr>
          <w:sz w:val="20"/>
          <w:szCs w:val="20"/>
          <w:lang w:val="lv-LV"/>
        </w:rPr>
      </w:pPr>
      <w:r w:rsidRPr="00B97359">
        <w:rPr>
          <w:sz w:val="20"/>
          <w:szCs w:val="20"/>
          <w:lang w:val="lv-LV"/>
        </w:rPr>
        <w:t xml:space="preserve">Protokols pievienots iepirkumu lietā CSP </w:t>
      </w:r>
      <w:r w:rsidR="00A523BB">
        <w:rPr>
          <w:sz w:val="20"/>
          <w:szCs w:val="20"/>
          <w:lang w:val="lv-LV"/>
        </w:rPr>
        <w:t>2026</w:t>
      </w:r>
      <w:r w:rsidRPr="00B97359">
        <w:rPr>
          <w:sz w:val="20"/>
          <w:szCs w:val="20"/>
          <w:lang w:val="lv-LV"/>
        </w:rPr>
        <w:t>/0</w:t>
      </w:r>
      <w:r w:rsidR="00987608">
        <w:rPr>
          <w:sz w:val="20"/>
          <w:szCs w:val="20"/>
          <w:lang w:val="lv-LV"/>
        </w:rPr>
        <w:t>2</w:t>
      </w:r>
      <w:r w:rsidRPr="00B97359">
        <w:rPr>
          <w:sz w:val="20"/>
          <w:szCs w:val="20"/>
          <w:lang w:val="lv-LV"/>
        </w:rPr>
        <w:t>.</w:t>
      </w:r>
    </w:p>
    <w:p w:rsidR="00B43E08" w:rsidRPr="00C36D0C" w:rsidP="00B43E08" w14:paraId="3727A850" w14:textId="4EF6DA69">
      <w:pPr>
        <w:pStyle w:val="BodyText2"/>
        <w:spacing w:line="240" w:lineRule="auto"/>
        <w:jc w:val="both"/>
        <w:rPr>
          <w:rFonts w:ascii="Times New Roman" w:hAnsi="Times New Roman"/>
          <w:sz w:val="20"/>
          <w:szCs w:val="20"/>
          <w:lang w:val="lv-LV"/>
        </w:rPr>
      </w:pPr>
      <w:r w:rsidRPr="00B97359">
        <w:rPr>
          <w:rFonts w:ascii="Times New Roman" w:hAnsi="Times New Roman"/>
          <w:sz w:val="20"/>
          <w:szCs w:val="20"/>
          <w:lang w:val="lv-LV"/>
        </w:rPr>
        <w:t xml:space="preserve">Sēdi slēdz: </w:t>
      </w:r>
      <w:r w:rsidR="00987608">
        <w:rPr>
          <w:rFonts w:ascii="Times New Roman" w:hAnsi="Times New Roman"/>
          <w:sz w:val="20"/>
          <w:szCs w:val="20"/>
          <w:lang w:val="lv-LV"/>
        </w:rPr>
        <w:t>12.06</w:t>
      </w:r>
      <w:r w:rsidRPr="00B97359">
        <w:rPr>
          <w:rFonts w:ascii="Times New Roman" w:hAnsi="Times New Roman"/>
          <w:sz w:val="20"/>
          <w:szCs w:val="20"/>
          <w:lang w:val="lv-LV"/>
        </w:rPr>
        <w:t>.</w:t>
      </w:r>
      <w:r w:rsidR="00A523BB">
        <w:rPr>
          <w:rFonts w:ascii="Times New Roman" w:hAnsi="Times New Roman"/>
          <w:sz w:val="20"/>
          <w:szCs w:val="20"/>
          <w:lang w:val="lv-LV"/>
        </w:rPr>
        <w:t>2026</w:t>
      </w:r>
      <w:r w:rsidRPr="00B97359">
        <w:rPr>
          <w:rFonts w:ascii="Times New Roman" w:hAnsi="Times New Roman"/>
          <w:sz w:val="20"/>
          <w:szCs w:val="20"/>
          <w:lang w:val="lv-LV"/>
        </w:rPr>
        <w:t>. plkst. 17:00</w:t>
      </w:r>
    </w:p>
    <w:tbl>
      <w:tblPr>
        <w:tblW w:w="8988" w:type="dxa"/>
        <w:tblLayout w:type="fixed"/>
        <w:tblLook w:val="0000"/>
      </w:tblPr>
      <w:tblGrid>
        <w:gridCol w:w="6379"/>
        <w:gridCol w:w="2609"/>
      </w:tblGrid>
      <w:tr w14:paraId="0277DA11" w14:textId="77777777" w:rsidTr="005A3961">
        <w:tblPrEx>
          <w:tblW w:w="8988" w:type="dxa"/>
          <w:tblLayout w:type="fixed"/>
          <w:tblLook w:val="0000"/>
        </w:tblPrEx>
        <w:trPr>
          <w:trHeight w:val="156"/>
        </w:trPr>
        <w:tc>
          <w:tcPr>
            <w:tcW w:w="6379" w:type="dxa"/>
          </w:tcPr>
          <w:p w:rsidR="00B43E08" w:rsidP="005A3961" w14:paraId="14E262FC" w14:textId="77777777">
            <w:pPr>
              <w:tabs>
                <w:tab w:val="num" w:pos="0"/>
              </w:tabs>
              <w:spacing w:after="0"/>
              <w:rPr>
                <w:rFonts w:ascii="Times New Roman" w:hAnsi="Times New Roman"/>
                <w:lang w:val="lv-LV"/>
              </w:rPr>
            </w:pPr>
          </w:p>
          <w:p w:rsidR="00497250" w:rsidRPr="00C36D0C" w:rsidP="005A3961" w14:paraId="0770E533" w14:textId="77777777">
            <w:pPr>
              <w:tabs>
                <w:tab w:val="num" w:pos="0"/>
              </w:tabs>
              <w:spacing w:after="0"/>
              <w:rPr>
                <w:rFonts w:ascii="Times New Roman" w:hAnsi="Times New Roman"/>
                <w:lang w:val="lv-LV"/>
              </w:rPr>
            </w:pPr>
          </w:p>
        </w:tc>
        <w:tc>
          <w:tcPr>
            <w:tcW w:w="2609" w:type="dxa"/>
          </w:tcPr>
          <w:p w:rsidR="00B43E08" w:rsidRPr="00C36D0C" w:rsidP="005A3961" w14:paraId="11158ABB" w14:textId="77777777">
            <w:pPr>
              <w:tabs>
                <w:tab w:val="num" w:pos="0"/>
              </w:tabs>
              <w:spacing w:after="0"/>
              <w:rPr>
                <w:rFonts w:ascii="Times New Roman" w:hAnsi="Times New Roman"/>
                <w:lang w:val="lv-LV"/>
              </w:rPr>
            </w:pPr>
          </w:p>
        </w:tc>
      </w:tr>
      <w:tr w14:paraId="0302D3F1" w14:textId="77777777" w:rsidTr="005A3961">
        <w:tblPrEx>
          <w:tblW w:w="8988" w:type="dxa"/>
          <w:tblLayout w:type="fixed"/>
          <w:tblLook w:val="0000"/>
        </w:tblPrEx>
        <w:trPr>
          <w:trHeight w:val="2878"/>
        </w:trPr>
        <w:tc>
          <w:tcPr>
            <w:tcW w:w="6379" w:type="dxa"/>
          </w:tcPr>
          <w:p w:rsidR="00B43E08" w:rsidRPr="00C36D0C" w:rsidP="005A3961" w14:paraId="4AF55F25" w14:textId="77777777">
            <w:pPr>
              <w:tabs>
                <w:tab w:val="num" w:pos="0"/>
              </w:tabs>
              <w:spacing w:before="120" w:after="120"/>
              <w:rPr>
                <w:rFonts w:ascii="Times New Roman" w:hAnsi="Times New Roman"/>
                <w:sz w:val="24"/>
                <w:szCs w:val="24"/>
                <w:lang w:val="lv-LV"/>
              </w:rPr>
            </w:pPr>
            <w:r w:rsidRPr="00C36D0C">
              <w:rPr>
                <w:rFonts w:ascii="Times New Roman" w:hAnsi="Times New Roman"/>
                <w:sz w:val="24"/>
                <w:szCs w:val="24"/>
                <w:lang w:val="lv-LV"/>
              </w:rPr>
              <w:t>Komisijas locekļi:</w:t>
            </w:r>
          </w:p>
          <w:p w:rsidR="00B43E08" w:rsidRPr="00C36D0C" w:rsidP="005A3961" w14:paraId="424FE549" w14:textId="77777777">
            <w:pPr>
              <w:tabs>
                <w:tab w:val="num" w:pos="0"/>
              </w:tabs>
              <w:spacing w:before="120" w:after="120"/>
              <w:rPr>
                <w:rFonts w:ascii="Times New Roman" w:hAnsi="Times New Roman"/>
                <w:sz w:val="24"/>
                <w:szCs w:val="24"/>
                <w:lang w:val="lv-LV"/>
              </w:rPr>
            </w:pPr>
          </w:p>
          <w:p w:rsidR="00B43E08" w:rsidRPr="00C36D0C" w:rsidP="005A3961" w14:paraId="0E1C0002" w14:textId="77777777">
            <w:pPr>
              <w:tabs>
                <w:tab w:val="num" w:pos="0"/>
              </w:tabs>
              <w:spacing w:before="120" w:after="120"/>
              <w:rPr>
                <w:rFonts w:ascii="Times New Roman" w:hAnsi="Times New Roman"/>
                <w:sz w:val="24"/>
                <w:szCs w:val="24"/>
                <w:lang w:val="lv-LV"/>
              </w:rPr>
            </w:pPr>
          </w:p>
          <w:p w:rsidR="00B43E08" w:rsidRPr="00C36D0C" w:rsidP="005A3961" w14:paraId="63390213" w14:textId="77777777">
            <w:pPr>
              <w:tabs>
                <w:tab w:val="num" w:pos="0"/>
              </w:tabs>
              <w:spacing w:before="120" w:after="120"/>
              <w:rPr>
                <w:rFonts w:ascii="Times New Roman" w:hAnsi="Times New Roman"/>
                <w:sz w:val="24"/>
                <w:szCs w:val="24"/>
                <w:lang w:val="lv-LV"/>
              </w:rPr>
            </w:pPr>
          </w:p>
          <w:p w:rsidR="00B43E08" w:rsidRPr="00C36D0C" w:rsidP="005A3961" w14:paraId="1D117955" w14:textId="77777777">
            <w:pPr>
              <w:tabs>
                <w:tab w:val="num" w:pos="0"/>
              </w:tabs>
              <w:spacing w:after="0" w:line="240" w:lineRule="auto"/>
              <w:rPr>
                <w:rFonts w:ascii="Times New Roman" w:hAnsi="Times New Roman"/>
                <w:sz w:val="24"/>
                <w:szCs w:val="24"/>
                <w:lang w:val="lv-LV"/>
              </w:rPr>
            </w:pPr>
          </w:p>
          <w:p w:rsidR="00B43E08" w:rsidRPr="00C36D0C" w:rsidP="005A3961" w14:paraId="426870F8" w14:textId="77777777">
            <w:pPr>
              <w:tabs>
                <w:tab w:val="num" w:pos="0"/>
              </w:tabs>
              <w:spacing w:after="0" w:line="240" w:lineRule="auto"/>
              <w:rPr>
                <w:rFonts w:ascii="Times New Roman" w:hAnsi="Times New Roman"/>
                <w:sz w:val="24"/>
                <w:szCs w:val="24"/>
                <w:lang w:val="lv-LV"/>
              </w:rPr>
            </w:pPr>
          </w:p>
          <w:p w:rsidR="00B43E08" w:rsidRPr="00C36D0C" w:rsidP="005A3961" w14:paraId="3BC2B1AF" w14:textId="77777777">
            <w:pPr>
              <w:tabs>
                <w:tab w:val="num" w:pos="0"/>
              </w:tabs>
              <w:spacing w:after="0" w:line="240" w:lineRule="auto"/>
              <w:rPr>
                <w:rFonts w:ascii="Times New Roman" w:hAnsi="Times New Roman"/>
                <w:sz w:val="24"/>
                <w:szCs w:val="24"/>
                <w:lang w:val="lv-LV"/>
              </w:rPr>
            </w:pPr>
          </w:p>
          <w:p w:rsidR="00B43E08" w:rsidRPr="00C36D0C" w:rsidP="005A3961" w14:paraId="37276D60" w14:textId="77777777">
            <w:pPr>
              <w:tabs>
                <w:tab w:val="num" w:pos="0"/>
              </w:tabs>
              <w:spacing w:after="0" w:line="240" w:lineRule="auto"/>
              <w:rPr>
                <w:rFonts w:ascii="Times New Roman" w:hAnsi="Times New Roman"/>
                <w:sz w:val="24"/>
                <w:szCs w:val="24"/>
                <w:lang w:val="lv-LV"/>
              </w:rPr>
            </w:pPr>
          </w:p>
          <w:p w:rsidR="00510568" w:rsidP="005A3961" w14:paraId="40799924" w14:textId="77777777">
            <w:pPr>
              <w:tabs>
                <w:tab w:val="num" w:pos="0"/>
              </w:tabs>
              <w:spacing w:after="0" w:line="240" w:lineRule="auto"/>
              <w:rPr>
                <w:rFonts w:ascii="Times New Roman" w:hAnsi="Times New Roman"/>
                <w:sz w:val="24"/>
                <w:szCs w:val="24"/>
                <w:lang w:val="lv-LV"/>
              </w:rPr>
            </w:pPr>
          </w:p>
          <w:p w:rsidR="00497250" w:rsidP="005A3961" w14:paraId="7E2E9C66" w14:textId="51D4056E">
            <w:pPr>
              <w:tabs>
                <w:tab w:val="num" w:pos="0"/>
              </w:tabs>
              <w:spacing w:after="0" w:line="240" w:lineRule="auto"/>
              <w:rPr>
                <w:rFonts w:ascii="Times New Roman" w:hAnsi="Times New Roman"/>
                <w:sz w:val="24"/>
                <w:szCs w:val="24"/>
                <w:lang w:val="lv-LV"/>
              </w:rPr>
            </w:pPr>
            <w:r>
              <w:rPr>
                <w:rFonts w:ascii="Times New Roman" w:hAnsi="Times New Roman"/>
                <w:sz w:val="24"/>
                <w:szCs w:val="24"/>
                <w:lang w:val="lv-LV"/>
              </w:rPr>
              <w:t>Pieaicināt</w:t>
            </w:r>
            <w:r w:rsidR="00884D13">
              <w:rPr>
                <w:rFonts w:ascii="Times New Roman" w:hAnsi="Times New Roman"/>
                <w:sz w:val="24"/>
                <w:szCs w:val="24"/>
                <w:lang w:val="lv-LV"/>
              </w:rPr>
              <w:t xml:space="preserve">ais </w:t>
            </w:r>
            <w:r>
              <w:rPr>
                <w:rFonts w:ascii="Times New Roman" w:hAnsi="Times New Roman"/>
                <w:sz w:val="24"/>
                <w:szCs w:val="24"/>
                <w:lang w:val="lv-LV"/>
              </w:rPr>
              <w:t>ekspert</w:t>
            </w:r>
            <w:r w:rsidR="00884D13">
              <w:rPr>
                <w:rFonts w:ascii="Times New Roman" w:hAnsi="Times New Roman"/>
                <w:sz w:val="24"/>
                <w:szCs w:val="24"/>
                <w:lang w:val="lv-LV"/>
              </w:rPr>
              <w:t>s</w:t>
            </w:r>
          </w:p>
          <w:p w:rsidR="00510568" w:rsidP="005A3961" w14:paraId="06B46604" w14:textId="77777777">
            <w:pPr>
              <w:tabs>
                <w:tab w:val="num" w:pos="0"/>
              </w:tabs>
              <w:spacing w:after="0" w:line="240" w:lineRule="auto"/>
              <w:rPr>
                <w:rFonts w:ascii="Times New Roman" w:hAnsi="Times New Roman"/>
                <w:sz w:val="24"/>
                <w:szCs w:val="24"/>
                <w:lang w:val="lv-LV"/>
              </w:rPr>
            </w:pPr>
          </w:p>
          <w:p w:rsidR="00884D13" w:rsidP="005A3961" w14:paraId="78E83203" w14:textId="77777777">
            <w:pPr>
              <w:tabs>
                <w:tab w:val="num" w:pos="0"/>
              </w:tabs>
              <w:spacing w:after="0" w:line="240" w:lineRule="auto"/>
              <w:rPr>
                <w:rFonts w:ascii="Times New Roman" w:hAnsi="Times New Roman"/>
                <w:sz w:val="24"/>
                <w:szCs w:val="24"/>
                <w:lang w:val="lv-LV"/>
              </w:rPr>
            </w:pPr>
          </w:p>
          <w:p w:rsidR="00B43E08" w:rsidRPr="00C36D0C" w:rsidP="005A3961" w14:paraId="3C991130" w14:textId="6622EBB2">
            <w:pPr>
              <w:tabs>
                <w:tab w:val="num" w:pos="0"/>
              </w:tabs>
              <w:spacing w:after="0" w:line="240" w:lineRule="auto"/>
              <w:rPr>
                <w:rFonts w:ascii="Times New Roman" w:hAnsi="Times New Roman"/>
                <w:sz w:val="24"/>
                <w:szCs w:val="24"/>
                <w:lang w:val="lv-LV"/>
              </w:rPr>
            </w:pPr>
            <w:r w:rsidRPr="00C36D0C">
              <w:rPr>
                <w:rFonts w:ascii="Times New Roman" w:hAnsi="Times New Roman"/>
                <w:sz w:val="24"/>
                <w:szCs w:val="24"/>
                <w:lang w:val="lv-LV"/>
              </w:rPr>
              <w:t>Komisijas sekretār</w:t>
            </w:r>
            <w:r w:rsidR="00884D13">
              <w:rPr>
                <w:rFonts w:ascii="Times New Roman" w:hAnsi="Times New Roman"/>
                <w:sz w:val="24"/>
                <w:szCs w:val="24"/>
                <w:lang w:val="lv-LV"/>
              </w:rPr>
              <w:t>s</w:t>
            </w:r>
            <w:r w:rsidRPr="00C36D0C">
              <w:rPr>
                <w:rFonts w:ascii="Times New Roman" w:hAnsi="Times New Roman"/>
                <w:sz w:val="24"/>
                <w:szCs w:val="24"/>
                <w:lang w:val="lv-LV"/>
              </w:rPr>
              <w:t>:</w:t>
            </w:r>
          </w:p>
        </w:tc>
        <w:tc>
          <w:tcPr>
            <w:tcW w:w="2609" w:type="dxa"/>
          </w:tcPr>
          <w:p w:rsidR="00B43E08" w:rsidRPr="00C36D0C" w:rsidP="005A3961" w14:paraId="2C3BF5D1" w14:textId="77777777">
            <w:pPr>
              <w:tabs>
                <w:tab w:val="num" w:pos="0"/>
              </w:tabs>
              <w:spacing w:before="120" w:after="120"/>
              <w:rPr>
                <w:rFonts w:ascii="Times New Roman" w:hAnsi="Times New Roman"/>
                <w:sz w:val="24"/>
                <w:szCs w:val="24"/>
                <w:lang w:val="lv-LV"/>
              </w:rPr>
            </w:pPr>
            <w:r w:rsidRPr="00C36D0C">
              <w:rPr>
                <w:rFonts w:ascii="Times New Roman" w:hAnsi="Times New Roman"/>
                <w:sz w:val="24"/>
                <w:szCs w:val="24"/>
                <w:lang w:val="lv-LV"/>
              </w:rPr>
              <w:t>Pārsla Rigonda Krieviņa</w:t>
            </w:r>
          </w:p>
          <w:p w:rsidR="00B43E08" w:rsidRPr="00C36D0C" w:rsidP="005A3961" w14:paraId="135219BC" w14:textId="77777777">
            <w:pPr>
              <w:tabs>
                <w:tab w:val="num" w:pos="0"/>
              </w:tabs>
              <w:spacing w:before="120" w:after="120"/>
              <w:rPr>
                <w:rFonts w:ascii="Times New Roman" w:hAnsi="Times New Roman"/>
                <w:sz w:val="24"/>
                <w:szCs w:val="24"/>
                <w:lang w:val="lv-LV"/>
              </w:rPr>
            </w:pPr>
            <w:r w:rsidRPr="00C36D0C">
              <w:rPr>
                <w:rFonts w:ascii="Times New Roman" w:hAnsi="Times New Roman"/>
                <w:sz w:val="24"/>
                <w:szCs w:val="24"/>
                <w:lang w:val="lv-LV"/>
              </w:rPr>
              <w:t>Madars Deaks</w:t>
            </w:r>
          </w:p>
          <w:p w:rsidR="00B43E08" w:rsidRPr="00C36D0C" w:rsidP="005A3961" w14:paraId="4FB20DB9" w14:textId="77777777">
            <w:pPr>
              <w:tabs>
                <w:tab w:val="num" w:pos="0"/>
              </w:tabs>
              <w:spacing w:before="120" w:after="120"/>
              <w:rPr>
                <w:rFonts w:ascii="Times New Roman" w:hAnsi="Times New Roman"/>
                <w:sz w:val="24"/>
                <w:szCs w:val="24"/>
                <w:lang w:val="lv-LV"/>
              </w:rPr>
            </w:pPr>
            <w:r w:rsidRPr="00C36D0C">
              <w:rPr>
                <w:rFonts w:ascii="Times New Roman" w:hAnsi="Times New Roman"/>
                <w:sz w:val="24"/>
                <w:szCs w:val="24"/>
                <w:lang w:val="lv-LV"/>
              </w:rPr>
              <w:t>Ieva Saule</w:t>
            </w:r>
          </w:p>
          <w:p w:rsidR="00B43E08" w:rsidRPr="00C36D0C" w:rsidP="005A3961" w14:paraId="7CC55688" w14:textId="77777777">
            <w:pPr>
              <w:tabs>
                <w:tab w:val="num" w:pos="0"/>
              </w:tabs>
              <w:spacing w:before="120" w:after="120"/>
              <w:rPr>
                <w:rFonts w:ascii="Times New Roman" w:hAnsi="Times New Roman"/>
                <w:sz w:val="24"/>
                <w:szCs w:val="24"/>
                <w:lang w:val="lv-LV"/>
              </w:rPr>
            </w:pPr>
            <w:r w:rsidRPr="00C36D0C">
              <w:rPr>
                <w:rFonts w:ascii="Times New Roman" w:hAnsi="Times New Roman"/>
                <w:sz w:val="24"/>
                <w:szCs w:val="24"/>
                <w:lang w:val="lv-LV"/>
              </w:rPr>
              <w:t>Jēkabs Žuks-Rože</w:t>
            </w:r>
          </w:p>
          <w:p w:rsidR="00B50CB8" w:rsidP="005A3961" w14:paraId="50970707" w14:textId="77777777">
            <w:pPr>
              <w:tabs>
                <w:tab w:val="num" w:pos="0"/>
              </w:tabs>
              <w:spacing w:before="120" w:after="120"/>
              <w:rPr>
                <w:rFonts w:ascii="Times New Roman" w:hAnsi="Times New Roman"/>
                <w:sz w:val="24"/>
                <w:szCs w:val="24"/>
                <w:lang w:val="lv-LV"/>
              </w:rPr>
            </w:pPr>
            <w:r w:rsidRPr="00B50CB8">
              <w:rPr>
                <w:rFonts w:ascii="Times New Roman" w:hAnsi="Times New Roman"/>
                <w:sz w:val="24"/>
                <w:szCs w:val="24"/>
                <w:lang w:val="lv-LV"/>
              </w:rPr>
              <w:t>Sandra Stepiņa</w:t>
            </w:r>
          </w:p>
          <w:p w:rsidR="00B43E08" w:rsidP="005A3961" w14:paraId="3D580724" w14:textId="36901589">
            <w:pPr>
              <w:tabs>
                <w:tab w:val="num" w:pos="0"/>
              </w:tabs>
              <w:spacing w:before="120" w:after="120"/>
              <w:rPr>
                <w:rFonts w:ascii="Times New Roman" w:hAnsi="Times New Roman"/>
                <w:sz w:val="24"/>
                <w:szCs w:val="24"/>
                <w:lang w:val="lv-LV"/>
              </w:rPr>
            </w:pPr>
            <w:r w:rsidRPr="00C36D0C">
              <w:rPr>
                <w:rFonts w:ascii="Times New Roman" w:hAnsi="Times New Roman"/>
                <w:sz w:val="24"/>
                <w:szCs w:val="24"/>
                <w:lang w:val="lv-LV"/>
              </w:rPr>
              <w:t>Pāvels Onufrijevs</w:t>
            </w:r>
          </w:p>
          <w:p w:rsidR="00884D13" w:rsidP="005A3961" w14:paraId="1B67ABF5" w14:textId="77777777">
            <w:pPr>
              <w:tabs>
                <w:tab w:val="num" w:pos="0"/>
              </w:tabs>
              <w:spacing w:before="120" w:after="120"/>
              <w:rPr>
                <w:rFonts w:ascii="Times New Roman" w:hAnsi="Times New Roman"/>
                <w:sz w:val="24"/>
                <w:szCs w:val="24"/>
                <w:lang w:val="lv-LV"/>
              </w:rPr>
            </w:pPr>
          </w:p>
          <w:p w:rsidR="00497250" w:rsidP="005A3961" w14:paraId="3EB34025" w14:textId="4911DEE1">
            <w:pPr>
              <w:tabs>
                <w:tab w:val="num" w:pos="0"/>
              </w:tabs>
              <w:spacing w:before="120" w:after="120"/>
              <w:rPr>
                <w:rFonts w:ascii="Times New Roman" w:hAnsi="Times New Roman"/>
                <w:sz w:val="24"/>
                <w:szCs w:val="24"/>
                <w:lang w:val="lv-LV"/>
              </w:rPr>
            </w:pPr>
            <w:r>
              <w:rPr>
                <w:rFonts w:ascii="Times New Roman" w:hAnsi="Times New Roman"/>
                <w:sz w:val="24"/>
                <w:szCs w:val="24"/>
                <w:lang w:val="lv-LV"/>
              </w:rPr>
              <w:t>Baiba Alksnīte</w:t>
            </w:r>
          </w:p>
          <w:p w:rsidR="00884D13" w:rsidP="005A3961" w14:paraId="13804373" w14:textId="77777777">
            <w:pPr>
              <w:tabs>
                <w:tab w:val="num" w:pos="0"/>
              </w:tabs>
              <w:spacing w:before="120" w:after="120"/>
              <w:rPr>
                <w:rFonts w:ascii="Times New Roman" w:hAnsi="Times New Roman"/>
                <w:sz w:val="24"/>
                <w:szCs w:val="24"/>
                <w:lang w:val="lv-LV"/>
              </w:rPr>
            </w:pPr>
          </w:p>
          <w:p w:rsidR="00B43E08" w:rsidRPr="00C36D0C" w:rsidP="005A3961" w14:paraId="7516B3F6" w14:textId="1A87C1FD">
            <w:pPr>
              <w:tabs>
                <w:tab w:val="num" w:pos="0"/>
              </w:tabs>
              <w:spacing w:before="120" w:after="120"/>
              <w:rPr>
                <w:rFonts w:ascii="Times New Roman" w:hAnsi="Times New Roman"/>
                <w:sz w:val="24"/>
                <w:szCs w:val="24"/>
                <w:lang w:val="lv-LV"/>
              </w:rPr>
            </w:pPr>
            <w:r>
              <w:rPr>
                <w:rFonts w:ascii="Times New Roman" w:hAnsi="Times New Roman"/>
                <w:sz w:val="24"/>
                <w:szCs w:val="24"/>
                <w:lang w:val="lv-LV"/>
              </w:rPr>
              <w:t>Ieva Saule</w:t>
            </w:r>
          </w:p>
        </w:tc>
      </w:tr>
    </w:tbl>
    <w:p w:rsidR="00B43E08" w:rsidRPr="00C36D0C" w:rsidP="00B43E08" w14:paraId="763CB654" w14:textId="77777777">
      <w:pPr>
        <w:pStyle w:val="BodyText"/>
        <w:tabs>
          <w:tab w:val="num" w:pos="0"/>
        </w:tabs>
        <w:jc w:val="both"/>
        <w:rPr>
          <w:sz w:val="16"/>
          <w:szCs w:val="16"/>
          <w:lang w:val="lv-LV"/>
        </w:rPr>
      </w:pPr>
    </w:p>
    <w:p w:rsidR="00B43E08" w:rsidRPr="00987608" w:rsidP="00B43E08" w14:paraId="122BAC7B" w14:textId="64B8F40A">
      <w:pPr>
        <w:tabs>
          <w:tab w:val="num" w:pos="0"/>
        </w:tabs>
        <w:spacing w:before="120" w:after="120"/>
        <w:jc w:val="both"/>
        <w:rPr>
          <w:rFonts w:ascii="Times New Roman" w:hAnsi="Times New Roman"/>
          <w:sz w:val="20"/>
          <w:szCs w:val="20"/>
          <w:lang w:val="lv-LV"/>
        </w:rPr>
      </w:pPr>
      <w:r w:rsidRPr="00987608">
        <w:rPr>
          <w:rFonts w:ascii="Times New Roman" w:hAnsi="Times New Roman"/>
          <w:sz w:val="20"/>
          <w:szCs w:val="20"/>
          <w:lang w:val="lv-LV"/>
        </w:rPr>
        <w:t>Dokuments parakstīts elektroniski ar drošu elektronisko parakstu vai elektroniski saskaņā ar Elektronisko dokumentu likuma 3. panta otro daļu (vienošanās Nr. 1701-2/20/13 vai darba līgums) Centrālās statistikas pārvaldes dokumentu vadības sistēmā Namejs.</w:t>
      </w:r>
    </w:p>
    <w:p w:rsidR="00497250" w:rsidP="00B43E08" w14:paraId="0E8CF335" w14:textId="77777777">
      <w:pPr>
        <w:pStyle w:val="Teksts"/>
        <w:rPr>
          <w:sz w:val="20"/>
          <w:szCs w:val="20"/>
        </w:rPr>
      </w:pPr>
    </w:p>
    <w:p w:rsidR="00B43E08" w:rsidRPr="00C36D0C" w:rsidP="00B43E08" w14:paraId="3F300EE5" w14:textId="03FEEC34">
      <w:pPr>
        <w:spacing w:after="0" w:line="240" w:lineRule="auto"/>
        <w:ind w:right="-710"/>
        <w:jc w:val="both"/>
        <w:rPr>
          <w:rFonts w:ascii="Times New Roman" w:hAnsi="Times New Roman"/>
          <w:sz w:val="20"/>
          <w:szCs w:val="20"/>
          <w:lang w:val="lv-LV"/>
        </w:rPr>
      </w:pPr>
      <w:r>
        <w:rPr>
          <w:rFonts w:ascii="Times New Roman" w:hAnsi="Times New Roman"/>
          <w:sz w:val="20"/>
          <w:szCs w:val="20"/>
          <w:lang w:val="lv-LV"/>
        </w:rPr>
        <w:t>Saule</w:t>
      </w:r>
      <w:r w:rsidRPr="00C36D0C">
        <w:rPr>
          <w:rFonts w:ascii="Times New Roman" w:hAnsi="Times New Roman"/>
          <w:sz w:val="20"/>
          <w:szCs w:val="20"/>
          <w:lang w:val="lv-LV"/>
        </w:rPr>
        <w:t xml:space="preserve"> 67366</w:t>
      </w:r>
      <w:r>
        <w:rPr>
          <w:rFonts w:ascii="Times New Roman" w:hAnsi="Times New Roman"/>
          <w:sz w:val="20"/>
          <w:szCs w:val="20"/>
          <w:lang w:val="lv-LV"/>
        </w:rPr>
        <w:t>897</w:t>
      </w:r>
      <w:r w:rsidRPr="00C36D0C">
        <w:rPr>
          <w:rFonts w:ascii="Times New Roman" w:hAnsi="Times New Roman"/>
          <w:sz w:val="20"/>
          <w:szCs w:val="20"/>
          <w:lang w:val="lv-LV"/>
        </w:rPr>
        <w:tab/>
      </w:r>
    </w:p>
    <w:p w:rsidR="00C41652" w:rsidRPr="00CD5BD0" w:rsidP="00523E90" w14:paraId="73CB1087" w14:textId="20539855">
      <w:pPr>
        <w:pStyle w:val="Teksts"/>
        <w:rPr>
          <w:sz w:val="20"/>
          <w:szCs w:val="20"/>
        </w:rPr>
      </w:pPr>
      <w:hyperlink r:id="rId6" w:history="1">
        <w:r w:rsidRPr="002353D1">
          <w:rPr>
            <w:rStyle w:val="Hyperlink"/>
            <w:sz w:val="20"/>
            <w:szCs w:val="20"/>
          </w:rPr>
          <w:t>Ieva.Saule@csp.gov.lv</w:t>
        </w:r>
      </w:hyperlink>
    </w:p>
    <w:sectPr w:rsidSect="00F26958">
      <w:headerReference w:type="default" r:id="rId7"/>
      <w:headerReference w:type="first" r:id="rId8"/>
      <w:type w:val="continuous"/>
      <w:pgSz w:w="11920" w:h="16840"/>
      <w:pgMar w:top="1134" w:right="1147"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632746"/>
      <w:docPartObj>
        <w:docPartGallery w:val="Page Numbers (Top of Page)"/>
        <w:docPartUnique/>
      </w:docPartObj>
    </w:sdtPr>
    <w:sdtEndPr>
      <w:rPr>
        <w:noProof/>
      </w:rPr>
    </w:sdtEndPr>
    <w:sdtContent>
      <w:p w:rsidR="00B54DDB" w:rsidP="00F26958" w14:paraId="5F90B7D8" w14:textId="77777777">
        <w:pPr>
          <w:pStyle w:val="Header"/>
          <w:jc w:val="center"/>
        </w:pPr>
        <w:r w:rsidRPr="00BF4156">
          <w:rPr>
            <w:rFonts w:ascii="Times New Roman" w:hAnsi="Times New Roman"/>
            <w:sz w:val="20"/>
            <w:szCs w:val="20"/>
          </w:rPr>
          <w:fldChar w:fldCharType="begin"/>
        </w:r>
        <w:r w:rsidRPr="00BF4156">
          <w:rPr>
            <w:rFonts w:ascii="Times New Roman" w:hAnsi="Times New Roman"/>
            <w:sz w:val="20"/>
            <w:szCs w:val="20"/>
          </w:rPr>
          <w:instrText xml:space="preserve"> PAGE   \* MERGEFORMAT </w:instrText>
        </w:r>
        <w:r w:rsidRPr="00BF4156">
          <w:rPr>
            <w:rFonts w:ascii="Times New Roman" w:hAnsi="Times New Roman"/>
            <w:sz w:val="20"/>
            <w:szCs w:val="20"/>
          </w:rPr>
          <w:fldChar w:fldCharType="separate"/>
        </w:r>
        <w:r w:rsidRPr="00BF4156" w:rsidR="00F57E36">
          <w:rPr>
            <w:rFonts w:ascii="Times New Roman" w:hAnsi="Times New Roman"/>
            <w:noProof/>
            <w:sz w:val="20"/>
            <w:szCs w:val="20"/>
          </w:rPr>
          <w:t>3</w:t>
        </w:r>
        <w:r w:rsidRPr="00BF4156">
          <w:rPr>
            <w:rFonts w:ascii="Times New Roman" w:hAnsi="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6406" w:rsidP="00E52D78" w14:paraId="1E78D6DC" w14:textId="77777777">
    <w:pPr>
      <w:pStyle w:val="Header"/>
      <w:tabs>
        <w:tab w:val="clear" w:pos="4320"/>
        <w:tab w:val="clear" w:pos="8640"/>
      </w:tabs>
      <w:rPr>
        <w:rFonts w:ascii="Times New Roman" w:hAnsi="Times New Roman"/>
      </w:rPr>
    </w:pPr>
  </w:p>
  <w:p w:rsidR="002A6406" w:rsidP="00E52D78" w14:paraId="1CD76B20" w14:textId="77777777">
    <w:pPr>
      <w:pStyle w:val="Header"/>
      <w:rPr>
        <w:rFonts w:ascii="Times New Roman" w:hAnsi="Times New Roman"/>
      </w:rPr>
    </w:pPr>
    <w:r>
      <w:rPr>
        <w:noProof/>
        <w:sz w:val="24"/>
        <w:lang w:val="lv-LV" w:eastAsia="lv-LV"/>
      </w:rPr>
      <w:drawing>
        <wp:anchor distT="0" distB="0" distL="114300" distR="114300" simplePos="0" relativeHeight="251662336" behindDoc="1" locked="0" layoutInCell="1" allowOverlap="1">
          <wp:simplePos x="0" y="0"/>
          <wp:positionH relativeFrom="column">
            <wp:posOffset>24765</wp:posOffset>
          </wp:positionH>
          <wp:positionV relativeFrom="paragraph">
            <wp:posOffset>46355</wp:posOffset>
          </wp:positionV>
          <wp:extent cx="5888364" cy="1104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lnkrasu_header_veidlapa_17.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88364" cy="1104900"/>
                  </a:xfrm>
                  <a:prstGeom prst="rect">
                    <a:avLst/>
                  </a:prstGeom>
                </pic:spPr>
              </pic:pic>
            </a:graphicData>
          </a:graphic>
          <wp14:sizeRelH relativeFrom="margin">
            <wp14:pctWidth>0</wp14:pctWidth>
          </wp14:sizeRelH>
          <wp14:sizeRelV relativeFrom="margin">
            <wp14:pctHeight>0</wp14:pctHeight>
          </wp14:sizeRelV>
        </wp:anchor>
      </w:drawing>
    </w:r>
  </w:p>
  <w:p w:rsidR="002A6406" w:rsidP="00E52D78" w14:paraId="0F355CC1" w14:textId="77777777">
    <w:pPr>
      <w:pStyle w:val="Header"/>
      <w:rPr>
        <w:rFonts w:ascii="Times New Roman" w:hAnsi="Times New Roman"/>
      </w:rPr>
    </w:pPr>
  </w:p>
  <w:p w:rsidR="002A6406" w:rsidP="00E52D78" w14:paraId="0D341F73" w14:textId="77777777">
    <w:pPr>
      <w:pStyle w:val="Header"/>
      <w:rPr>
        <w:rFonts w:ascii="Times New Roman" w:hAnsi="Times New Roman"/>
      </w:rPr>
    </w:pPr>
  </w:p>
  <w:p w:rsidR="002A6406" w:rsidP="00B54DDB" w14:paraId="23A72F42" w14:textId="77777777">
    <w:pPr>
      <w:pStyle w:val="Header"/>
      <w:jc w:val="center"/>
      <w:rPr>
        <w:rFonts w:ascii="Times New Roman" w:hAnsi="Times New Roman"/>
      </w:rPr>
    </w:pPr>
  </w:p>
  <w:p w:rsidR="002A6406" w:rsidP="002A6406" w14:paraId="5FCCBE75" w14:textId="77777777">
    <w:pPr>
      <w:pStyle w:val="Header"/>
      <w:rPr>
        <w:rFonts w:ascii="Times New Roman" w:hAnsi="Times New Roman"/>
      </w:rPr>
    </w:pPr>
  </w:p>
  <w:p w:rsidR="002A6406" w:rsidP="002A6406" w14:paraId="4CB37348" w14:textId="77777777">
    <w:pPr>
      <w:pStyle w:val="Header"/>
      <w:rPr>
        <w:rFonts w:ascii="Times New Roman" w:hAnsi="Times New Roman"/>
      </w:rPr>
    </w:pPr>
  </w:p>
  <w:p w:rsidR="002A6406" w:rsidP="002A6406" w14:paraId="1B5A76C3" w14:textId="77777777">
    <w:pPr>
      <w:pStyle w:val="Header"/>
      <w:rPr>
        <w:rFonts w:ascii="Times New Roman" w:hAnsi="Times New Roman"/>
      </w:rPr>
    </w:pPr>
  </w:p>
  <w:p w:rsidR="002A6406" w:rsidP="002A6406" w14:paraId="788AD600" w14:textId="77777777">
    <w:pPr>
      <w:pStyle w:val="Header"/>
      <w:rPr>
        <w:rFonts w:ascii="Times New Roman" w:hAnsi="Times New Roman"/>
      </w:rPr>
    </w:pPr>
  </w:p>
  <w:p w:rsidR="002A6406" w:rsidRPr="00815277" w:rsidP="002A6406" w14:paraId="0140C2ED" w14:textId="77777777">
    <w:pPr>
      <w:pStyle w:val="Header"/>
      <w:rPr>
        <w:rFonts w:ascii="Times New Roman" w:hAnsi="Times New Roman"/>
      </w:rPr>
    </w:pPr>
    <w:r>
      <w:rPr>
        <w:noProof/>
        <w:lang w:val="lv-LV" w:eastAsia="lv-LV"/>
      </w:rPr>
      <mc:AlternateContent>
        <mc:Choice Requires="wps">
          <w:drawing>
            <wp:anchor distT="0" distB="0" distL="114300" distR="114300" simplePos="0" relativeHeight="251660288" behindDoc="1" locked="0" layoutInCell="1" allowOverlap="1">
              <wp:simplePos x="0" y="0"/>
              <wp:positionH relativeFrom="page">
                <wp:posOffset>704850</wp:posOffset>
              </wp:positionH>
              <wp:positionV relativeFrom="page">
                <wp:posOffset>2030730</wp:posOffset>
              </wp:positionV>
              <wp:extent cx="6362700" cy="314325"/>
              <wp:effectExtent l="0" t="0" r="0"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2700"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6406" w:rsidRPr="00164123" w:rsidP="002A6406" w14:textId="77777777">
                          <w:pPr>
                            <w:spacing w:after="0" w:line="194" w:lineRule="exact"/>
                            <w:ind w:left="20" w:right="-45"/>
                            <w:jc w:val="center"/>
                            <w:rPr>
                              <w:rFonts w:ascii="Times New Roman" w:eastAsia="Times New Roman" w:hAnsi="Times New Roman"/>
                              <w:sz w:val="20"/>
                              <w:szCs w:val="20"/>
                            </w:rPr>
                          </w:pPr>
                          <w:r w:rsidRPr="00164123">
                            <w:rPr>
                              <w:rFonts w:ascii="Times New Roman" w:eastAsia="Times New Roman" w:hAnsi="Times New Roman"/>
                              <w:color w:val="231F20"/>
                              <w:sz w:val="20"/>
                              <w:szCs w:val="20"/>
                            </w:rPr>
                            <w:t>Lāčplēša iela 1, Rīga, LV-</w:t>
                          </w:r>
                          <w:r w:rsidR="006F0B89">
                            <w:rPr>
                              <w:rFonts w:ascii="Times New Roman" w:eastAsia="Times New Roman" w:hAnsi="Times New Roman"/>
                              <w:color w:val="231F20"/>
                              <w:sz w:val="20"/>
                              <w:szCs w:val="20"/>
                            </w:rPr>
                            <w:t>1010</w:t>
                          </w:r>
                          <w:r w:rsidRPr="00164123">
                            <w:rPr>
                              <w:rFonts w:ascii="Times New Roman" w:eastAsia="Times New Roman" w:hAnsi="Times New Roman"/>
                              <w:color w:val="231F20"/>
                              <w:sz w:val="20"/>
                              <w:szCs w:val="20"/>
                            </w:rPr>
                            <w:t xml:space="preserve">, tālr. 67366850, e-pasts </w:t>
                          </w:r>
                          <w:r w:rsidR="00487725">
                            <w:rPr>
                              <w:rFonts w:ascii="Times New Roman" w:eastAsia="Times New Roman" w:hAnsi="Times New Roman"/>
                              <w:color w:val="231F20"/>
                              <w:sz w:val="20"/>
                              <w:szCs w:val="20"/>
                            </w:rPr>
                            <w:t>pasts</w:t>
                          </w:r>
                          <w:r w:rsidRPr="00164123">
                            <w:rPr>
                              <w:rFonts w:ascii="Times New Roman" w:eastAsia="Times New Roman" w:hAnsi="Times New Roman"/>
                              <w:color w:val="231F20"/>
                              <w:sz w:val="20"/>
                              <w:szCs w:val="20"/>
                            </w:rPr>
                            <w:t>@cs</w:t>
                          </w:r>
                          <w:r w:rsidR="00A31BB8">
                            <w:rPr>
                              <w:rFonts w:ascii="Times New Roman" w:eastAsia="Times New Roman" w:hAnsi="Times New Roman"/>
                              <w:color w:val="231F20"/>
                              <w:sz w:val="20"/>
                              <w:szCs w:val="20"/>
                            </w:rPr>
                            <w:t>p</w:t>
                          </w:r>
                          <w:r w:rsidRPr="00164123">
                            <w:rPr>
                              <w:rFonts w:ascii="Times New Roman" w:eastAsia="Times New Roman" w:hAnsi="Times New Roman"/>
                              <w:color w:val="231F20"/>
                              <w:sz w:val="20"/>
                              <w:szCs w:val="20"/>
                            </w:rPr>
                            <w:t>.gov.lv, www.cs</w:t>
                          </w:r>
                          <w:r w:rsidR="00A31BB8">
                            <w:rPr>
                              <w:rFonts w:ascii="Times New Roman" w:eastAsia="Times New Roman" w:hAnsi="Times New Roman"/>
                              <w:color w:val="231F20"/>
                              <w:sz w:val="20"/>
                              <w:szCs w:val="20"/>
                            </w:rPr>
                            <w:t>p</w:t>
                          </w:r>
                          <w:r w:rsidRPr="00164123">
                            <w:rPr>
                              <w:rFonts w:ascii="Times New Roman" w:eastAsia="Times New Roman" w:hAnsi="Times New Roman"/>
                              <w:color w:val="231F20"/>
                              <w:sz w:val="20"/>
                              <w:szCs w:val="20"/>
                            </w:rPr>
                            <w:t>.gov.lv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501pt;height:24.75pt;margin-top:159.9pt;margin-left:55.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2A6406" w:rsidRPr="00164123" w:rsidP="002A6406" w14:paraId="7AAA38BE" w14:textId="77777777">
                    <w:pPr>
                      <w:spacing w:after="0" w:line="194" w:lineRule="exact"/>
                      <w:ind w:left="20" w:right="-45"/>
                      <w:jc w:val="center"/>
                      <w:rPr>
                        <w:rFonts w:ascii="Times New Roman" w:eastAsia="Times New Roman" w:hAnsi="Times New Roman"/>
                        <w:sz w:val="20"/>
                        <w:szCs w:val="20"/>
                      </w:rPr>
                    </w:pPr>
                    <w:r w:rsidRPr="00164123">
                      <w:rPr>
                        <w:rFonts w:ascii="Times New Roman" w:eastAsia="Times New Roman" w:hAnsi="Times New Roman"/>
                        <w:color w:val="231F20"/>
                        <w:sz w:val="20"/>
                        <w:szCs w:val="20"/>
                      </w:rPr>
                      <w:t>Lāčplēša iela 1, Rīga, LV-</w:t>
                    </w:r>
                    <w:r w:rsidR="006F0B89">
                      <w:rPr>
                        <w:rFonts w:ascii="Times New Roman" w:eastAsia="Times New Roman" w:hAnsi="Times New Roman"/>
                        <w:color w:val="231F20"/>
                        <w:sz w:val="20"/>
                        <w:szCs w:val="20"/>
                      </w:rPr>
                      <w:t>1010</w:t>
                    </w:r>
                    <w:r w:rsidRPr="00164123">
                      <w:rPr>
                        <w:rFonts w:ascii="Times New Roman" w:eastAsia="Times New Roman" w:hAnsi="Times New Roman"/>
                        <w:color w:val="231F20"/>
                        <w:sz w:val="20"/>
                        <w:szCs w:val="20"/>
                      </w:rPr>
                      <w:t xml:space="preserve">, tālr. 67366850, e-pasts </w:t>
                    </w:r>
                    <w:r w:rsidR="00487725">
                      <w:rPr>
                        <w:rFonts w:ascii="Times New Roman" w:eastAsia="Times New Roman" w:hAnsi="Times New Roman"/>
                        <w:color w:val="231F20"/>
                        <w:sz w:val="20"/>
                        <w:szCs w:val="20"/>
                      </w:rPr>
                      <w:t>pasts</w:t>
                    </w:r>
                    <w:r w:rsidRPr="00164123">
                      <w:rPr>
                        <w:rFonts w:ascii="Times New Roman" w:eastAsia="Times New Roman" w:hAnsi="Times New Roman"/>
                        <w:color w:val="231F20"/>
                        <w:sz w:val="20"/>
                        <w:szCs w:val="20"/>
                      </w:rPr>
                      <w:t>@cs</w:t>
                    </w:r>
                    <w:r w:rsidR="00A31BB8">
                      <w:rPr>
                        <w:rFonts w:ascii="Times New Roman" w:eastAsia="Times New Roman" w:hAnsi="Times New Roman"/>
                        <w:color w:val="231F20"/>
                        <w:sz w:val="20"/>
                        <w:szCs w:val="20"/>
                      </w:rPr>
                      <w:t>p</w:t>
                    </w:r>
                    <w:r w:rsidRPr="00164123">
                      <w:rPr>
                        <w:rFonts w:ascii="Times New Roman" w:eastAsia="Times New Roman" w:hAnsi="Times New Roman"/>
                        <w:color w:val="231F20"/>
                        <w:sz w:val="20"/>
                        <w:szCs w:val="20"/>
                      </w:rPr>
                      <w:t>.gov.lv, www.cs</w:t>
                    </w:r>
                    <w:r w:rsidR="00A31BB8">
                      <w:rPr>
                        <w:rFonts w:ascii="Times New Roman" w:eastAsia="Times New Roman" w:hAnsi="Times New Roman"/>
                        <w:color w:val="231F20"/>
                        <w:sz w:val="20"/>
                        <w:szCs w:val="20"/>
                      </w:rPr>
                      <w:t>p</w:t>
                    </w:r>
                    <w:r w:rsidRPr="00164123">
                      <w:rPr>
                        <w:rFonts w:ascii="Times New Roman" w:eastAsia="Times New Roman" w:hAnsi="Times New Roman"/>
                        <w:color w:val="231F20"/>
                        <w:sz w:val="20"/>
                        <w:szCs w:val="20"/>
                      </w:rPr>
                      <w:t>.gov.lv</w:t>
                    </w:r>
                  </w:p>
                </w:txbxContent>
              </v:textbox>
            </v:shape>
          </w:pict>
        </mc:Fallback>
      </mc:AlternateContent>
    </w:r>
    <w:r>
      <w:rPr>
        <w:noProof/>
        <w:lang w:val="lv-LV" w:eastAsia="lv-LV"/>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7216"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2A6406" w14:paraId="2C82BA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540D9"/>
    <w:multiLevelType w:val="multilevel"/>
    <w:tmpl w:val="1FD6AA6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051D5671"/>
    <w:multiLevelType w:val="hybridMultilevel"/>
    <w:tmpl w:val="1A52382E"/>
    <w:lvl w:ilvl="0">
      <w:start w:val="1"/>
      <w:numFmt w:val="decimal"/>
      <w:lvlText w:val="%1."/>
      <w:lvlJc w:val="left"/>
      <w:pPr>
        <w:ind w:left="1434" w:hanging="360"/>
      </w:pPr>
    </w:lvl>
    <w:lvl w:ilvl="1" w:tentative="1">
      <w:start w:val="1"/>
      <w:numFmt w:val="lowerLetter"/>
      <w:lvlText w:val="%2."/>
      <w:lvlJc w:val="left"/>
      <w:pPr>
        <w:ind w:left="2154" w:hanging="360"/>
      </w:pPr>
    </w:lvl>
    <w:lvl w:ilvl="2" w:tentative="1">
      <w:start w:val="1"/>
      <w:numFmt w:val="lowerRoman"/>
      <w:lvlText w:val="%3."/>
      <w:lvlJc w:val="right"/>
      <w:pPr>
        <w:ind w:left="2874" w:hanging="180"/>
      </w:pPr>
    </w:lvl>
    <w:lvl w:ilvl="3" w:tentative="1">
      <w:start w:val="1"/>
      <w:numFmt w:val="decimal"/>
      <w:lvlText w:val="%4."/>
      <w:lvlJc w:val="left"/>
      <w:pPr>
        <w:ind w:left="3594" w:hanging="360"/>
      </w:pPr>
    </w:lvl>
    <w:lvl w:ilvl="4" w:tentative="1">
      <w:start w:val="1"/>
      <w:numFmt w:val="lowerLetter"/>
      <w:lvlText w:val="%5."/>
      <w:lvlJc w:val="left"/>
      <w:pPr>
        <w:ind w:left="4314" w:hanging="360"/>
      </w:pPr>
    </w:lvl>
    <w:lvl w:ilvl="5" w:tentative="1">
      <w:start w:val="1"/>
      <w:numFmt w:val="lowerRoman"/>
      <w:lvlText w:val="%6."/>
      <w:lvlJc w:val="right"/>
      <w:pPr>
        <w:ind w:left="5034" w:hanging="180"/>
      </w:pPr>
    </w:lvl>
    <w:lvl w:ilvl="6" w:tentative="1">
      <w:start w:val="1"/>
      <w:numFmt w:val="decimal"/>
      <w:lvlText w:val="%7."/>
      <w:lvlJc w:val="left"/>
      <w:pPr>
        <w:ind w:left="5754" w:hanging="360"/>
      </w:pPr>
    </w:lvl>
    <w:lvl w:ilvl="7" w:tentative="1">
      <w:start w:val="1"/>
      <w:numFmt w:val="lowerLetter"/>
      <w:lvlText w:val="%8."/>
      <w:lvlJc w:val="left"/>
      <w:pPr>
        <w:ind w:left="6474" w:hanging="360"/>
      </w:pPr>
    </w:lvl>
    <w:lvl w:ilvl="8" w:tentative="1">
      <w:start w:val="1"/>
      <w:numFmt w:val="lowerRoman"/>
      <w:lvlText w:val="%9."/>
      <w:lvlJc w:val="right"/>
      <w:pPr>
        <w:ind w:left="7194" w:hanging="180"/>
      </w:pPr>
    </w:lvl>
  </w:abstractNum>
  <w:abstractNum w:abstractNumId="13" w15:restartNumberingAfterBreak="0">
    <w:nsid w:val="1C2C035F"/>
    <w:multiLevelType w:val="multilevel"/>
    <w:tmpl w:val="2376D05E"/>
    <w:lvl w:ilvl="0">
      <w:start w:val="3"/>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Times New Roman" w:hAnsi="Times New Roman" w:cs="Times New Roman"/>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C0E48C0"/>
    <w:multiLevelType w:val="multilevel"/>
    <w:tmpl w:val="79D0AEA8"/>
    <w:lvl w:ilvl="0">
      <w:start w:val="1"/>
      <w:numFmt w:val="decimal"/>
      <w:lvlText w:val="%1."/>
      <w:lvlJc w:val="left"/>
      <w:pPr>
        <w:ind w:left="360" w:hanging="360"/>
      </w:pPr>
      <w:rPr>
        <w:rFonts w:hint="default"/>
        <w:b/>
        <w:sz w:val="22"/>
      </w:rPr>
    </w:lvl>
    <w:lvl w:ilvl="1">
      <w:start w:val="1"/>
      <w:numFmt w:val="decimal"/>
      <w:lvlText w:val="%1.%2."/>
      <w:lvlJc w:val="left"/>
      <w:pPr>
        <w:ind w:left="1080" w:hanging="360"/>
      </w:pPr>
      <w:rPr>
        <w:rFonts w:hint="default"/>
        <w:b/>
        <w:sz w:val="22"/>
      </w:rPr>
    </w:lvl>
    <w:lvl w:ilvl="2">
      <w:start w:val="1"/>
      <w:numFmt w:val="decimal"/>
      <w:lvlText w:val="%1.%2.%3."/>
      <w:lvlJc w:val="left"/>
      <w:pPr>
        <w:ind w:left="2160" w:hanging="720"/>
      </w:pPr>
      <w:rPr>
        <w:rFonts w:hint="default"/>
        <w:b/>
        <w:sz w:val="22"/>
      </w:rPr>
    </w:lvl>
    <w:lvl w:ilvl="3">
      <w:start w:val="1"/>
      <w:numFmt w:val="decimal"/>
      <w:lvlText w:val="%1.%2.%3.%4."/>
      <w:lvlJc w:val="left"/>
      <w:pPr>
        <w:ind w:left="2880" w:hanging="720"/>
      </w:pPr>
      <w:rPr>
        <w:rFonts w:hint="default"/>
        <w:b/>
        <w:sz w:val="22"/>
      </w:rPr>
    </w:lvl>
    <w:lvl w:ilvl="4">
      <w:start w:val="1"/>
      <w:numFmt w:val="decimal"/>
      <w:lvlText w:val="%1.%2.%3.%4.%5."/>
      <w:lvlJc w:val="left"/>
      <w:pPr>
        <w:ind w:left="3960" w:hanging="1080"/>
      </w:pPr>
      <w:rPr>
        <w:rFonts w:hint="default"/>
        <w:b/>
        <w:sz w:val="22"/>
      </w:rPr>
    </w:lvl>
    <w:lvl w:ilvl="5">
      <w:start w:val="1"/>
      <w:numFmt w:val="decimal"/>
      <w:lvlText w:val="%1.%2.%3.%4.%5.%6."/>
      <w:lvlJc w:val="left"/>
      <w:pPr>
        <w:ind w:left="4680" w:hanging="1080"/>
      </w:pPr>
      <w:rPr>
        <w:rFonts w:hint="default"/>
        <w:b/>
        <w:sz w:val="22"/>
      </w:rPr>
    </w:lvl>
    <w:lvl w:ilvl="6">
      <w:start w:val="1"/>
      <w:numFmt w:val="decimal"/>
      <w:lvlText w:val="%1.%2.%3.%4.%5.%6.%7."/>
      <w:lvlJc w:val="left"/>
      <w:pPr>
        <w:ind w:left="5760" w:hanging="1440"/>
      </w:pPr>
      <w:rPr>
        <w:rFonts w:hint="default"/>
        <w:b/>
        <w:sz w:val="22"/>
      </w:rPr>
    </w:lvl>
    <w:lvl w:ilvl="7">
      <w:start w:val="1"/>
      <w:numFmt w:val="decimal"/>
      <w:lvlText w:val="%1.%2.%3.%4.%5.%6.%7.%8."/>
      <w:lvlJc w:val="left"/>
      <w:pPr>
        <w:ind w:left="6480" w:hanging="1440"/>
      </w:pPr>
      <w:rPr>
        <w:rFonts w:hint="default"/>
        <w:b/>
        <w:sz w:val="22"/>
      </w:rPr>
    </w:lvl>
    <w:lvl w:ilvl="8">
      <w:start w:val="1"/>
      <w:numFmt w:val="decimal"/>
      <w:lvlText w:val="%1.%2.%3.%4.%5.%6.%7.%8.%9."/>
      <w:lvlJc w:val="left"/>
      <w:pPr>
        <w:ind w:left="7560" w:hanging="1800"/>
      </w:pPr>
      <w:rPr>
        <w:rFonts w:hint="default"/>
        <w:b/>
        <w:sz w:val="22"/>
      </w:rPr>
    </w:lvl>
  </w:abstractNum>
  <w:abstractNum w:abstractNumId="15" w15:restartNumberingAfterBreak="0">
    <w:nsid w:val="38D620C8"/>
    <w:multiLevelType w:val="multilevel"/>
    <w:tmpl w:val="C29671F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46E33D04"/>
    <w:multiLevelType w:val="hybridMultilevel"/>
    <w:tmpl w:val="0400E188"/>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0"/>
      <w:numFmt w:val="none"/>
      <w:lvlJc w:val="left"/>
      <w:pPr>
        <w:tabs>
          <w:tab w:val="num" w:pos="360"/>
        </w:tabs>
      </w:pPr>
    </w:lvl>
    <w:lvl w:ilvl="2">
      <w:start w:val="0"/>
      <w:numFmt w:val="none"/>
      <w:lvlJc w:val="left"/>
      <w:pPr>
        <w:tabs>
          <w:tab w:val="num" w:pos="360"/>
        </w:tabs>
      </w:pPr>
      <w:rPr>
        <w:rFonts w:hint="default"/>
        <w:sz w:val="22"/>
        <w:szCs w:val="22"/>
      </w:r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17" w15:restartNumberingAfterBreak="0">
    <w:nsid w:val="542B35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8304A3"/>
    <w:multiLevelType w:val="hybridMultilevel"/>
    <w:tmpl w:val="1A52382E"/>
    <w:lvl w:ilvl="0">
      <w:start w:val="1"/>
      <w:numFmt w:val="decimal"/>
      <w:lvlText w:val="%1."/>
      <w:lvlJc w:val="left"/>
      <w:pPr>
        <w:ind w:left="1434" w:hanging="360"/>
      </w:pPr>
    </w:lvl>
    <w:lvl w:ilvl="1" w:tentative="1">
      <w:start w:val="1"/>
      <w:numFmt w:val="lowerLetter"/>
      <w:lvlText w:val="%2."/>
      <w:lvlJc w:val="left"/>
      <w:pPr>
        <w:ind w:left="2154" w:hanging="360"/>
      </w:pPr>
    </w:lvl>
    <w:lvl w:ilvl="2" w:tentative="1">
      <w:start w:val="1"/>
      <w:numFmt w:val="lowerRoman"/>
      <w:lvlText w:val="%3."/>
      <w:lvlJc w:val="right"/>
      <w:pPr>
        <w:ind w:left="2874" w:hanging="180"/>
      </w:pPr>
    </w:lvl>
    <w:lvl w:ilvl="3" w:tentative="1">
      <w:start w:val="1"/>
      <w:numFmt w:val="decimal"/>
      <w:lvlText w:val="%4."/>
      <w:lvlJc w:val="left"/>
      <w:pPr>
        <w:ind w:left="3594" w:hanging="360"/>
      </w:pPr>
    </w:lvl>
    <w:lvl w:ilvl="4" w:tentative="1">
      <w:start w:val="1"/>
      <w:numFmt w:val="lowerLetter"/>
      <w:lvlText w:val="%5."/>
      <w:lvlJc w:val="left"/>
      <w:pPr>
        <w:ind w:left="4314" w:hanging="360"/>
      </w:pPr>
    </w:lvl>
    <w:lvl w:ilvl="5" w:tentative="1">
      <w:start w:val="1"/>
      <w:numFmt w:val="lowerRoman"/>
      <w:lvlText w:val="%6."/>
      <w:lvlJc w:val="right"/>
      <w:pPr>
        <w:ind w:left="5034" w:hanging="180"/>
      </w:pPr>
    </w:lvl>
    <w:lvl w:ilvl="6" w:tentative="1">
      <w:start w:val="1"/>
      <w:numFmt w:val="decimal"/>
      <w:lvlText w:val="%7."/>
      <w:lvlJc w:val="left"/>
      <w:pPr>
        <w:ind w:left="5754" w:hanging="360"/>
      </w:pPr>
    </w:lvl>
    <w:lvl w:ilvl="7" w:tentative="1">
      <w:start w:val="1"/>
      <w:numFmt w:val="lowerLetter"/>
      <w:lvlText w:val="%8."/>
      <w:lvlJc w:val="left"/>
      <w:pPr>
        <w:ind w:left="6474" w:hanging="360"/>
      </w:pPr>
    </w:lvl>
    <w:lvl w:ilvl="8" w:tentative="1">
      <w:start w:val="1"/>
      <w:numFmt w:val="lowerRoman"/>
      <w:lvlText w:val="%9."/>
      <w:lvlJc w:val="right"/>
      <w:pPr>
        <w:ind w:left="7194" w:hanging="180"/>
      </w:pPr>
    </w:lvl>
  </w:abstractNum>
  <w:abstractNum w:abstractNumId="19" w15:restartNumberingAfterBreak="0">
    <w:nsid w:val="7D38198C"/>
    <w:multiLevelType w:val="hybridMultilevel"/>
    <w:tmpl w:val="76A87F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3293801">
    <w:abstractNumId w:val="10"/>
  </w:num>
  <w:num w:numId="2" w16cid:durableId="424498314">
    <w:abstractNumId w:val="8"/>
  </w:num>
  <w:num w:numId="3" w16cid:durableId="445927684">
    <w:abstractNumId w:val="7"/>
  </w:num>
  <w:num w:numId="4" w16cid:durableId="153185237">
    <w:abstractNumId w:val="6"/>
  </w:num>
  <w:num w:numId="5" w16cid:durableId="1648709280">
    <w:abstractNumId w:val="5"/>
  </w:num>
  <w:num w:numId="6" w16cid:durableId="1180043677">
    <w:abstractNumId w:val="9"/>
  </w:num>
  <w:num w:numId="7" w16cid:durableId="1687558405">
    <w:abstractNumId w:val="4"/>
  </w:num>
  <w:num w:numId="8" w16cid:durableId="1935554537">
    <w:abstractNumId w:val="3"/>
  </w:num>
  <w:num w:numId="9" w16cid:durableId="1468084954">
    <w:abstractNumId w:val="2"/>
  </w:num>
  <w:num w:numId="10" w16cid:durableId="1271276037">
    <w:abstractNumId w:val="1"/>
  </w:num>
  <w:num w:numId="11" w16cid:durableId="306055683">
    <w:abstractNumId w:val="0"/>
  </w:num>
  <w:num w:numId="12" w16cid:durableId="1546717479">
    <w:abstractNumId w:val="16"/>
  </w:num>
  <w:num w:numId="13" w16cid:durableId="754281801">
    <w:abstractNumId w:val="13"/>
  </w:num>
  <w:num w:numId="14" w16cid:durableId="659580175">
    <w:abstractNumId w:val="18"/>
  </w:num>
  <w:num w:numId="15" w16cid:durableId="664935834">
    <w:abstractNumId w:val="12"/>
  </w:num>
  <w:num w:numId="16" w16cid:durableId="1911571547">
    <w:abstractNumId w:val="16"/>
    <w:lvlOverride w:ilvl="0">
      <w:startOverride w:val="1"/>
    </w:lvlOverride>
    <w:lvlOverride w:ilvl="1"/>
    <w:lvlOverride w:ilvl="2"/>
    <w:lvlOverride w:ilvl="3"/>
    <w:lvlOverride w:ilvl="4"/>
    <w:lvlOverride w:ilvl="5"/>
    <w:lvlOverride w:ilvl="6"/>
    <w:lvlOverride w:ilvl="7"/>
    <w:lvlOverride w:ilvl="8"/>
  </w:num>
  <w:num w:numId="17" w16cid:durableId="460616219">
    <w:abstractNumId w:val="15"/>
  </w:num>
  <w:num w:numId="18" w16cid:durableId="506939649">
    <w:abstractNumId w:val="17"/>
  </w:num>
  <w:num w:numId="19" w16cid:durableId="1980761259">
    <w:abstractNumId w:val="14"/>
  </w:num>
  <w:num w:numId="20" w16cid:durableId="720175574">
    <w:abstractNumId w:val="11"/>
  </w:num>
  <w:num w:numId="21" w16cid:durableId="14939108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E1"/>
    <w:rsid w:val="00006384"/>
    <w:rsid w:val="00007897"/>
    <w:rsid w:val="000116AC"/>
    <w:rsid w:val="00025B7C"/>
    <w:rsid w:val="00026999"/>
    <w:rsid w:val="00030349"/>
    <w:rsid w:val="00040006"/>
    <w:rsid w:val="00043463"/>
    <w:rsid w:val="000503C2"/>
    <w:rsid w:val="000521A0"/>
    <w:rsid w:val="00066B4B"/>
    <w:rsid w:val="000769A2"/>
    <w:rsid w:val="0009167A"/>
    <w:rsid w:val="00097354"/>
    <w:rsid w:val="000A2E24"/>
    <w:rsid w:val="000A52E0"/>
    <w:rsid w:val="000D06F4"/>
    <w:rsid w:val="000E1865"/>
    <w:rsid w:val="00104D34"/>
    <w:rsid w:val="00110804"/>
    <w:rsid w:val="00112EE5"/>
    <w:rsid w:val="00124173"/>
    <w:rsid w:val="00130F94"/>
    <w:rsid w:val="00146C50"/>
    <w:rsid w:val="00164123"/>
    <w:rsid w:val="00170AB4"/>
    <w:rsid w:val="00171184"/>
    <w:rsid w:val="00176074"/>
    <w:rsid w:val="0017668B"/>
    <w:rsid w:val="0018652B"/>
    <w:rsid w:val="00192EE1"/>
    <w:rsid w:val="001B277B"/>
    <w:rsid w:val="001B3760"/>
    <w:rsid w:val="001C4319"/>
    <w:rsid w:val="001E2C79"/>
    <w:rsid w:val="001E47F5"/>
    <w:rsid w:val="001E6FDA"/>
    <w:rsid w:val="001F5AAA"/>
    <w:rsid w:val="00224B68"/>
    <w:rsid w:val="00226BE1"/>
    <w:rsid w:val="00227501"/>
    <w:rsid w:val="002320D8"/>
    <w:rsid w:val="002353D1"/>
    <w:rsid w:val="00241C4D"/>
    <w:rsid w:val="00245175"/>
    <w:rsid w:val="0026389A"/>
    <w:rsid w:val="00265271"/>
    <w:rsid w:val="0026551C"/>
    <w:rsid w:val="00275B9E"/>
    <w:rsid w:val="002A6406"/>
    <w:rsid w:val="002A7866"/>
    <w:rsid w:val="002C62D1"/>
    <w:rsid w:val="002C774F"/>
    <w:rsid w:val="002D304E"/>
    <w:rsid w:val="002D4E65"/>
    <w:rsid w:val="002E1474"/>
    <w:rsid w:val="002E2416"/>
    <w:rsid w:val="002E2F55"/>
    <w:rsid w:val="002E46E6"/>
    <w:rsid w:val="0031129F"/>
    <w:rsid w:val="00311AD4"/>
    <w:rsid w:val="00317137"/>
    <w:rsid w:val="0032052D"/>
    <w:rsid w:val="003403C0"/>
    <w:rsid w:val="00354425"/>
    <w:rsid w:val="003548F6"/>
    <w:rsid w:val="0035510E"/>
    <w:rsid w:val="003617E1"/>
    <w:rsid w:val="00371BB5"/>
    <w:rsid w:val="003948BC"/>
    <w:rsid w:val="003B3016"/>
    <w:rsid w:val="003C798F"/>
    <w:rsid w:val="004123DE"/>
    <w:rsid w:val="00421232"/>
    <w:rsid w:val="004216F5"/>
    <w:rsid w:val="00480F43"/>
    <w:rsid w:val="00485ACE"/>
    <w:rsid w:val="00487725"/>
    <w:rsid w:val="004943F8"/>
    <w:rsid w:val="00497250"/>
    <w:rsid w:val="004A1B3A"/>
    <w:rsid w:val="004A3C3B"/>
    <w:rsid w:val="004A70DD"/>
    <w:rsid w:val="004B7D68"/>
    <w:rsid w:val="004D44CD"/>
    <w:rsid w:val="004D51A1"/>
    <w:rsid w:val="004D6537"/>
    <w:rsid w:val="004E58D8"/>
    <w:rsid w:val="004F5AB3"/>
    <w:rsid w:val="005012C5"/>
    <w:rsid w:val="00510568"/>
    <w:rsid w:val="00511C74"/>
    <w:rsid w:val="00515BB8"/>
    <w:rsid w:val="005235EC"/>
    <w:rsid w:val="00523E90"/>
    <w:rsid w:val="005302D4"/>
    <w:rsid w:val="0053397E"/>
    <w:rsid w:val="00535564"/>
    <w:rsid w:val="00536F7A"/>
    <w:rsid w:val="00542198"/>
    <w:rsid w:val="00560FFC"/>
    <w:rsid w:val="005619EE"/>
    <w:rsid w:val="005751B7"/>
    <w:rsid w:val="00577DF1"/>
    <w:rsid w:val="005856E2"/>
    <w:rsid w:val="0058628D"/>
    <w:rsid w:val="00591F5A"/>
    <w:rsid w:val="005A3961"/>
    <w:rsid w:val="005C78F5"/>
    <w:rsid w:val="005E63F8"/>
    <w:rsid w:val="005F0CC7"/>
    <w:rsid w:val="005F1953"/>
    <w:rsid w:val="005F71F6"/>
    <w:rsid w:val="0060148D"/>
    <w:rsid w:val="006017A9"/>
    <w:rsid w:val="00602661"/>
    <w:rsid w:val="0064139A"/>
    <w:rsid w:val="00641C9A"/>
    <w:rsid w:val="00663C3A"/>
    <w:rsid w:val="00664D84"/>
    <w:rsid w:val="006777D7"/>
    <w:rsid w:val="00685535"/>
    <w:rsid w:val="0068635D"/>
    <w:rsid w:val="0069708A"/>
    <w:rsid w:val="006B678F"/>
    <w:rsid w:val="006B6864"/>
    <w:rsid w:val="006C07E2"/>
    <w:rsid w:val="006E1196"/>
    <w:rsid w:val="006E1B2A"/>
    <w:rsid w:val="006F0B89"/>
    <w:rsid w:val="006F4E69"/>
    <w:rsid w:val="006F56EF"/>
    <w:rsid w:val="00703875"/>
    <w:rsid w:val="00724984"/>
    <w:rsid w:val="00732549"/>
    <w:rsid w:val="00734408"/>
    <w:rsid w:val="00736184"/>
    <w:rsid w:val="00753FCC"/>
    <w:rsid w:val="007620E4"/>
    <w:rsid w:val="007647C8"/>
    <w:rsid w:val="00776B76"/>
    <w:rsid w:val="0077733E"/>
    <w:rsid w:val="00780046"/>
    <w:rsid w:val="00790451"/>
    <w:rsid w:val="007929B8"/>
    <w:rsid w:val="00795A05"/>
    <w:rsid w:val="007A0F50"/>
    <w:rsid w:val="007A7FA7"/>
    <w:rsid w:val="007B2BDB"/>
    <w:rsid w:val="007B3BA5"/>
    <w:rsid w:val="007D083D"/>
    <w:rsid w:val="007D278A"/>
    <w:rsid w:val="007E4D1F"/>
    <w:rsid w:val="007E71A8"/>
    <w:rsid w:val="007F09D5"/>
    <w:rsid w:val="00810A8B"/>
    <w:rsid w:val="008143C6"/>
    <w:rsid w:val="00815277"/>
    <w:rsid w:val="00866384"/>
    <w:rsid w:val="00876C21"/>
    <w:rsid w:val="008811FB"/>
    <w:rsid w:val="00881F8D"/>
    <w:rsid w:val="00884276"/>
    <w:rsid w:val="00884D13"/>
    <w:rsid w:val="008A2989"/>
    <w:rsid w:val="008A505D"/>
    <w:rsid w:val="008B2190"/>
    <w:rsid w:val="008E634B"/>
    <w:rsid w:val="009059FC"/>
    <w:rsid w:val="00911CA8"/>
    <w:rsid w:val="00913FDA"/>
    <w:rsid w:val="0091707B"/>
    <w:rsid w:val="00921C12"/>
    <w:rsid w:val="00932867"/>
    <w:rsid w:val="00936ECA"/>
    <w:rsid w:val="00945936"/>
    <w:rsid w:val="00961D62"/>
    <w:rsid w:val="0097251A"/>
    <w:rsid w:val="00976A66"/>
    <w:rsid w:val="00987608"/>
    <w:rsid w:val="00992CEE"/>
    <w:rsid w:val="009962C1"/>
    <w:rsid w:val="009A20A6"/>
    <w:rsid w:val="009C02CE"/>
    <w:rsid w:val="00A022EA"/>
    <w:rsid w:val="00A21E28"/>
    <w:rsid w:val="00A2367A"/>
    <w:rsid w:val="00A27A66"/>
    <w:rsid w:val="00A27EA6"/>
    <w:rsid w:val="00A27FAD"/>
    <w:rsid w:val="00A31BB8"/>
    <w:rsid w:val="00A3207F"/>
    <w:rsid w:val="00A34417"/>
    <w:rsid w:val="00A43F7B"/>
    <w:rsid w:val="00A46F92"/>
    <w:rsid w:val="00A523BB"/>
    <w:rsid w:val="00A52D18"/>
    <w:rsid w:val="00A546CB"/>
    <w:rsid w:val="00A57A88"/>
    <w:rsid w:val="00A60140"/>
    <w:rsid w:val="00A81E14"/>
    <w:rsid w:val="00A95BEA"/>
    <w:rsid w:val="00AE476B"/>
    <w:rsid w:val="00AE6326"/>
    <w:rsid w:val="00AF69ED"/>
    <w:rsid w:val="00B04CD4"/>
    <w:rsid w:val="00B3345E"/>
    <w:rsid w:val="00B415CE"/>
    <w:rsid w:val="00B43E08"/>
    <w:rsid w:val="00B46675"/>
    <w:rsid w:val="00B50CB8"/>
    <w:rsid w:val="00B5477D"/>
    <w:rsid w:val="00B54DDB"/>
    <w:rsid w:val="00B729DD"/>
    <w:rsid w:val="00B95592"/>
    <w:rsid w:val="00B97359"/>
    <w:rsid w:val="00B978C6"/>
    <w:rsid w:val="00BC79BA"/>
    <w:rsid w:val="00BD2268"/>
    <w:rsid w:val="00BE2E88"/>
    <w:rsid w:val="00BF11EA"/>
    <w:rsid w:val="00BF4156"/>
    <w:rsid w:val="00BF6FFA"/>
    <w:rsid w:val="00C22524"/>
    <w:rsid w:val="00C247CA"/>
    <w:rsid w:val="00C25014"/>
    <w:rsid w:val="00C253A0"/>
    <w:rsid w:val="00C36D0C"/>
    <w:rsid w:val="00C41652"/>
    <w:rsid w:val="00C455F4"/>
    <w:rsid w:val="00C47F57"/>
    <w:rsid w:val="00C50EFB"/>
    <w:rsid w:val="00C52602"/>
    <w:rsid w:val="00C54835"/>
    <w:rsid w:val="00C60134"/>
    <w:rsid w:val="00C66887"/>
    <w:rsid w:val="00C72C35"/>
    <w:rsid w:val="00C72F75"/>
    <w:rsid w:val="00C91AAC"/>
    <w:rsid w:val="00CC40D3"/>
    <w:rsid w:val="00CC7400"/>
    <w:rsid w:val="00CC7CF7"/>
    <w:rsid w:val="00CD2BBB"/>
    <w:rsid w:val="00CD31F5"/>
    <w:rsid w:val="00CD4CD1"/>
    <w:rsid w:val="00CD5BD0"/>
    <w:rsid w:val="00CE185A"/>
    <w:rsid w:val="00CE4FDA"/>
    <w:rsid w:val="00CE5390"/>
    <w:rsid w:val="00CF09FE"/>
    <w:rsid w:val="00CF7D18"/>
    <w:rsid w:val="00D00399"/>
    <w:rsid w:val="00D11178"/>
    <w:rsid w:val="00D21FA6"/>
    <w:rsid w:val="00D313C8"/>
    <w:rsid w:val="00D3499C"/>
    <w:rsid w:val="00D43DE8"/>
    <w:rsid w:val="00D5095A"/>
    <w:rsid w:val="00D66CC8"/>
    <w:rsid w:val="00D71783"/>
    <w:rsid w:val="00D76E85"/>
    <w:rsid w:val="00D84BBF"/>
    <w:rsid w:val="00DA62DE"/>
    <w:rsid w:val="00DB1F4D"/>
    <w:rsid w:val="00DB2DBA"/>
    <w:rsid w:val="00DC25C2"/>
    <w:rsid w:val="00DD0FB4"/>
    <w:rsid w:val="00DD4D46"/>
    <w:rsid w:val="00DE0CF9"/>
    <w:rsid w:val="00DF46AA"/>
    <w:rsid w:val="00E02E12"/>
    <w:rsid w:val="00E267E7"/>
    <w:rsid w:val="00E26FBC"/>
    <w:rsid w:val="00E31AA8"/>
    <w:rsid w:val="00E35FB6"/>
    <w:rsid w:val="00E365CE"/>
    <w:rsid w:val="00E47A0C"/>
    <w:rsid w:val="00E52D78"/>
    <w:rsid w:val="00E5533E"/>
    <w:rsid w:val="00E60D0E"/>
    <w:rsid w:val="00E6654C"/>
    <w:rsid w:val="00E71C8D"/>
    <w:rsid w:val="00E7353C"/>
    <w:rsid w:val="00E829B5"/>
    <w:rsid w:val="00EA5E3B"/>
    <w:rsid w:val="00EA66EA"/>
    <w:rsid w:val="00EB1C7B"/>
    <w:rsid w:val="00EC50DD"/>
    <w:rsid w:val="00EF7A3D"/>
    <w:rsid w:val="00F0486A"/>
    <w:rsid w:val="00F0585E"/>
    <w:rsid w:val="00F146B6"/>
    <w:rsid w:val="00F14FE9"/>
    <w:rsid w:val="00F17AA9"/>
    <w:rsid w:val="00F26958"/>
    <w:rsid w:val="00F3614B"/>
    <w:rsid w:val="00F37E7C"/>
    <w:rsid w:val="00F51829"/>
    <w:rsid w:val="00F57E36"/>
    <w:rsid w:val="00F6549B"/>
    <w:rsid w:val="00F70862"/>
    <w:rsid w:val="00F766C6"/>
    <w:rsid w:val="00F77A80"/>
    <w:rsid w:val="00F818AF"/>
    <w:rsid w:val="00FA2AEE"/>
    <w:rsid w:val="00FA61D6"/>
    <w:rsid w:val="00FD2861"/>
    <w:rsid w:val="00FE6B7C"/>
    <w:rsid w:val="00FF6AB2"/>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05BA9C20"/>
  <w15:docId w15:val="{2A6BA21E-131E-4564-819B-E90C73AB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2">
    <w:name w:val="heading 2"/>
    <w:basedOn w:val="Normal"/>
    <w:next w:val="Normal"/>
    <w:link w:val="Heading2Char"/>
    <w:qFormat/>
    <w:rsid w:val="00487725"/>
    <w:pPr>
      <w:keepNext/>
      <w:widowControl/>
      <w:spacing w:after="0" w:line="240" w:lineRule="auto"/>
      <w:ind w:right="-710"/>
      <w:jc w:val="both"/>
      <w:outlineLvl w:val="1"/>
    </w:pPr>
    <w:rPr>
      <w:rFonts w:ascii="Times New Roman" w:eastAsia="Times New Roman" w:hAnsi="Times New Roman"/>
      <w:b/>
      <w:b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customStyle="1" w:styleId="Adresats">
    <w:name w:val="Adresats"/>
    <w:basedOn w:val="Normal"/>
    <w:rsid w:val="00C60134"/>
    <w:pPr>
      <w:widowControl/>
      <w:spacing w:after="0" w:line="240" w:lineRule="auto"/>
      <w:ind w:firstLine="6300"/>
      <w:jc w:val="both"/>
    </w:pPr>
    <w:rPr>
      <w:rFonts w:ascii="Times New Roman" w:eastAsia="Times New Roman" w:hAnsi="Times New Roman"/>
      <w:sz w:val="24"/>
      <w:szCs w:val="24"/>
      <w:lang w:val="lv-LV"/>
    </w:rPr>
  </w:style>
  <w:style w:type="paragraph" w:customStyle="1" w:styleId="Atklasts">
    <w:name w:val="Atklasts"/>
    <w:basedOn w:val="Normal"/>
    <w:rsid w:val="00C60134"/>
    <w:pPr>
      <w:widowControl/>
      <w:spacing w:after="0" w:line="240" w:lineRule="auto"/>
      <w:jc w:val="both"/>
    </w:pPr>
    <w:rPr>
      <w:rFonts w:ascii="Times New Roman" w:eastAsia="Times New Roman" w:hAnsi="Times New Roman"/>
      <w:b/>
      <w:bCs/>
      <w:sz w:val="24"/>
      <w:szCs w:val="24"/>
      <w:lang w:val="lv-LV"/>
    </w:rPr>
  </w:style>
  <w:style w:type="paragraph" w:customStyle="1" w:styleId="Teksts">
    <w:name w:val="Teksts"/>
    <w:basedOn w:val="Normal"/>
    <w:rsid w:val="00C60134"/>
    <w:pPr>
      <w:widowControl/>
      <w:spacing w:after="0" w:line="240" w:lineRule="auto"/>
      <w:jc w:val="both"/>
    </w:pPr>
    <w:rPr>
      <w:rFonts w:ascii="Times New Roman" w:eastAsia="Times New Roman" w:hAnsi="Times New Roman"/>
      <w:sz w:val="24"/>
      <w:szCs w:val="24"/>
      <w:lang w:val="lv-LV"/>
    </w:rPr>
  </w:style>
  <w:style w:type="paragraph" w:customStyle="1" w:styleId="Rekviziti">
    <w:name w:val="Rekviziti"/>
    <w:basedOn w:val="Normal"/>
    <w:rsid w:val="00C60134"/>
    <w:pPr>
      <w:widowControl/>
      <w:spacing w:after="0" w:line="240" w:lineRule="auto"/>
      <w:ind w:right="-710"/>
    </w:pPr>
    <w:rPr>
      <w:rFonts w:ascii="Times New Roman" w:eastAsia="Times New Roman" w:hAnsi="Times New Roman"/>
      <w:sz w:val="20"/>
      <w:szCs w:val="24"/>
      <w:lang w:val="lv-LV"/>
    </w:rPr>
  </w:style>
  <w:style w:type="character" w:styleId="Strong">
    <w:name w:val="Strong"/>
    <w:qFormat/>
    <w:rsid w:val="00A52D18"/>
    <w:rPr>
      <w:b/>
      <w:bCs/>
    </w:rPr>
  </w:style>
  <w:style w:type="paragraph" w:styleId="BodyText">
    <w:name w:val="Body Text"/>
    <w:basedOn w:val="Normal"/>
    <w:link w:val="BodyTextChar"/>
    <w:rsid w:val="00A52D18"/>
    <w:pPr>
      <w:widowControl/>
      <w:spacing w:after="0" w:line="240" w:lineRule="auto"/>
      <w:jc w:val="center"/>
    </w:pPr>
    <w:rPr>
      <w:rFonts w:ascii="Times New Roman" w:eastAsia="Times New Roman" w:hAnsi="Times New Roman"/>
      <w:sz w:val="24"/>
      <w:szCs w:val="24"/>
      <w:lang w:val="en-GB"/>
    </w:rPr>
  </w:style>
  <w:style w:type="character" w:customStyle="1" w:styleId="BodyTextChar">
    <w:name w:val="Body Text Char"/>
    <w:basedOn w:val="DefaultParagraphFont"/>
    <w:link w:val="BodyText"/>
    <w:rsid w:val="00A52D18"/>
    <w:rPr>
      <w:rFonts w:ascii="Times New Roman" w:eastAsia="Times New Roman" w:hAnsi="Times New Roman"/>
      <w:sz w:val="24"/>
      <w:szCs w:val="24"/>
      <w:lang w:val="en-GB" w:eastAsia="en-US"/>
    </w:rPr>
  </w:style>
  <w:style w:type="character" w:styleId="UnresolvedMention">
    <w:name w:val="Unresolved Mention"/>
    <w:basedOn w:val="DefaultParagraphFont"/>
    <w:uiPriority w:val="99"/>
    <w:semiHidden/>
    <w:unhideWhenUsed/>
    <w:rsid w:val="00A27FAD"/>
    <w:rPr>
      <w:color w:val="605E5C"/>
      <w:shd w:val="clear" w:color="auto" w:fill="E1DFDD"/>
    </w:rPr>
  </w:style>
  <w:style w:type="paragraph" w:styleId="BodyText2">
    <w:name w:val="Body Text 2"/>
    <w:basedOn w:val="Normal"/>
    <w:link w:val="BodyText2Char"/>
    <w:uiPriority w:val="99"/>
    <w:unhideWhenUsed/>
    <w:rsid w:val="00487725"/>
    <w:pPr>
      <w:spacing w:after="120" w:line="480" w:lineRule="auto"/>
    </w:pPr>
  </w:style>
  <w:style w:type="character" w:customStyle="1" w:styleId="BodyText2Char">
    <w:name w:val="Body Text 2 Char"/>
    <w:basedOn w:val="DefaultParagraphFont"/>
    <w:link w:val="BodyText2"/>
    <w:uiPriority w:val="99"/>
    <w:rsid w:val="00487725"/>
    <w:rPr>
      <w:sz w:val="22"/>
      <w:szCs w:val="22"/>
      <w:lang w:val="en-US" w:eastAsia="en-US"/>
    </w:rPr>
  </w:style>
  <w:style w:type="paragraph" w:styleId="BodyText3">
    <w:name w:val="Body Text 3"/>
    <w:basedOn w:val="Normal"/>
    <w:link w:val="BodyText3Char"/>
    <w:uiPriority w:val="99"/>
    <w:semiHidden/>
    <w:unhideWhenUsed/>
    <w:rsid w:val="00487725"/>
    <w:pPr>
      <w:spacing w:after="120"/>
    </w:pPr>
    <w:rPr>
      <w:sz w:val="16"/>
      <w:szCs w:val="16"/>
    </w:rPr>
  </w:style>
  <w:style w:type="character" w:customStyle="1" w:styleId="BodyText3Char">
    <w:name w:val="Body Text 3 Char"/>
    <w:basedOn w:val="DefaultParagraphFont"/>
    <w:link w:val="BodyText3"/>
    <w:uiPriority w:val="99"/>
    <w:semiHidden/>
    <w:rsid w:val="00487725"/>
    <w:rPr>
      <w:sz w:val="16"/>
      <w:szCs w:val="16"/>
      <w:lang w:val="en-US" w:eastAsia="en-US"/>
    </w:rPr>
  </w:style>
  <w:style w:type="character" w:customStyle="1" w:styleId="Heading2Char">
    <w:name w:val="Heading 2 Char"/>
    <w:basedOn w:val="DefaultParagraphFont"/>
    <w:link w:val="Heading2"/>
    <w:rsid w:val="00487725"/>
    <w:rPr>
      <w:rFonts w:ascii="Times New Roman" w:eastAsia="Times New Roman" w:hAnsi="Times New Roman"/>
      <w:b/>
      <w:bCs/>
      <w:sz w:val="24"/>
      <w:szCs w:val="24"/>
      <w:lang w:eastAsia="en-US"/>
    </w:rPr>
  </w:style>
  <w:style w:type="paragraph" w:styleId="ListParagraph">
    <w:name w:val="List Paragraph"/>
    <w:aliases w:val="2,Bullet list,Colorful List - Accent 12,Dot pt,H&amp;P List Paragraph,List Paragraph1,Normal bullet 2,Numurets,PPS_Bullet,Saistīto dokumentu saraksts,Strip,Syle 1,Virsraksti,h&amp;p list paragraph,list paragraph,saistīto dokumentu saraksts,syle 1"/>
    <w:basedOn w:val="Normal"/>
    <w:link w:val="ListParagraphChar"/>
    <w:uiPriority w:val="34"/>
    <w:qFormat/>
    <w:rsid w:val="00487725"/>
    <w:pPr>
      <w:ind w:left="720"/>
      <w:contextualSpacing/>
    </w:pPr>
  </w:style>
  <w:style w:type="character" w:styleId="CommentReference">
    <w:name w:val="annotation reference"/>
    <w:basedOn w:val="DefaultParagraphFont"/>
    <w:uiPriority w:val="99"/>
    <w:semiHidden/>
    <w:unhideWhenUsed/>
    <w:rsid w:val="00A43F7B"/>
    <w:rPr>
      <w:sz w:val="16"/>
      <w:szCs w:val="16"/>
    </w:rPr>
  </w:style>
  <w:style w:type="paragraph" w:styleId="CommentText">
    <w:name w:val="annotation text"/>
    <w:basedOn w:val="Normal"/>
    <w:link w:val="CommentTextChar"/>
    <w:uiPriority w:val="99"/>
    <w:unhideWhenUsed/>
    <w:rsid w:val="00A43F7B"/>
    <w:pPr>
      <w:spacing w:line="240" w:lineRule="auto"/>
    </w:pPr>
    <w:rPr>
      <w:sz w:val="20"/>
      <w:szCs w:val="20"/>
    </w:rPr>
  </w:style>
  <w:style w:type="character" w:customStyle="1" w:styleId="CommentTextChar">
    <w:name w:val="Comment Text Char"/>
    <w:basedOn w:val="DefaultParagraphFont"/>
    <w:link w:val="CommentText"/>
    <w:uiPriority w:val="99"/>
    <w:rsid w:val="00A43F7B"/>
    <w:rPr>
      <w:lang w:val="en-US" w:eastAsia="en-US"/>
    </w:rPr>
  </w:style>
  <w:style w:type="paragraph" w:styleId="CommentSubject">
    <w:name w:val="annotation subject"/>
    <w:basedOn w:val="CommentText"/>
    <w:next w:val="CommentText"/>
    <w:link w:val="CommentSubjectChar"/>
    <w:uiPriority w:val="99"/>
    <w:semiHidden/>
    <w:unhideWhenUsed/>
    <w:rsid w:val="00A43F7B"/>
    <w:rPr>
      <w:b/>
      <w:bCs/>
    </w:rPr>
  </w:style>
  <w:style w:type="character" w:customStyle="1" w:styleId="CommentSubjectChar">
    <w:name w:val="Comment Subject Char"/>
    <w:basedOn w:val="CommentTextChar"/>
    <w:link w:val="CommentSubject"/>
    <w:uiPriority w:val="99"/>
    <w:semiHidden/>
    <w:rsid w:val="00A43F7B"/>
    <w:rPr>
      <w:b/>
      <w:bCs/>
      <w:lang w:val="en-US" w:eastAsia="en-US"/>
    </w:rPr>
  </w:style>
  <w:style w:type="table" w:styleId="TableGrid">
    <w:name w:val="Table Grid"/>
    <w:basedOn w:val="TableNormal"/>
    <w:rsid w:val="00A022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BB8"/>
    <w:rPr>
      <w:color w:val="800080" w:themeColor="followedHyperlink"/>
      <w:u w:val="single"/>
    </w:rPr>
  </w:style>
  <w:style w:type="character" w:customStyle="1" w:styleId="normaltextrun">
    <w:name w:val="normaltextrun"/>
    <w:basedOn w:val="DefaultParagraphFont"/>
    <w:rsid w:val="00110804"/>
  </w:style>
  <w:style w:type="character" w:customStyle="1" w:styleId="ListParagraphChar">
    <w:name w:val="List Paragraph Char"/>
    <w:aliases w:val="2 Char,Bullet list Char,Colorful List - Accent 12 Char,Dot pt Char,H&amp;P List Paragraph Char,List Paragraph1 Char,Normal bullet 2 Char,Numurets Char,PPS_Bullet Char,Saistīto dokumentu saraksts Char,Strip Char,Syle 1 Char,syle 1 Char"/>
    <w:link w:val="ListParagraph"/>
    <w:uiPriority w:val="34"/>
    <w:qFormat/>
    <w:locked/>
    <w:rsid w:val="002E241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is.gov.lv" TargetMode="External" /><Relationship Id="rId5" Type="http://schemas.openxmlformats.org/officeDocument/2006/relationships/hyperlink" Target="https://www.iub.gov.lv/lv/skaidrojums-sankciju-piemerosana-publiskajos-iepirkumos" TargetMode="External" /><Relationship Id="rId6" Type="http://schemas.openxmlformats.org/officeDocument/2006/relationships/hyperlink" Target="mailto:Ieva.Saule@csp.gov.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IZaceste\AppData\Local\Temp\notes58C487\e_parakstam_CSP_LV.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e_parakstam_CSP_LV.dotx</Template>
  <TotalTime>34</TotalTime>
  <Pages>3</Pages>
  <Words>3829</Words>
  <Characters>2184</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CSP</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Zaceste</dc:creator>
  <cp:lastModifiedBy>Ieva Saule</cp:lastModifiedBy>
  <cp:revision>8</cp:revision>
  <cp:lastPrinted>2014-12-19T12:26:00Z</cp:lastPrinted>
  <dcterms:created xsi:type="dcterms:W3CDTF">2026-06-11T15:21:00Z</dcterms:created>
  <dcterms:modified xsi:type="dcterms:W3CDTF">2026-06-12T06:34:00Z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