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DB66B" w14:textId="77777777" w:rsidR="00ED4B1A" w:rsidRDefault="00ED4B1A" w:rsidP="00ED4B1A">
      <w:pPr>
        <w:tabs>
          <w:tab w:val="center" w:pos="4253"/>
        </w:tabs>
        <w:spacing w:before="120"/>
        <w:rPr>
          <w:b/>
          <w:noProof/>
          <w:sz w:val="30"/>
          <w:szCs w:val="30"/>
        </w:rPr>
      </w:pPr>
      <w:r>
        <w:rPr>
          <w:b/>
          <w:noProof/>
          <w:sz w:val="30"/>
          <w:szCs w:val="30"/>
        </w:rPr>
        <w:tab/>
      </w:r>
      <w:r>
        <w:rPr>
          <w:b/>
          <w:noProof/>
          <w:sz w:val="30"/>
          <w:szCs w:val="30"/>
        </w:rPr>
        <w:tab/>
      </w:r>
      <w:r w:rsidRPr="00A82E77">
        <w:rPr>
          <w:b/>
          <w:noProof/>
          <w:sz w:val="30"/>
          <w:szCs w:val="30"/>
        </w:rPr>
        <w:drawing>
          <wp:inline distT="0" distB="0" distL="0" distR="0" wp14:anchorId="4D893C29" wp14:editId="1F64F7DE">
            <wp:extent cx="617220" cy="735965"/>
            <wp:effectExtent l="0" t="0" r="0" b="0"/>
            <wp:docPr id="1" name="Picture 3"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RMALA gerbonis_black_balts_fon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220" cy="735965"/>
                    </a:xfrm>
                    <a:prstGeom prst="rect">
                      <a:avLst/>
                    </a:prstGeom>
                    <a:noFill/>
                    <a:ln>
                      <a:noFill/>
                    </a:ln>
                  </pic:spPr>
                </pic:pic>
              </a:graphicData>
            </a:graphic>
          </wp:inline>
        </w:drawing>
      </w:r>
    </w:p>
    <w:p w14:paraId="4ACBEE5A" w14:textId="1991A63D" w:rsidR="00ED4B1A" w:rsidRDefault="0014640B" w:rsidP="00B00B07">
      <w:pPr>
        <w:tabs>
          <w:tab w:val="center" w:pos="4253"/>
        </w:tabs>
        <w:jc w:val="center"/>
        <w:rPr>
          <w:caps/>
          <w:sz w:val="28"/>
          <w:szCs w:val="28"/>
        </w:rPr>
      </w:pPr>
      <w:r w:rsidRPr="0014640B">
        <w:rPr>
          <w:caps/>
          <w:sz w:val="28"/>
          <w:szCs w:val="28"/>
        </w:rPr>
        <w:t>JŪRMALAS VALSTSPILSĒTAS PAŠVALDĪBAS IESTĀDE</w:t>
      </w:r>
    </w:p>
    <w:tbl>
      <w:tblPr>
        <w:tblW w:w="9923" w:type="dxa"/>
        <w:tblInd w:w="-284" w:type="dxa"/>
        <w:tblBorders>
          <w:top w:val="single" w:sz="2" w:space="0" w:color="auto"/>
        </w:tblBorders>
        <w:tblCellMar>
          <w:left w:w="0" w:type="dxa"/>
          <w:right w:w="0" w:type="dxa"/>
        </w:tblCellMar>
        <w:tblLook w:val="04A0" w:firstRow="1" w:lastRow="0" w:firstColumn="1" w:lastColumn="0" w:noHBand="0" w:noVBand="1"/>
      </w:tblPr>
      <w:tblGrid>
        <w:gridCol w:w="9923"/>
      </w:tblGrid>
      <w:tr w:rsidR="00ED4B1A" w:rsidRPr="00754A3B" w14:paraId="54943D6B" w14:textId="77777777" w:rsidTr="001D47D4">
        <w:trPr>
          <w:trHeight w:val="569"/>
        </w:trPr>
        <w:tc>
          <w:tcPr>
            <w:tcW w:w="9923" w:type="dxa"/>
          </w:tcPr>
          <w:p w14:paraId="68699D2C" w14:textId="052C8FB4" w:rsidR="006C4268" w:rsidRPr="0014640B" w:rsidRDefault="006C4268" w:rsidP="006C4268">
            <w:pPr>
              <w:pStyle w:val="Heading3"/>
              <w:spacing w:before="120"/>
              <w:jc w:val="center"/>
              <w:rPr>
                <w:rFonts w:ascii="Times New Roman" w:hAnsi="Times New Roman"/>
                <w:sz w:val="28"/>
                <w:szCs w:val="28"/>
              </w:rPr>
            </w:pPr>
            <w:r w:rsidRPr="0014640B">
              <w:rPr>
                <w:rFonts w:ascii="Times New Roman" w:hAnsi="Times New Roman"/>
                <w:sz w:val="28"/>
                <w:szCs w:val="28"/>
              </w:rPr>
              <w:t>PAŠVALDĪBAS ĪPAŠUMU PĀRVALDĪŠANAS CENTRS</w:t>
            </w:r>
          </w:p>
          <w:p w14:paraId="6031E96F" w14:textId="77777777" w:rsidR="00ED4B1A" w:rsidRDefault="006C4268" w:rsidP="00BC3F81">
            <w:pPr>
              <w:pStyle w:val="Heading3"/>
              <w:spacing w:before="120"/>
              <w:jc w:val="center"/>
              <w:rPr>
                <w:rFonts w:ascii="Times New Roman" w:hAnsi="Times New Roman"/>
                <w:b w:val="0"/>
                <w:bCs w:val="0"/>
                <w:sz w:val="16"/>
                <w:szCs w:val="16"/>
              </w:rPr>
            </w:pPr>
            <w:r w:rsidRPr="006C4268">
              <w:rPr>
                <w:rFonts w:ascii="Times New Roman" w:hAnsi="Times New Roman"/>
                <w:b w:val="0"/>
                <w:bCs w:val="0"/>
                <w:sz w:val="16"/>
                <w:szCs w:val="16"/>
              </w:rPr>
              <w:t xml:space="preserve">Jomas iela 17, Jūrmalā, LV-2015, </w:t>
            </w:r>
            <w:proofErr w:type="spellStart"/>
            <w:r w:rsidRPr="006C4268">
              <w:rPr>
                <w:rFonts w:ascii="Times New Roman" w:hAnsi="Times New Roman"/>
                <w:b w:val="0"/>
                <w:bCs w:val="0"/>
                <w:sz w:val="16"/>
                <w:szCs w:val="16"/>
              </w:rPr>
              <w:t>reģ</w:t>
            </w:r>
            <w:proofErr w:type="spellEnd"/>
            <w:r w:rsidRPr="006C4268">
              <w:rPr>
                <w:rFonts w:ascii="Times New Roman" w:hAnsi="Times New Roman"/>
                <w:b w:val="0"/>
                <w:bCs w:val="0"/>
                <w:sz w:val="16"/>
                <w:szCs w:val="16"/>
              </w:rPr>
              <w:t xml:space="preserve">. Nr.90010478153, tālrunis 20005611, e-pasts: </w:t>
            </w:r>
            <w:hyperlink r:id="rId9" w:history="1">
              <w:r w:rsidR="00545D68" w:rsidRPr="004F7FC7">
                <w:rPr>
                  <w:rStyle w:val="Hyperlink"/>
                  <w:rFonts w:ascii="Times New Roman" w:hAnsi="Times New Roman"/>
                  <w:b w:val="0"/>
                  <w:bCs w:val="0"/>
                  <w:sz w:val="16"/>
                  <w:szCs w:val="16"/>
                </w:rPr>
                <w:t>parvaldisana@jurmala.lv</w:t>
              </w:r>
            </w:hyperlink>
            <w:r w:rsidR="00545D68">
              <w:rPr>
                <w:rFonts w:ascii="Times New Roman" w:hAnsi="Times New Roman"/>
                <w:b w:val="0"/>
                <w:bCs w:val="0"/>
                <w:sz w:val="16"/>
                <w:szCs w:val="16"/>
              </w:rPr>
              <w:t xml:space="preserve"> </w:t>
            </w:r>
          </w:p>
          <w:p w14:paraId="6EFBFFE1" w14:textId="66311C18" w:rsidR="001F1C91" w:rsidRPr="001F1C91" w:rsidRDefault="001F1C91" w:rsidP="001F1C91"/>
        </w:tc>
      </w:tr>
    </w:tbl>
    <w:p w14:paraId="56051440" w14:textId="0F1025BA" w:rsidR="00ED4B1A" w:rsidRDefault="00ED4B1A" w:rsidP="00DC198C">
      <w:pPr>
        <w:tabs>
          <w:tab w:val="center" w:pos="4253"/>
        </w:tabs>
        <w:ind w:right="851"/>
        <w:rPr>
          <w:sz w:val="26"/>
          <w:szCs w:val="26"/>
        </w:rPr>
      </w:pPr>
      <w:r>
        <w:rPr>
          <w:sz w:val="26"/>
          <w:szCs w:val="26"/>
        </w:rPr>
        <w:tab/>
        <w:t xml:space="preserve">             </w:t>
      </w:r>
      <w:r w:rsidRPr="006637ED">
        <w:rPr>
          <w:sz w:val="26"/>
          <w:szCs w:val="26"/>
        </w:rPr>
        <w:t>J</w:t>
      </w:r>
      <w:r>
        <w:rPr>
          <w:sz w:val="26"/>
          <w:szCs w:val="26"/>
        </w:rPr>
        <w:t>ūrmalā</w:t>
      </w:r>
    </w:p>
    <w:p w14:paraId="50B05E4B" w14:textId="77777777" w:rsidR="00545D68" w:rsidRDefault="00545D68" w:rsidP="00BC3F81">
      <w:pPr>
        <w:tabs>
          <w:tab w:val="center" w:pos="4253"/>
        </w:tabs>
        <w:ind w:right="851"/>
        <w:rPr>
          <w:sz w:val="26"/>
          <w:szCs w:val="26"/>
        </w:rPr>
      </w:pPr>
    </w:p>
    <w:p w14:paraId="462AE809" w14:textId="77777777" w:rsidR="003D3ED9" w:rsidRDefault="003D3ED9" w:rsidP="00BC3F81">
      <w:pPr>
        <w:tabs>
          <w:tab w:val="center" w:pos="4253"/>
        </w:tabs>
        <w:ind w:right="851"/>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567"/>
        <w:gridCol w:w="2410"/>
      </w:tblGrid>
      <w:tr w:rsidR="00FB0017" w:rsidRPr="007061DE" w14:paraId="42407FA6" w14:textId="77777777" w:rsidTr="00BB7578">
        <w:tc>
          <w:tcPr>
            <w:tcW w:w="1985" w:type="dxa"/>
            <w:tcBorders>
              <w:top w:val="nil"/>
              <w:left w:val="nil"/>
              <w:bottom w:val="single" w:sz="4" w:space="0" w:color="auto"/>
              <w:right w:val="nil"/>
            </w:tcBorders>
          </w:tcPr>
          <w:p w14:paraId="5D9E32B6" w14:textId="4F3E6708" w:rsidR="00FB0017" w:rsidRPr="007061DE" w:rsidRDefault="00281EE7" w:rsidP="00453737">
            <w:pPr>
              <w:jc w:val="both"/>
              <w:rPr>
                <w:bCs/>
                <w:szCs w:val="24"/>
              </w:rPr>
            </w:pPr>
            <w:r>
              <w:rPr>
                <w:bCs/>
                <w:szCs w:val="24"/>
              </w:rPr>
              <w:t>05.06.2026.</w:t>
            </w:r>
          </w:p>
        </w:tc>
        <w:tc>
          <w:tcPr>
            <w:tcW w:w="567" w:type="dxa"/>
            <w:tcBorders>
              <w:top w:val="nil"/>
              <w:left w:val="nil"/>
              <w:bottom w:val="nil"/>
              <w:right w:val="nil"/>
            </w:tcBorders>
          </w:tcPr>
          <w:p w14:paraId="190C537A" w14:textId="77777777" w:rsidR="00FB0017" w:rsidRPr="007061DE" w:rsidRDefault="00FB0017" w:rsidP="00453737">
            <w:pPr>
              <w:jc w:val="both"/>
              <w:rPr>
                <w:szCs w:val="24"/>
              </w:rPr>
            </w:pPr>
            <w:r w:rsidRPr="007061DE">
              <w:rPr>
                <w:szCs w:val="24"/>
              </w:rPr>
              <w:t>Nr.</w:t>
            </w:r>
          </w:p>
        </w:tc>
        <w:tc>
          <w:tcPr>
            <w:tcW w:w="2410" w:type="dxa"/>
            <w:tcBorders>
              <w:top w:val="nil"/>
              <w:left w:val="nil"/>
              <w:bottom w:val="single" w:sz="4" w:space="0" w:color="auto"/>
              <w:right w:val="nil"/>
            </w:tcBorders>
          </w:tcPr>
          <w:p w14:paraId="08EB3442" w14:textId="63ADD8D9" w:rsidR="00FB0017" w:rsidRPr="00BB7578" w:rsidRDefault="00B37B73" w:rsidP="00453737">
            <w:pPr>
              <w:overflowPunct/>
              <w:autoSpaceDE/>
              <w:autoSpaceDN/>
              <w:adjustRightInd/>
              <w:jc w:val="both"/>
              <w:textAlignment w:val="auto"/>
              <w:rPr>
                <w:bCs/>
                <w:szCs w:val="24"/>
              </w:rPr>
            </w:pPr>
            <w:r w:rsidRPr="00B37B73">
              <w:rPr>
                <w:bCs/>
                <w:szCs w:val="24"/>
              </w:rPr>
              <w:t>PIPC/2.1-3/ 26/N-277</w:t>
            </w:r>
          </w:p>
        </w:tc>
      </w:tr>
    </w:tbl>
    <w:p w14:paraId="6DE7D1F0" w14:textId="77777777" w:rsidR="00B06FD8" w:rsidRDefault="00B06FD8" w:rsidP="00B06FD8">
      <w:pPr>
        <w:tabs>
          <w:tab w:val="left" w:pos="284"/>
        </w:tabs>
        <w:ind w:right="43"/>
        <w:rPr>
          <w:b/>
          <w:sz w:val="22"/>
          <w:szCs w:val="22"/>
        </w:rPr>
      </w:pPr>
    </w:p>
    <w:p w14:paraId="0FF3BA99" w14:textId="5F9A0268" w:rsidR="00B51ED9" w:rsidRPr="00B06FD8" w:rsidRDefault="003D2065" w:rsidP="00B06FD8">
      <w:pPr>
        <w:tabs>
          <w:tab w:val="left" w:pos="284"/>
        </w:tabs>
        <w:ind w:right="45"/>
        <w:jc w:val="right"/>
        <w:rPr>
          <w:b/>
          <w:szCs w:val="24"/>
        </w:rPr>
      </w:pPr>
      <w:r w:rsidRPr="00472969">
        <w:rPr>
          <w:b/>
          <w:szCs w:val="24"/>
        </w:rPr>
        <w:t>Iespējamiem pretendentiem</w:t>
      </w:r>
      <w:r w:rsidRPr="00472969">
        <w:rPr>
          <w:szCs w:val="24"/>
        </w:rPr>
        <w:t xml:space="preserve"> </w:t>
      </w:r>
    </w:p>
    <w:p w14:paraId="1F97C563" w14:textId="77777777" w:rsidR="00B06FD8" w:rsidRPr="00472969" w:rsidRDefault="00B06FD8" w:rsidP="001F1C91">
      <w:pPr>
        <w:tabs>
          <w:tab w:val="left" w:pos="284"/>
        </w:tabs>
        <w:ind w:right="-2"/>
        <w:rPr>
          <w:b/>
          <w:i/>
          <w:iCs/>
          <w:szCs w:val="24"/>
        </w:rPr>
      </w:pPr>
    </w:p>
    <w:p w14:paraId="6D7D24E2" w14:textId="568CCB57" w:rsidR="006730A5" w:rsidRPr="00472969" w:rsidRDefault="006730A5" w:rsidP="001F1C91">
      <w:pPr>
        <w:tabs>
          <w:tab w:val="left" w:pos="284"/>
        </w:tabs>
        <w:ind w:right="-2"/>
        <w:rPr>
          <w:noProof/>
          <w:szCs w:val="24"/>
        </w:rPr>
      </w:pPr>
      <w:r w:rsidRPr="00472969">
        <w:rPr>
          <w:szCs w:val="24"/>
        </w:rPr>
        <w:t xml:space="preserve">Atbilde </w:t>
      </w:r>
      <w:r w:rsidR="00C572CE">
        <w:rPr>
          <w:szCs w:val="24"/>
        </w:rPr>
        <w:t>iepirkumā</w:t>
      </w:r>
      <w:r w:rsidRPr="00472969">
        <w:rPr>
          <w:szCs w:val="24"/>
        </w:rPr>
        <w:t xml:space="preserve"> ar ID Nr.</w:t>
      </w:r>
      <w:r w:rsidR="003272EB" w:rsidRPr="00472969">
        <w:rPr>
          <w:szCs w:val="24"/>
        </w:rPr>
        <w:t xml:space="preserve"> PIPC </w:t>
      </w:r>
      <w:r w:rsidRPr="00472969">
        <w:rPr>
          <w:noProof/>
          <w:szCs w:val="24"/>
        </w:rPr>
        <w:t>202</w:t>
      </w:r>
      <w:r w:rsidR="003272EB" w:rsidRPr="00472969">
        <w:rPr>
          <w:noProof/>
          <w:szCs w:val="24"/>
        </w:rPr>
        <w:t>6</w:t>
      </w:r>
      <w:r w:rsidRPr="00472969">
        <w:rPr>
          <w:noProof/>
          <w:szCs w:val="24"/>
        </w:rPr>
        <w:t>/</w:t>
      </w:r>
      <w:r w:rsidR="00C572CE">
        <w:rPr>
          <w:noProof/>
          <w:szCs w:val="24"/>
        </w:rPr>
        <w:t>17</w:t>
      </w:r>
    </w:p>
    <w:p w14:paraId="1746389E" w14:textId="77777777" w:rsidR="003D2065" w:rsidRPr="00A10AA3" w:rsidRDefault="003D2065" w:rsidP="001F1C91">
      <w:pPr>
        <w:tabs>
          <w:tab w:val="left" w:pos="284"/>
        </w:tabs>
        <w:ind w:right="-2"/>
        <w:rPr>
          <w:bCs/>
          <w:szCs w:val="24"/>
        </w:rPr>
      </w:pPr>
    </w:p>
    <w:p w14:paraId="7BF6BBDE" w14:textId="77950136" w:rsidR="003D2065" w:rsidRPr="00472969" w:rsidRDefault="00472C72" w:rsidP="001F1C91">
      <w:pPr>
        <w:ind w:firstLine="720"/>
        <w:jc w:val="both"/>
        <w:rPr>
          <w:b/>
          <w:szCs w:val="24"/>
        </w:rPr>
      </w:pPr>
      <w:r w:rsidRPr="00472969">
        <w:rPr>
          <w:bCs/>
          <w:szCs w:val="24"/>
        </w:rPr>
        <w:t>Pašvaldības īpašumu pārvaldīšanas centr</w:t>
      </w:r>
      <w:r w:rsidR="006730A5" w:rsidRPr="00472969">
        <w:rPr>
          <w:bCs/>
          <w:szCs w:val="24"/>
        </w:rPr>
        <w:t>a</w:t>
      </w:r>
      <w:r w:rsidR="003D2065" w:rsidRPr="00472969">
        <w:rPr>
          <w:bCs/>
          <w:szCs w:val="24"/>
        </w:rPr>
        <w:t xml:space="preserve"> </w:t>
      </w:r>
      <w:r w:rsidR="006730A5" w:rsidRPr="00472969">
        <w:rPr>
          <w:bCs/>
          <w:szCs w:val="24"/>
        </w:rPr>
        <w:t xml:space="preserve">iepirkuma komisija </w:t>
      </w:r>
      <w:r w:rsidR="003D2065" w:rsidRPr="00472969">
        <w:rPr>
          <w:bCs/>
          <w:szCs w:val="24"/>
        </w:rPr>
        <w:t>(turpmāk –</w:t>
      </w:r>
      <w:r w:rsidR="003849AC">
        <w:rPr>
          <w:bCs/>
          <w:szCs w:val="24"/>
        </w:rPr>
        <w:t xml:space="preserve"> K</w:t>
      </w:r>
      <w:r w:rsidR="006730A5" w:rsidRPr="00472969">
        <w:rPr>
          <w:bCs/>
          <w:szCs w:val="24"/>
        </w:rPr>
        <w:t>omisija</w:t>
      </w:r>
      <w:r w:rsidR="003D2065" w:rsidRPr="00472969">
        <w:rPr>
          <w:bCs/>
          <w:szCs w:val="24"/>
        </w:rPr>
        <w:t>) sniedz atbild</w:t>
      </w:r>
      <w:r w:rsidR="00FD5A5E" w:rsidRPr="00472969">
        <w:rPr>
          <w:bCs/>
          <w:szCs w:val="24"/>
        </w:rPr>
        <w:t>i</w:t>
      </w:r>
      <w:r w:rsidR="003D2065" w:rsidRPr="00472969">
        <w:rPr>
          <w:bCs/>
          <w:szCs w:val="24"/>
        </w:rPr>
        <w:t xml:space="preserve"> uz ieinteresētā pretendenta uzdot</w:t>
      </w:r>
      <w:r w:rsidR="00537E6D">
        <w:rPr>
          <w:bCs/>
          <w:szCs w:val="24"/>
        </w:rPr>
        <w:t>o</w:t>
      </w:r>
      <w:r w:rsidR="003D2065" w:rsidRPr="00472969">
        <w:rPr>
          <w:bCs/>
          <w:szCs w:val="24"/>
        </w:rPr>
        <w:t xml:space="preserve"> jautājum</w:t>
      </w:r>
      <w:r w:rsidR="00537E6D">
        <w:rPr>
          <w:bCs/>
          <w:szCs w:val="24"/>
        </w:rPr>
        <w:t>u</w:t>
      </w:r>
      <w:r w:rsidR="003D2065" w:rsidRPr="00472969">
        <w:rPr>
          <w:bCs/>
          <w:szCs w:val="24"/>
        </w:rPr>
        <w:t xml:space="preserve"> </w:t>
      </w:r>
      <w:r w:rsidR="00C572CE">
        <w:rPr>
          <w:bCs/>
          <w:szCs w:val="24"/>
        </w:rPr>
        <w:t>iepirkumā</w:t>
      </w:r>
      <w:r w:rsidR="008132FC" w:rsidRPr="00472969">
        <w:rPr>
          <w:bCs/>
          <w:szCs w:val="24"/>
        </w:rPr>
        <w:t xml:space="preserve"> ar</w:t>
      </w:r>
      <w:r w:rsidR="003D2065" w:rsidRPr="00472969">
        <w:rPr>
          <w:bCs/>
          <w:szCs w:val="24"/>
        </w:rPr>
        <w:t xml:space="preserve"> ID Nr.</w:t>
      </w:r>
      <w:r w:rsidR="008D46CF" w:rsidRPr="00472969">
        <w:rPr>
          <w:bCs/>
          <w:szCs w:val="24"/>
        </w:rPr>
        <w:t xml:space="preserve"> </w:t>
      </w:r>
      <w:r w:rsidR="003272EB" w:rsidRPr="00472969">
        <w:rPr>
          <w:bCs/>
          <w:szCs w:val="24"/>
        </w:rPr>
        <w:t>PIPC 2026/</w:t>
      </w:r>
      <w:r w:rsidR="00C572CE">
        <w:rPr>
          <w:bCs/>
          <w:szCs w:val="24"/>
        </w:rPr>
        <w:t>17</w:t>
      </w:r>
      <w:r w:rsidR="003D2065" w:rsidRPr="00472969">
        <w:rPr>
          <w:bCs/>
          <w:szCs w:val="24"/>
        </w:rPr>
        <w:t xml:space="preserve"> </w:t>
      </w:r>
      <w:r w:rsidR="00545D68" w:rsidRPr="003849AC">
        <w:rPr>
          <w:b/>
          <w:szCs w:val="24"/>
        </w:rPr>
        <w:t>“</w:t>
      </w:r>
      <w:r w:rsidR="00C572CE" w:rsidRPr="003849AC">
        <w:rPr>
          <w:b/>
          <w:szCs w:val="24"/>
        </w:rPr>
        <w:t>Āra trenažieru noma ar izpirkuma tiesībām Pašvaldības īpašumu pārvaldīšanas centra vajadzībām</w:t>
      </w:r>
      <w:r w:rsidR="00545D68" w:rsidRPr="003849AC">
        <w:rPr>
          <w:b/>
          <w:szCs w:val="24"/>
        </w:rPr>
        <w:t>”</w:t>
      </w:r>
      <w:r w:rsidR="008D46CF" w:rsidRPr="00472969">
        <w:rPr>
          <w:bCs/>
          <w:szCs w:val="24"/>
        </w:rPr>
        <w:t xml:space="preserve"> (turpmāk – </w:t>
      </w:r>
      <w:r w:rsidR="00C572CE">
        <w:rPr>
          <w:bCs/>
          <w:szCs w:val="24"/>
        </w:rPr>
        <w:t>Iepirkums</w:t>
      </w:r>
      <w:r w:rsidR="008D46CF" w:rsidRPr="00472969">
        <w:rPr>
          <w:bCs/>
          <w:szCs w:val="24"/>
        </w:rPr>
        <w:t>)</w:t>
      </w:r>
      <w:r w:rsidR="00C83FCA" w:rsidRPr="00472969">
        <w:rPr>
          <w:bCs/>
          <w:szCs w:val="24"/>
        </w:rPr>
        <w:t>.</w:t>
      </w:r>
    </w:p>
    <w:p w14:paraId="1D0CCBC3" w14:textId="77777777" w:rsidR="00026B5A" w:rsidRDefault="00026B5A" w:rsidP="001F1C91">
      <w:pPr>
        <w:shd w:val="clear" w:color="auto" w:fill="FFFFFF"/>
        <w:jc w:val="both"/>
        <w:rPr>
          <w:szCs w:val="24"/>
        </w:rPr>
      </w:pPr>
    </w:p>
    <w:p w14:paraId="4CC12D1C" w14:textId="5A46FC9A" w:rsidR="003272EB" w:rsidRPr="00C83FCA" w:rsidRDefault="003272EB" w:rsidP="001F1C91">
      <w:pPr>
        <w:shd w:val="clear" w:color="auto" w:fill="FFFFFF"/>
        <w:spacing w:after="60"/>
        <w:jc w:val="both"/>
        <w:rPr>
          <w:b/>
          <w:szCs w:val="24"/>
        </w:rPr>
      </w:pPr>
      <w:r w:rsidRPr="00C83FCA">
        <w:rPr>
          <w:b/>
          <w:szCs w:val="24"/>
        </w:rPr>
        <w:t>Jautājums</w:t>
      </w:r>
      <w:r w:rsidR="00C572CE">
        <w:rPr>
          <w:b/>
          <w:szCs w:val="24"/>
        </w:rPr>
        <w:t xml:space="preserve"> Nr.</w:t>
      </w:r>
      <w:r w:rsidR="00A10AA3">
        <w:rPr>
          <w:b/>
          <w:szCs w:val="24"/>
        </w:rPr>
        <w:t xml:space="preserve"> </w:t>
      </w:r>
      <w:r w:rsidR="00C572CE">
        <w:rPr>
          <w:b/>
          <w:szCs w:val="24"/>
        </w:rPr>
        <w:t>1</w:t>
      </w:r>
      <w:r w:rsidRPr="00C83FCA">
        <w:rPr>
          <w:b/>
          <w:szCs w:val="24"/>
        </w:rPr>
        <w:t>:</w:t>
      </w:r>
    </w:p>
    <w:p w14:paraId="48DBD675" w14:textId="2C874D2D" w:rsidR="005332F8" w:rsidRPr="005332F8" w:rsidRDefault="005332F8" w:rsidP="005332F8">
      <w:pPr>
        <w:pStyle w:val="Default"/>
        <w:ind w:firstLine="720"/>
        <w:jc w:val="both"/>
        <w:rPr>
          <w:rFonts w:ascii="Times New Roman" w:hAnsi="Times New Roman" w:cs="Times New Roman"/>
        </w:rPr>
      </w:pPr>
      <w:r w:rsidRPr="005332F8">
        <w:rPr>
          <w:rFonts w:ascii="Times New Roman" w:hAnsi="Times New Roman" w:cs="Times New Roman"/>
        </w:rPr>
        <w:t xml:space="preserve">Veicot detalizētāku tehniskās specifikācijas izvērtēšanu, radās nepieciešamība precizēt arī zemāk norādīto prasību. </w:t>
      </w:r>
    </w:p>
    <w:p w14:paraId="34BF1195" w14:textId="77777777" w:rsidR="005332F8" w:rsidRPr="005332F8" w:rsidRDefault="005332F8" w:rsidP="005332F8">
      <w:pPr>
        <w:pStyle w:val="Default"/>
        <w:ind w:firstLine="720"/>
        <w:jc w:val="both"/>
        <w:rPr>
          <w:rFonts w:ascii="Times New Roman" w:hAnsi="Times New Roman" w:cs="Times New Roman"/>
        </w:rPr>
      </w:pPr>
      <w:r w:rsidRPr="005332F8">
        <w:rPr>
          <w:rFonts w:ascii="Times New Roman" w:hAnsi="Times New Roman" w:cs="Times New Roman"/>
        </w:rPr>
        <w:t xml:space="preserve">Tehniskajā specifikācijā visiem trenažieriem ir noteikta prasība: “Svara regulēšanas solis – 2,5 kg vai 5 kg”. </w:t>
      </w:r>
    </w:p>
    <w:p w14:paraId="21125B1F" w14:textId="77777777" w:rsidR="005332F8" w:rsidRPr="005332F8" w:rsidRDefault="005332F8" w:rsidP="005332F8">
      <w:pPr>
        <w:pStyle w:val="Default"/>
        <w:ind w:firstLine="720"/>
        <w:jc w:val="both"/>
        <w:rPr>
          <w:rFonts w:ascii="Times New Roman" w:hAnsi="Times New Roman" w:cs="Times New Roman"/>
        </w:rPr>
      </w:pPr>
      <w:r w:rsidRPr="005332F8">
        <w:rPr>
          <w:rFonts w:ascii="Times New Roman" w:hAnsi="Times New Roman" w:cs="Times New Roman"/>
        </w:rPr>
        <w:t xml:space="preserve">Lūdzam precizēt, vai Pasūtītājs pieļauj arī citus svara regulēšanas soļus (piemēram, 2 kg, 3 kg vai 4 kg), ja trenažieris atbilst visām pārējām tehniskās specifikācijas prasībām, tostarp minimālajam un maksimālajam darba svaram. </w:t>
      </w:r>
    </w:p>
    <w:p w14:paraId="583E6D81" w14:textId="77777777" w:rsidR="005332F8" w:rsidRPr="005332F8" w:rsidRDefault="005332F8" w:rsidP="005332F8">
      <w:pPr>
        <w:pStyle w:val="Default"/>
        <w:ind w:firstLine="720"/>
        <w:jc w:val="both"/>
        <w:rPr>
          <w:rFonts w:ascii="Times New Roman" w:hAnsi="Times New Roman" w:cs="Times New Roman"/>
        </w:rPr>
      </w:pPr>
      <w:r w:rsidRPr="005332F8">
        <w:rPr>
          <w:rFonts w:ascii="Times New Roman" w:hAnsi="Times New Roman" w:cs="Times New Roman"/>
        </w:rPr>
        <w:t xml:space="preserve">Lūdzam skaidrot, uz kāda tehniska vai funkcionāla pamatojuma ir noteikti tieši 2,5 kg vai 5 kg regulēšanas soļi, ņemot vērā, ka mazāks regulēšanas solis ļauj lietotājam precīzāk pielāgot slodzi un nodrošina vairāk starpposmu starp dažādiem slodzes līmeņiem. </w:t>
      </w:r>
    </w:p>
    <w:p w14:paraId="6DFBE55F" w14:textId="77777777" w:rsidR="005332F8" w:rsidRPr="005332F8" w:rsidRDefault="005332F8" w:rsidP="005332F8">
      <w:pPr>
        <w:pStyle w:val="Default"/>
        <w:ind w:firstLine="720"/>
        <w:jc w:val="both"/>
        <w:rPr>
          <w:rFonts w:ascii="Times New Roman" w:hAnsi="Times New Roman" w:cs="Times New Roman"/>
        </w:rPr>
      </w:pPr>
      <w:r w:rsidRPr="005332F8">
        <w:rPr>
          <w:rFonts w:ascii="Times New Roman" w:hAnsi="Times New Roman" w:cs="Times New Roman"/>
        </w:rPr>
        <w:t xml:space="preserve">Papildus vēlamies vērst uzmanību uz to, ka āra trenažieru darba slodzes noteikšana nav salīdzināma ar klasiskajiem sporta zāļu trenažieriem, kuros slodze tiek veidota, pievienojot vai noņemot standartizētus svaru diskus ar precīzi zināmu masu. </w:t>
      </w:r>
    </w:p>
    <w:p w14:paraId="739B62D9" w14:textId="77777777" w:rsidR="005332F8" w:rsidRPr="005332F8" w:rsidRDefault="005332F8" w:rsidP="005332F8">
      <w:pPr>
        <w:pStyle w:val="Default"/>
        <w:ind w:firstLine="720"/>
        <w:jc w:val="both"/>
        <w:rPr>
          <w:rFonts w:ascii="Times New Roman" w:hAnsi="Times New Roman" w:cs="Times New Roman"/>
        </w:rPr>
      </w:pPr>
      <w:r w:rsidRPr="005332F8">
        <w:rPr>
          <w:rFonts w:ascii="Times New Roman" w:hAnsi="Times New Roman" w:cs="Times New Roman"/>
        </w:rPr>
        <w:t xml:space="preserve">Āra trenažieros slodzes regulēšana parasti notiek, pārvietojot atsvaru vai svaru bloku pa vadotnēm. Faktiskā lietotāja izjūtamā slodze ir atkarīga ne tikai no svara mehānisma pozīcijas, bet arī no konstrukcijas ģeometrijas, spēka pleca garuma, rokturu novietojuma un konkrētā vingrinājuma izpildes veida. Piemēram, viena un tā paša trenažiera izmantošana, satverot dažādus rokturus, var radīt vairāku kilogramu atšķirību lietotāja izjūtamajā slodzē, lai gan svara mehānisma pozīcija nav mainījusies. </w:t>
      </w:r>
    </w:p>
    <w:p w14:paraId="2B2C0A0E" w14:textId="77777777" w:rsidR="005332F8" w:rsidRPr="005332F8" w:rsidRDefault="005332F8" w:rsidP="005332F8">
      <w:pPr>
        <w:pStyle w:val="Default"/>
        <w:ind w:firstLine="720"/>
        <w:jc w:val="both"/>
        <w:rPr>
          <w:rFonts w:ascii="Times New Roman" w:hAnsi="Times New Roman" w:cs="Times New Roman"/>
        </w:rPr>
      </w:pPr>
      <w:r w:rsidRPr="005332F8">
        <w:rPr>
          <w:rFonts w:ascii="Times New Roman" w:hAnsi="Times New Roman" w:cs="Times New Roman"/>
        </w:rPr>
        <w:t xml:space="preserve">Tādēļ šāda tipa iekārtām nav iespējams nodrošināt, ka katrs nākamais regulēšanas solis palielina faktisko darba slodzi precīzi par 2,5 kg vai precīzi par 5 kg. Reālajā praksē darba slodzes vienmēr ir aptuvenas, un ražotāji lietotāju ērtībai tās norāda noapaļotā veidā. </w:t>
      </w:r>
    </w:p>
    <w:p w14:paraId="538A923A" w14:textId="77777777" w:rsidR="005332F8" w:rsidRPr="005332F8" w:rsidRDefault="005332F8" w:rsidP="005332F8">
      <w:pPr>
        <w:pStyle w:val="Default"/>
        <w:ind w:firstLine="720"/>
        <w:jc w:val="both"/>
        <w:rPr>
          <w:rFonts w:ascii="Times New Roman" w:hAnsi="Times New Roman" w:cs="Times New Roman"/>
        </w:rPr>
      </w:pPr>
      <w:r w:rsidRPr="005332F8">
        <w:rPr>
          <w:rFonts w:ascii="Times New Roman" w:hAnsi="Times New Roman" w:cs="Times New Roman"/>
        </w:rPr>
        <w:t xml:space="preserve">Izstrādājot savus trenažierus, esam centušies nodrošināt, lai uz iekārtām norādītās darba slodzes pēc iespējas precīzāk atbilstu faktiskajiem mērījumiem. Praksē tas nozīmē, ka atkarībā no konkrētā trenažiera konstrukcijas slodzes pieaugums starp regulēšanas pozīcijām var būt, piemēram, 2 kg, 3 kg vai 4 kg. Vienlaikus atšķirība starp faktiski izmērīto un lietotājam norādīto slodzi parasti nepārsniedz aptuveni 1 kg. </w:t>
      </w:r>
    </w:p>
    <w:p w14:paraId="06189E6E" w14:textId="77777777" w:rsidR="005332F8" w:rsidRPr="005332F8" w:rsidRDefault="005332F8" w:rsidP="005332F8">
      <w:pPr>
        <w:pStyle w:val="Default"/>
        <w:ind w:firstLine="720"/>
        <w:jc w:val="both"/>
        <w:rPr>
          <w:rFonts w:ascii="Times New Roman" w:hAnsi="Times New Roman" w:cs="Times New Roman"/>
        </w:rPr>
      </w:pPr>
      <w:r w:rsidRPr="005332F8">
        <w:rPr>
          <w:rFonts w:ascii="Times New Roman" w:hAnsi="Times New Roman" w:cs="Times New Roman"/>
        </w:rPr>
        <w:t xml:space="preserve">Piemēram, faktiskā izmērītā darba slodze var būt 52,6 kg, bet lietotājam tiek norādīti 53 kg. Nākamajā pozīcijā faktiskā slodze var būt 56,2 kg, bet lietotājam tiek norādīti 56 kg. </w:t>
      </w:r>
      <w:r w:rsidRPr="005332F8">
        <w:rPr>
          <w:rFonts w:ascii="Times New Roman" w:hAnsi="Times New Roman" w:cs="Times New Roman"/>
        </w:rPr>
        <w:lastRenderedPageBreak/>
        <w:t xml:space="preserve">Decimāldaļu attēlošana lietotājam nesniedz būtisku pievienoto vērtību, apgrūtina marķējuma uztveršanu un praktiski neietekmē treniņa procesu. </w:t>
      </w:r>
    </w:p>
    <w:p w14:paraId="79828FE4" w14:textId="77777777" w:rsidR="005332F8" w:rsidRPr="005332F8" w:rsidRDefault="005332F8" w:rsidP="005332F8">
      <w:pPr>
        <w:pStyle w:val="Default"/>
        <w:ind w:firstLine="720"/>
        <w:jc w:val="both"/>
        <w:rPr>
          <w:rFonts w:ascii="Times New Roman" w:hAnsi="Times New Roman" w:cs="Times New Roman"/>
        </w:rPr>
      </w:pPr>
      <w:r w:rsidRPr="005332F8">
        <w:rPr>
          <w:rFonts w:ascii="Times New Roman" w:hAnsi="Times New Roman" w:cs="Times New Roman"/>
        </w:rPr>
        <w:t xml:space="preserve">Tāpat, salīdzinot tirgū pieejamos āra trenažierus, esam novērojuši, ka dažādu ražotāju tehniskajās datu lapās norādītās darba slodzes ne vienmēr precīzi atbilst faktiskajiem mērījumiem. Arī plaši izmantotu ražotāju iekārtām sastopamas vairāku kilogramu novirzes, kas izriet no konstrukcijas īpatnībām un izmantotās mērīšanas metodikas. </w:t>
      </w:r>
    </w:p>
    <w:p w14:paraId="20D704EF" w14:textId="77777777" w:rsidR="005332F8" w:rsidRPr="005332F8" w:rsidRDefault="005332F8" w:rsidP="005332F8">
      <w:pPr>
        <w:pStyle w:val="Default"/>
        <w:ind w:firstLine="720"/>
        <w:jc w:val="both"/>
        <w:rPr>
          <w:rFonts w:ascii="Times New Roman" w:hAnsi="Times New Roman" w:cs="Times New Roman"/>
        </w:rPr>
      </w:pPr>
      <w:r w:rsidRPr="005332F8">
        <w:rPr>
          <w:rFonts w:ascii="Times New Roman" w:hAnsi="Times New Roman" w:cs="Times New Roman"/>
        </w:rPr>
        <w:t xml:space="preserve">Ņemot vērā iepriekš minēto, nav skaidrs, vai Pasūtītāja mērķis ir panākt, lai visas slodzes pakāpes pieaugtu tieši par 2,5 kg vai 5 kg, vai arī nodrošināt lietotājam loģisku, pakāpenisku un pietiekami precīzu slodzes regulēšanu tehniskajā specifikācijā noteiktā minimālā un maksimālā darba svara diapazonā. </w:t>
      </w:r>
    </w:p>
    <w:p w14:paraId="73E4F5E6" w14:textId="77777777" w:rsidR="005332F8" w:rsidRPr="005332F8" w:rsidRDefault="005332F8" w:rsidP="005332F8">
      <w:pPr>
        <w:pStyle w:val="Default"/>
        <w:ind w:firstLine="720"/>
        <w:jc w:val="both"/>
        <w:rPr>
          <w:rFonts w:ascii="Times New Roman" w:hAnsi="Times New Roman" w:cs="Times New Roman"/>
        </w:rPr>
      </w:pPr>
      <w:r w:rsidRPr="005332F8">
        <w:rPr>
          <w:rFonts w:ascii="Times New Roman" w:hAnsi="Times New Roman" w:cs="Times New Roman"/>
        </w:rPr>
        <w:t xml:space="preserve">Ņemot vērā, ka minimālais un maksimālais darba svars tehniskajā specifikācijā jau ir atsevišķi noteikts, lūdzam apstiprināt, ka ir pieļaujami arī tehniski un funkcionāli līdzvērtīgi risinājumi, kuros: </w:t>
      </w:r>
    </w:p>
    <w:p w14:paraId="31BA77C9" w14:textId="77777777" w:rsidR="005332F8" w:rsidRPr="005332F8" w:rsidRDefault="005332F8" w:rsidP="005332F8">
      <w:pPr>
        <w:pStyle w:val="Default"/>
        <w:numPr>
          <w:ilvl w:val="0"/>
          <w:numId w:val="18"/>
        </w:numPr>
        <w:ind w:left="993" w:hanging="284"/>
        <w:jc w:val="both"/>
        <w:rPr>
          <w:rFonts w:ascii="Times New Roman" w:hAnsi="Times New Roman" w:cs="Times New Roman"/>
        </w:rPr>
      </w:pPr>
      <w:r w:rsidRPr="005332F8">
        <w:rPr>
          <w:rFonts w:ascii="Times New Roman" w:hAnsi="Times New Roman" w:cs="Times New Roman"/>
        </w:rPr>
        <w:t xml:space="preserve">minimālais un maksimālais darba svars atbilst tehniskās specifikācijas prasībām; </w:t>
      </w:r>
    </w:p>
    <w:p w14:paraId="79B68D4A" w14:textId="77777777" w:rsidR="005332F8" w:rsidRDefault="005332F8" w:rsidP="005332F8">
      <w:pPr>
        <w:pStyle w:val="Default"/>
        <w:numPr>
          <w:ilvl w:val="0"/>
          <w:numId w:val="18"/>
        </w:numPr>
        <w:ind w:left="993" w:hanging="284"/>
        <w:jc w:val="both"/>
        <w:rPr>
          <w:rFonts w:ascii="Times New Roman" w:hAnsi="Times New Roman" w:cs="Times New Roman"/>
        </w:rPr>
      </w:pPr>
      <w:r w:rsidRPr="005332F8">
        <w:rPr>
          <w:rFonts w:ascii="Times New Roman" w:hAnsi="Times New Roman" w:cs="Times New Roman"/>
        </w:rPr>
        <w:t>svara regulēšanas solis ir diapazonā no 2 līdz 5 kg;</w:t>
      </w:r>
      <w:r>
        <w:rPr>
          <w:rFonts w:ascii="Times New Roman" w:hAnsi="Times New Roman" w:cs="Times New Roman"/>
        </w:rPr>
        <w:t xml:space="preserve"> </w:t>
      </w:r>
    </w:p>
    <w:p w14:paraId="19D4A3B1" w14:textId="119E1C76" w:rsidR="005332F8" w:rsidRPr="005332F8" w:rsidRDefault="005332F8" w:rsidP="005332F8">
      <w:pPr>
        <w:pStyle w:val="Default"/>
        <w:numPr>
          <w:ilvl w:val="0"/>
          <w:numId w:val="18"/>
        </w:numPr>
        <w:ind w:left="993" w:hanging="284"/>
        <w:jc w:val="both"/>
        <w:rPr>
          <w:rFonts w:ascii="Times New Roman" w:hAnsi="Times New Roman" w:cs="Times New Roman"/>
        </w:rPr>
      </w:pPr>
      <w:r w:rsidRPr="005332F8">
        <w:rPr>
          <w:rFonts w:ascii="Times New Roman" w:hAnsi="Times New Roman" w:cs="Times New Roman"/>
        </w:rPr>
        <w:t xml:space="preserve">lietotājam tiek nodrošināta vismaz līdzvērtīga vai labāka slodzes regulēšanas precizitāte un lietošanas ērtums nekā risinājumos ar 2,5 kg vai 5 kg regulēšanas soli. </w:t>
      </w:r>
    </w:p>
    <w:p w14:paraId="6C03203C" w14:textId="2BBB2651" w:rsidR="003272EB" w:rsidRPr="005332F8" w:rsidRDefault="005332F8" w:rsidP="005332F8">
      <w:pPr>
        <w:shd w:val="clear" w:color="auto" w:fill="FFFFFF"/>
        <w:ind w:firstLine="720"/>
        <w:jc w:val="both"/>
        <w:rPr>
          <w:szCs w:val="24"/>
        </w:rPr>
      </w:pPr>
      <w:r w:rsidRPr="005332F8">
        <w:rPr>
          <w:szCs w:val="24"/>
        </w:rPr>
        <w:t>No mūsu puses, protams, ir iespējams marķēt trenažierus ar 2,5 kg vai 5 kg soli vai samazināt regulēšanas pozīciju skaitu, lai slodze mainītos, piemēram, pa 5 kg pakāpēm. Tomēr šādā gadījumā rodas jautājums, vai tas ir nepieciešams tikai formālai atbilstībai iepirkuma prasībām, ja vienlaikus būtu iespējams piedāvāt funkcionāli labākus trenažierus ar lielāku regulēšanas pakāpju skaitu un precīzāku slodzes pielāgošanu lietotāja vajadzībām.</w:t>
      </w:r>
    </w:p>
    <w:p w14:paraId="6048B022" w14:textId="77777777" w:rsidR="00B06FD8" w:rsidRPr="00C572CE" w:rsidRDefault="00B06FD8" w:rsidP="00DC198C">
      <w:pPr>
        <w:shd w:val="clear" w:color="auto" w:fill="FFFFFF"/>
        <w:jc w:val="both"/>
        <w:rPr>
          <w:szCs w:val="24"/>
        </w:rPr>
      </w:pPr>
    </w:p>
    <w:p w14:paraId="6290137A" w14:textId="02CBAA0A" w:rsidR="008157FD" w:rsidRDefault="003272EB" w:rsidP="00F41B07">
      <w:pPr>
        <w:shd w:val="clear" w:color="auto" w:fill="FFFFFF"/>
        <w:spacing w:after="60"/>
        <w:jc w:val="both"/>
        <w:rPr>
          <w:szCs w:val="24"/>
        </w:rPr>
      </w:pPr>
      <w:r w:rsidRPr="00C83FCA">
        <w:rPr>
          <w:b/>
          <w:bCs/>
          <w:szCs w:val="24"/>
        </w:rPr>
        <w:t>Atbilde</w:t>
      </w:r>
      <w:r w:rsidR="00C572CE">
        <w:rPr>
          <w:b/>
          <w:bCs/>
          <w:szCs w:val="24"/>
        </w:rPr>
        <w:t xml:space="preserve"> uz jautājumu Nr.</w:t>
      </w:r>
      <w:r w:rsidR="00A10AA3">
        <w:rPr>
          <w:b/>
          <w:bCs/>
          <w:szCs w:val="24"/>
        </w:rPr>
        <w:t xml:space="preserve"> </w:t>
      </w:r>
      <w:r w:rsidR="00C572CE">
        <w:rPr>
          <w:b/>
          <w:bCs/>
          <w:szCs w:val="24"/>
        </w:rPr>
        <w:t>1</w:t>
      </w:r>
      <w:r w:rsidRPr="00C83FCA">
        <w:rPr>
          <w:b/>
          <w:bCs/>
          <w:szCs w:val="24"/>
        </w:rPr>
        <w:t>:</w:t>
      </w:r>
      <w:r>
        <w:rPr>
          <w:szCs w:val="24"/>
        </w:rPr>
        <w:t xml:space="preserve"> </w:t>
      </w:r>
    </w:p>
    <w:p w14:paraId="2AC884D0" w14:textId="4D690C0F" w:rsidR="00A21E97" w:rsidRPr="00A21E97" w:rsidRDefault="00A21E97" w:rsidP="00A21E97">
      <w:pPr>
        <w:shd w:val="clear" w:color="auto" w:fill="FFFFFF"/>
        <w:ind w:firstLine="720"/>
        <w:jc w:val="both"/>
        <w:rPr>
          <w:szCs w:val="24"/>
        </w:rPr>
      </w:pPr>
      <w:r w:rsidRPr="00A21E97">
        <w:rPr>
          <w:szCs w:val="24"/>
        </w:rPr>
        <w:t xml:space="preserve">Komisija skaidro, ka iepirkuma mērķis ir izveidot drošu, publiski izmantojamu </w:t>
      </w:r>
      <w:proofErr w:type="spellStart"/>
      <w:r w:rsidRPr="00A21E97">
        <w:rPr>
          <w:szCs w:val="24"/>
        </w:rPr>
        <w:t>fitnesa</w:t>
      </w:r>
      <w:proofErr w:type="spellEnd"/>
      <w:r w:rsidRPr="00A21E97">
        <w:rPr>
          <w:szCs w:val="24"/>
        </w:rPr>
        <w:t xml:space="preserve"> infrastruktūru ar minimālu uzraudzības nepieciešamību, garantējot vienotu, standartizētu pieredzi visās laukumā uzstādītājās iekārtās. Izstrādājot tehnisko specifikāciju, tika ņemts vērā, ka āra trenažierī tiks uzstādīti pludmalē. Tāpat ņemtas vērā starptautiskā standarta EN 16630:2015 prasības, Latvijas klimatiskie apstākļi un jūras piekrastes specifika (jūras smiltis, sāļš ūdens, kā arī klimata pārmaiņas un no tām izrietošais vētru spēka pieaugums, ūdens līmeņa celšanās un smilšu izskalošanās). Prasību par svara regulēšanas soli (2,5 kg vai 5 kg) Pasūtītājs noteica, lai nodrošinātu saprotamu, pakāpenisku un ergonomisku slodzes pielāgošanu dažāda sagatavotības līmeņa lietotājiem.</w:t>
      </w:r>
    </w:p>
    <w:p w14:paraId="142E6F65" w14:textId="1A226EEB" w:rsidR="009B03ED" w:rsidRDefault="00BD1FFB" w:rsidP="00BD1FFB">
      <w:pPr>
        <w:shd w:val="clear" w:color="auto" w:fill="FFFFFF"/>
        <w:ind w:firstLine="720"/>
        <w:jc w:val="both"/>
        <w:rPr>
          <w:szCs w:val="24"/>
        </w:rPr>
      </w:pPr>
      <w:r w:rsidRPr="00BD1FFB">
        <w:rPr>
          <w:szCs w:val="24"/>
        </w:rPr>
        <w:t xml:space="preserve">Atbilstoši iepirkuma tehniskajai specifikācijai āra trenažieriem obligāti jāatbilst standartam EN 16630:2015 (vai ekvivalentam), kas nosaka pastāvīgi uzstādītu āra </w:t>
      </w:r>
      <w:proofErr w:type="spellStart"/>
      <w:r w:rsidRPr="00BD1FFB">
        <w:rPr>
          <w:szCs w:val="24"/>
        </w:rPr>
        <w:t>fitnesa</w:t>
      </w:r>
      <w:proofErr w:type="spellEnd"/>
      <w:r w:rsidRPr="00BD1FFB">
        <w:rPr>
          <w:szCs w:val="24"/>
        </w:rPr>
        <w:t xml:space="preserve"> iekārtu drošības prasības un testēšanas metodes. Standarts izvirza stingrus noteikumus attiecībā uz kustīgām daļām, atstarpēm starp tām un skaidru svara regulēšanas mehānismu marķējumu lietotājam.</w:t>
      </w:r>
      <w:r>
        <w:rPr>
          <w:szCs w:val="24"/>
        </w:rPr>
        <w:t xml:space="preserve"> </w:t>
      </w:r>
      <w:r w:rsidRPr="00BD1FFB">
        <w:rPr>
          <w:szCs w:val="24"/>
        </w:rPr>
        <w:t>Tāpat jāņem vērā, ka pludmale ir īpaši agresīva ekspluatācijas vide. Trenažieri būs pastāvīgi pakļauti jūras aerosola sāļumam, mitrumam, vētrām un smilšu abrazīvajai iedarbībai. Smiltis neizbēgami iekļūst mehānismos, tādēļ, jo vairāk ir kustīgo elementu, jo ātrāk sistēma var ieķīlēties.</w:t>
      </w:r>
      <w:r>
        <w:rPr>
          <w:szCs w:val="24"/>
        </w:rPr>
        <w:t xml:space="preserve"> </w:t>
      </w:r>
      <w:r w:rsidR="009B03ED" w:rsidRPr="009B03ED">
        <w:rPr>
          <w:szCs w:val="24"/>
        </w:rPr>
        <w:t xml:space="preserve">Komisija uzsver, ka āra trenažieru ekspluatācija publiskā un neuzraudzītā pludmales vidē prasa paaugstinātus drošības standartus. Tādēļ piedāvātajam risinājumam jābūt sertificētam atbilstoši standarta EN 16630:2015 </w:t>
      </w:r>
      <w:r w:rsidRPr="00BD1FFB">
        <w:rPr>
          <w:szCs w:val="24"/>
        </w:rPr>
        <w:t>prasībām tādā konfigurācijā, kādā tas tiek piedāvāts iepirkumā</w:t>
      </w:r>
      <w:r w:rsidR="009B03ED" w:rsidRPr="009B03ED">
        <w:rPr>
          <w:szCs w:val="24"/>
        </w:rPr>
        <w:t xml:space="preserve">. Lai nodrošinātu lietderīgu publisko līdzekļu izlietojumu, pasūtītāja pienākums ir iegādāties </w:t>
      </w:r>
      <w:proofErr w:type="spellStart"/>
      <w:r w:rsidR="009B03ED" w:rsidRPr="009B03ED">
        <w:rPr>
          <w:szCs w:val="24"/>
        </w:rPr>
        <w:t>ilgmūžīgas</w:t>
      </w:r>
      <w:proofErr w:type="spellEnd"/>
      <w:r w:rsidR="009B03ED" w:rsidRPr="009B03ED">
        <w:rPr>
          <w:szCs w:val="24"/>
        </w:rPr>
        <w:t xml:space="preserve"> iekārtas ar samērīgām uzturēšanas izmaksām visā to ekspluatācijas laikā</w:t>
      </w:r>
    </w:p>
    <w:p w14:paraId="5C4EB1F4" w14:textId="77777777" w:rsidR="00A21E97" w:rsidRPr="00A21E97" w:rsidRDefault="00A21E97" w:rsidP="00A21E97">
      <w:pPr>
        <w:shd w:val="clear" w:color="auto" w:fill="FFFFFF"/>
        <w:ind w:firstLine="720"/>
        <w:jc w:val="both"/>
        <w:rPr>
          <w:szCs w:val="24"/>
        </w:rPr>
      </w:pPr>
      <w:r w:rsidRPr="00A21E97">
        <w:rPr>
          <w:szCs w:val="24"/>
        </w:rPr>
        <w:t>Komisija piekrīt, ka āra trenažiera konstrukcijas specifikās dēļ faktiskā lietotāja izjūtamā slodze ir atkarīga ne tikai no atsvara masas, bet arī no mehāniskā risinājuma, spēka plecu attiecībām, rokturu novietojuma un citiem konstrukcijas parametriem. Tādēļ slodzes vērtības šāda veida iekārtām ir uzskatāmas par orientējošām.</w:t>
      </w:r>
    </w:p>
    <w:p w14:paraId="520DBE4C" w14:textId="77777777" w:rsidR="00A21E97" w:rsidRPr="00A21E97" w:rsidRDefault="00A21E97" w:rsidP="00A21E97">
      <w:pPr>
        <w:shd w:val="clear" w:color="auto" w:fill="FFFFFF"/>
        <w:ind w:firstLine="720"/>
        <w:jc w:val="both"/>
        <w:rPr>
          <w:szCs w:val="24"/>
        </w:rPr>
      </w:pPr>
      <w:r w:rsidRPr="00A21E97">
        <w:rPr>
          <w:szCs w:val="24"/>
        </w:rPr>
        <w:t xml:space="preserve">Ņemot vērā iepriekš minēto, </w:t>
      </w:r>
      <w:r w:rsidRPr="00A21E97">
        <w:rPr>
          <w:b/>
          <w:bCs/>
          <w:szCs w:val="24"/>
        </w:rPr>
        <w:t>tehniskā specifikācija tiek precizēta</w:t>
      </w:r>
      <w:r w:rsidRPr="00A21E97">
        <w:rPr>
          <w:szCs w:val="24"/>
        </w:rPr>
        <w:t>, un iepirkumā tiek pieļauti tehniski un funkcionāli līdzvērtīgi risinājumi, ja:</w:t>
      </w:r>
    </w:p>
    <w:p w14:paraId="744A4F95" w14:textId="77777777" w:rsidR="00A21E97" w:rsidRPr="00A21E97" w:rsidRDefault="00A21E97" w:rsidP="00A21E97">
      <w:pPr>
        <w:pStyle w:val="ListParagraph"/>
        <w:numPr>
          <w:ilvl w:val="0"/>
          <w:numId w:val="22"/>
        </w:numPr>
        <w:shd w:val="clear" w:color="auto" w:fill="FFFFFF"/>
        <w:ind w:left="1134" w:hanging="425"/>
        <w:contextualSpacing w:val="0"/>
        <w:jc w:val="both"/>
        <w:rPr>
          <w:szCs w:val="24"/>
        </w:rPr>
      </w:pPr>
      <w:r w:rsidRPr="00A21E97">
        <w:rPr>
          <w:szCs w:val="24"/>
        </w:rPr>
        <w:t>tiek nodrošināts tehniskajā specifikācijā noteiktais minimālais un maksimālais darba svara diapazons;</w:t>
      </w:r>
    </w:p>
    <w:p w14:paraId="61DC0F7F" w14:textId="77777777" w:rsidR="00A21E97" w:rsidRPr="00A21E97" w:rsidRDefault="00A21E97" w:rsidP="00A21E97">
      <w:pPr>
        <w:pStyle w:val="ListParagraph"/>
        <w:numPr>
          <w:ilvl w:val="0"/>
          <w:numId w:val="22"/>
        </w:numPr>
        <w:shd w:val="clear" w:color="auto" w:fill="FFFFFF"/>
        <w:ind w:left="1134" w:hanging="425"/>
        <w:contextualSpacing w:val="0"/>
        <w:jc w:val="both"/>
        <w:rPr>
          <w:szCs w:val="24"/>
        </w:rPr>
      </w:pPr>
      <w:r w:rsidRPr="00A21E97">
        <w:rPr>
          <w:szCs w:val="24"/>
        </w:rPr>
        <w:t>svara regulēšanas solis ir robežās no 2 kg līdz 5 kg;</w:t>
      </w:r>
    </w:p>
    <w:p w14:paraId="524B6B74" w14:textId="77777777" w:rsidR="00A21E97" w:rsidRPr="00A21E97" w:rsidRDefault="00A21E97" w:rsidP="00A21E97">
      <w:pPr>
        <w:pStyle w:val="ListParagraph"/>
        <w:numPr>
          <w:ilvl w:val="0"/>
          <w:numId w:val="22"/>
        </w:numPr>
        <w:shd w:val="clear" w:color="auto" w:fill="FFFFFF"/>
        <w:ind w:left="1134" w:hanging="425"/>
        <w:contextualSpacing w:val="0"/>
        <w:jc w:val="both"/>
        <w:rPr>
          <w:szCs w:val="24"/>
        </w:rPr>
      </w:pPr>
      <w:r w:rsidRPr="00A21E97">
        <w:rPr>
          <w:szCs w:val="24"/>
        </w:rPr>
        <w:t>tiek nodrošināta loģiska, pakāpeniska un lietotājam saprotama slodzes regulēšana;</w:t>
      </w:r>
    </w:p>
    <w:p w14:paraId="326625B2" w14:textId="77777777" w:rsidR="00A21E97" w:rsidRPr="00A21E97" w:rsidRDefault="00A21E97" w:rsidP="00A21E97">
      <w:pPr>
        <w:pStyle w:val="ListParagraph"/>
        <w:numPr>
          <w:ilvl w:val="0"/>
          <w:numId w:val="22"/>
        </w:numPr>
        <w:shd w:val="clear" w:color="auto" w:fill="FFFFFF"/>
        <w:ind w:left="1134" w:hanging="425"/>
        <w:contextualSpacing w:val="0"/>
        <w:jc w:val="both"/>
        <w:rPr>
          <w:szCs w:val="24"/>
        </w:rPr>
      </w:pPr>
      <w:r w:rsidRPr="00A21E97">
        <w:rPr>
          <w:szCs w:val="24"/>
        </w:rPr>
        <w:lastRenderedPageBreak/>
        <w:t>lietotāja slodzes pielāgošanas iespējas ir vismaz līdzvērtīgas vai labākas nekā risinājumiem ar 2,5 kg vai 5 kg regulēšanas soli.</w:t>
      </w:r>
    </w:p>
    <w:p w14:paraId="13C0EE5D" w14:textId="38207ED8" w:rsidR="00A21E97" w:rsidRPr="00A21E97" w:rsidRDefault="00A21E97" w:rsidP="00A21E97">
      <w:pPr>
        <w:shd w:val="clear" w:color="auto" w:fill="FFFFFF"/>
        <w:ind w:firstLine="720"/>
        <w:jc w:val="both"/>
        <w:rPr>
          <w:szCs w:val="24"/>
        </w:rPr>
      </w:pPr>
      <w:r w:rsidRPr="00A21E97">
        <w:rPr>
          <w:szCs w:val="24"/>
        </w:rPr>
        <w:t>Attiecībā uz pretendenta apgalvojumu, ka no viņa puses ir iespējams “</w:t>
      </w:r>
      <w:r w:rsidRPr="00A21E97">
        <w:rPr>
          <w:i/>
          <w:iCs/>
          <w:szCs w:val="24"/>
        </w:rPr>
        <w:t>marķēt trenažierus ar 2,5 kg vai 5 kg soli vai samazināt regulēšanas pozīciju skaitu</w:t>
      </w:r>
      <w:r w:rsidRPr="00A21E97">
        <w:rPr>
          <w:szCs w:val="24"/>
        </w:rPr>
        <w:t xml:space="preserve">”, Komisija </w:t>
      </w:r>
      <w:r>
        <w:rPr>
          <w:szCs w:val="24"/>
        </w:rPr>
        <w:t xml:space="preserve">vēlreiz </w:t>
      </w:r>
      <w:r w:rsidRPr="00A21E97">
        <w:rPr>
          <w:szCs w:val="24"/>
        </w:rPr>
        <w:t>norāda, ka pretendenta piedāvātajiem āra trenažieriem jābūt sertificētiem atbilstoši standarta EN 16630:2015 prasībām tādā konfigurācijā un ar tādu svara regulēšanas soli, kāds tiek piedāvāts iepirkumā. Pasūtītājs patur tiesības piedāvājumu izvērtēšanas laikā pārliecināties par piedāvātā tehniskā risinājuma atbilstību iepirkuma mērķim un pieprasīt ražotajā tehnisko dokumentāciju, kas apliecina slodzes regulēšanas sistēmas darbību un lietošanas funkcionalitāti.</w:t>
      </w:r>
    </w:p>
    <w:p w14:paraId="6AF08C3F" w14:textId="77777777" w:rsidR="001673F5" w:rsidRDefault="001673F5" w:rsidP="001F1C91">
      <w:pPr>
        <w:shd w:val="clear" w:color="auto" w:fill="FFFFFF"/>
        <w:jc w:val="both"/>
        <w:rPr>
          <w:szCs w:val="24"/>
        </w:rPr>
      </w:pPr>
    </w:p>
    <w:p w14:paraId="1E936918" w14:textId="77777777" w:rsidR="00F6409E" w:rsidRPr="00EE1C20" w:rsidRDefault="00F6409E" w:rsidP="001F1C91">
      <w:pPr>
        <w:shd w:val="clear" w:color="auto" w:fill="FFFFFF"/>
        <w:jc w:val="both"/>
        <w:rPr>
          <w:szCs w:val="24"/>
        </w:rPr>
      </w:pPr>
    </w:p>
    <w:p w14:paraId="235B16B3" w14:textId="424B6AA4" w:rsidR="003D2065" w:rsidRPr="00472969" w:rsidRDefault="001D47D4" w:rsidP="001F1C91">
      <w:pPr>
        <w:tabs>
          <w:tab w:val="left" w:pos="284"/>
        </w:tabs>
        <w:ind w:right="-2"/>
        <w:rPr>
          <w:szCs w:val="24"/>
        </w:rPr>
      </w:pPr>
      <w:r w:rsidRPr="00472969">
        <w:rPr>
          <w:szCs w:val="24"/>
        </w:rPr>
        <w:t>Pašvaldības īpašumu pārvaldīšanas centra</w:t>
      </w:r>
    </w:p>
    <w:p w14:paraId="7AC23DA9" w14:textId="20071582" w:rsidR="00545D68" w:rsidRPr="00DC198C" w:rsidRDefault="003D2065" w:rsidP="00DC198C">
      <w:pPr>
        <w:jc w:val="both"/>
        <w:rPr>
          <w:szCs w:val="24"/>
        </w:rPr>
      </w:pPr>
      <w:r w:rsidRPr="00472969">
        <w:rPr>
          <w:bCs/>
          <w:szCs w:val="24"/>
        </w:rPr>
        <w:t>iepirkumu komisijas priekšsēdētāj</w:t>
      </w:r>
      <w:r w:rsidR="00ED3C9F" w:rsidRPr="00472969">
        <w:rPr>
          <w:bCs/>
          <w:szCs w:val="24"/>
        </w:rPr>
        <w:t>s</w:t>
      </w:r>
      <w:r w:rsidR="004A3485" w:rsidRPr="00472969">
        <w:rPr>
          <w:bCs/>
          <w:szCs w:val="24"/>
        </w:rPr>
        <w:t xml:space="preserve">     </w:t>
      </w:r>
      <w:r w:rsidR="00BC0A25" w:rsidRPr="00472969">
        <w:rPr>
          <w:szCs w:val="24"/>
        </w:rPr>
        <w:tab/>
      </w:r>
      <w:r w:rsidR="003272EB" w:rsidRPr="00472969">
        <w:rPr>
          <w:szCs w:val="24"/>
        </w:rPr>
        <w:t xml:space="preserve">              </w:t>
      </w:r>
      <w:r w:rsidR="00AF0A55" w:rsidRPr="00472969">
        <w:rPr>
          <w:szCs w:val="24"/>
        </w:rPr>
        <w:t>(paraksts*)</w:t>
      </w:r>
      <w:r w:rsidR="00B219E6" w:rsidRPr="00472969">
        <w:rPr>
          <w:szCs w:val="24"/>
        </w:rPr>
        <w:tab/>
      </w:r>
      <w:r w:rsidRPr="00472969">
        <w:rPr>
          <w:szCs w:val="24"/>
        </w:rPr>
        <w:t xml:space="preserve">          </w:t>
      </w:r>
      <w:r w:rsidR="00472969">
        <w:rPr>
          <w:szCs w:val="24"/>
        </w:rPr>
        <w:t xml:space="preserve">        </w:t>
      </w:r>
      <w:r w:rsidR="00F43B0B" w:rsidRPr="00472969">
        <w:rPr>
          <w:szCs w:val="24"/>
        </w:rPr>
        <w:tab/>
      </w:r>
      <w:r w:rsidR="00BF5A67" w:rsidRPr="00472969">
        <w:rPr>
          <w:szCs w:val="24"/>
        </w:rPr>
        <w:t>Z.</w:t>
      </w:r>
      <w:r w:rsidR="002C7CD5">
        <w:rPr>
          <w:szCs w:val="24"/>
        </w:rPr>
        <w:t xml:space="preserve"> </w:t>
      </w:r>
      <w:r w:rsidR="00BF5A67" w:rsidRPr="00472969">
        <w:rPr>
          <w:szCs w:val="24"/>
        </w:rPr>
        <w:t>Pavlovskis</w:t>
      </w:r>
    </w:p>
    <w:p w14:paraId="1CB4F422" w14:textId="77777777" w:rsidR="00DC7FDB" w:rsidRDefault="00DC7FDB" w:rsidP="00BB5F27">
      <w:pPr>
        <w:rPr>
          <w:b/>
          <w:bCs/>
          <w:szCs w:val="24"/>
        </w:rPr>
      </w:pPr>
    </w:p>
    <w:p w14:paraId="09C68E9D" w14:textId="77777777" w:rsidR="00F6409E" w:rsidRDefault="00F6409E" w:rsidP="00BB5F27">
      <w:pPr>
        <w:rPr>
          <w:b/>
          <w:bCs/>
          <w:szCs w:val="24"/>
        </w:rPr>
      </w:pPr>
    </w:p>
    <w:p w14:paraId="0002BBF6" w14:textId="7917AF82" w:rsidR="00D6466F" w:rsidRDefault="002F5B3B" w:rsidP="00DC7FDB">
      <w:pPr>
        <w:jc w:val="center"/>
        <w:rPr>
          <w:b/>
          <w:bCs/>
          <w:szCs w:val="24"/>
        </w:rPr>
      </w:pPr>
      <w:r>
        <w:rPr>
          <w:b/>
          <w:bCs/>
          <w:szCs w:val="24"/>
        </w:rPr>
        <w:t>*Dokuments parakstīts ar drošu elektronisko parakstu un satur laika zīmogu.</w:t>
      </w:r>
    </w:p>
    <w:p w14:paraId="432AE79E" w14:textId="77777777" w:rsidR="00DC7FDB" w:rsidRDefault="00DC7FDB" w:rsidP="001F1C91">
      <w:pPr>
        <w:rPr>
          <w:szCs w:val="24"/>
        </w:rPr>
      </w:pPr>
    </w:p>
    <w:p w14:paraId="5CAF1A6B" w14:textId="77777777" w:rsidR="00F6409E" w:rsidRDefault="00F6409E" w:rsidP="001F1C91">
      <w:pPr>
        <w:rPr>
          <w:szCs w:val="24"/>
        </w:rPr>
      </w:pPr>
    </w:p>
    <w:p w14:paraId="32DC3964" w14:textId="77777777" w:rsidR="00F6409E" w:rsidRPr="00DC7FDB" w:rsidRDefault="00F6409E" w:rsidP="001F1C91">
      <w:pPr>
        <w:rPr>
          <w:szCs w:val="24"/>
        </w:rPr>
      </w:pPr>
    </w:p>
    <w:p w14:paraId="4C0B93FE" w14:textId="13AF2634" w:rsidR="00EE1C20" w:rsidRPr="00DC3833" w:rsidRDefault="00E265B9" w:rsidP="001F1C91">
      <w:pPr>
        <w:rPr>
          <w:b/>
          <w:bCs/>
          <w:sz w:val="16"/>
          <w:szCs w:val="16"/>
        </w:rPr>
      </w:pPr>
      <w:r>
        <w:rPr>
          <w:sz w:val="16"/>
          <w:szCs w:val="16"/>
        </w:rPr>
        <w:t>Saikovska</w:t>
      </w:r>
      <w:r w:rsidR="00EE1C20" w:rsidRPr="00DC3833">
        <w:rPr>
          <w:sz w:val="16"/>
          <w:szCs w:val="16"/>
        </w:rPr>
        <w:t>, 20005611</w:t>
      </w:r>
    </w:p>
    <w:p w14:paraId="24D425AE" w14:textId="449E9B0D" w:rsidR="00EE1C20" w:rsidRPr="00DC3833" w:rsidRDefault="00E265B9" w:rsidP="001F1C91">
      <w:pPr>
        <w:rPr>
          <w:sz w:val="16"/>
          <w:szCs w:val="16"/>
        </w:rPr>
      </w:pPr>
      <w:hyperlink r:id="rId10" w:history="1">
        <w:r w:rsidRPr="001C1A12">
          <w:rPr>
            <w:rStyle w:val="Hyperlink"/>
            <w:sz w:val="16"/>
            <w:szCs w:val="16"/>
          </w:rPr>
          <w:t>julija.saikovska@jurmala.lv</w:t>
        </w:r>
      </w:hyperlink>
    </w:p>
    <w:sectPr w:rsidR="00EE1C20" w:rsidRPr="00DC3833" w:rsidSect="002261E7">
      <w:headerReference w:type="default" r:id="rId11"/>
      <w:pgSz w:w="11907" w:h="16840" w:code="9"/>
      <w:pgMar w:top="709" w:right="851" w:bottom="709" w:left="1843" w:header="39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BCDA9" w14:textId="77777777" w:rsidR="006E4C29" w:rsidRDefault="006E4C29">
      <w:r>
        <w:separator/>
      </w:r>
    </w:p>
  </w:endnote>
  <w:endnote w:type="continuationSeparator" w:id="0">
    <w:p w14:paraId="587D1FBA" w14:textId="77777777" w:rsidR="006E4C29" w:rsidRDefault="006E4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C6D11" w14:textId="77777777" w:rsidR="006E4C29" w:rsidRDefault="006E4C29">
      <w:r>
        <w:separator/>
      </w:r>
    </w:p>
  </w:footnote>
  <w:footnote w:type="continuationSeparator" w:id="0">
    <w:p w14:paraId="64E626E6" w14:textId="77777777" w:rsidR="006E4C29" w:rsidRDefault="006E4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B3BAA" w14:textId="77777777" w:rsidR="00905D77" w:rsidRDefault="00905D77"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5E119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F22CCB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D2ABAC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973D5C"/>
    <w:multiLevelType w:val="hybridMultilevel"/>
    <w:tmpl w:val="72221DA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10122E96"/>
    <w:multiLevelType w:val="hybridMultilevel"/>
    <w:tmpl w:val="3EA249F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4D972B9"/>
    <w:multiLevelType w:val="hybridMultilevel"/>
    <w:tmpl w:val="72221DAE"/>
    <w:lvl w:ilvl="0" w:tplc="19F2AAFE">
      <w:start w:val="1"/>
      <w:numFmt w:val="decimal"/>
      <w:lvlText w:val="%1."/>
      <w:lvlJc w:val="left"/>
      <w:pPr>
        <w:ind w:left="1070"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 w15:restartNumberingAfterBreak="0">
    <w:nsid w:val="171B0D57"/>
    <w:multiLevelType w:val="hybridMultilevel"/>
    <w:tmpl w:val="72221DA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15:restartNumberingAfterBreak="0">
    <w:nsid w:val="2D862A1D"/>
    <w:multiLevelType w:val="multilevel"/>
    <w:tmpl w:val="A052F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5A61BE"/>
    <w:multiLevelType w:val="hybridMultilevel"/>
    <w:tmpl w:val="34E6B8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FE167B9"/>
    <w:multiLevelType w:val="multilevel"/>
    <w:tmpl w:val="A7AAB010"/>
    <w:lvl w:ilvl="0">
      <w:start w:val="1"/>
      <w:numFmt w:val="decimal"/>
      <w:lvlText w:val="%1."/>
      <w:lvlJc w:val="left"/>
      <w:pPr>
        <w:ind w:left="720" w:hanging="360"/>
      </w:pPr>
    </w:lvl>
    <w:lvl w:ilvl="1">
      <w:start w:val="1"/>
      <w:numFmt w:val="decimal"/>
      <w:isLgl/>
      <w:lvlText w:val="%1.%2."/>
      <w:lvlJc w:val="left"/>
      <w:pPr>
        <w:ind w:left="501" w:hanging="360"/>
      </w:pPr>
      <w:rPr>
        <w:b w:val="0"/>
        <w:i w:val="0"/>
        <w:color w:val="000000" w:themeColor="text1"/>
      </w:rPr>
    </w:lvl>
    <w:lvl w:ilvl="2">
      <w:start w:val="1"/>
      <w:numFmt w:val="decimal"/>
      <w:isLgl/>
      <w:lvlText w:val="%1.%2.%3."/>
      <w:lvlJc w:val="left"/>
      <w:pPr>
        <w:ind w:left="1004" w:hanging="720"/>
      </w:pPr>
      <w:rPr>
        <w:rFonts w:ascii="Times New Roman" w:hAnsi="Times New Roman" w:cs="Times New Roman" w:hint="default"/>
      </w:rPr>
    </w:lvl>
    <w:lvl w:ilvl="3">
      <w:start w:val="1"/>
      <w:numFmt w:val="decimal"/>
      <w:isLgl/>
      <w:lvlText w:val="%1.%2.%3.%4."/>
      <w:lvlJc w:val="left"/>
      <w:pPr>
        <w:ind w:left="1288" w:hanging="720"/>
      </w:pPr>
      <w:rPr>
        <w:color w:val="auto"/>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7AA76D5"/>
    <w:multiLevelType w:val="hybridMultilevel"/>
    <w:tmpl w:val="2482E4C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48110851"/>
    <w:multiLevelType w:val="multilevel"/>
    <w:tmpl w:val="0F9406DC"/>
    <w:lvl w:ilvl="0">
      <w:start w:val="2"/>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8150E80"/>
    <w:multiLevelType w:val="hybridMultilevel"/>
    <w:tmpl w:val="72221DAE"/>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498419BE"/>
    <w:multiLevelType w:val="hybridMultilevel"/>
    <w:tmpl w:val="DC983E58"/>
    <w:lvl w:ilvl="0" w:tplc="07AA8672">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BF123B0"/>
    <w:multiLevelType w:val="hybridMultilevel"/>
    <w:tmpl w:val="D62CEB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DA2055C"/>
    <w:multiLevelType w:val="hybridMultilevel"/>
    <w:tmpl w:val="A16E7590"/>
    <w:lvl w:ilvl="0" w:tplc="FFFFFFFF">
      <w:start w:val="1"/>
      <w:numFmt w:val="bullet"/>
      <w:lvlText w:val="•"/>
      <w:lvlJc w:val="left"/>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C903915"/>
    <w:multiLevelType w:val="hybridMultilevel"/>
    <w:tmpl w:val="A7421F00"/>
    <w:lvl w:ilvl="0" w:tplc="ECA882A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66CF5BFA"/>
    <w:multiLevelType w:val="multilevel"/>
    <w:tmpl w:val="5EB23736"/>
    <w:lvl w:ilvl="0">
      <w:start w:val="4"/>
      <w:numFmt w:val="decimal"/>
      <w:lvlText w:val="%1."/>
      <w:lvlJc w:val="left"/>
      <w:pPr>
        <w:ind w:left="360" w:hanging="360"/>
      </w:pPr>
      <w:rPr>
        <w:rFonts w:eastAsia="Calibri" w:hint="default"/>
      </w:rPr>
    </w:lvl>
    <w:lvl w:ilvl="1">
      <w:start w:val="3"/>
      <w:numFmt w:val="decimal"/>
      <w:lvlText w:val="%1.%2."/>
      <w:lvlJc w:val="left"/>
      <w:pPr>
        <w:ind w:left="501" w:hanging="360"/>
      </w:pPr>
      <w:rPr>
        <w:rFonts w:eastAsia="Calibri" w:hint="default"/>
        <w:sz w:val="22"/>
        <w:szCs w:val="18"/>
      </w:rPr>
    </w:lvl>
    <w:lvl w:ilvl="2">
      <w:start w:val="1"/>
      <w:numFmt w:val="decimal"/>
      <w:lvlText w:val="%1.%2.%3."/>
      <w:lvlJc w:val="left"/>
      <w:pPr>
        <w:ind w:left="1002" w:hanging="720"/>
      </w:pPr>
      <w:rPr>
        <w:rFonts w:eastAsia="Calibri" w:hint="default"/>
      </w:rPr>
    </w:lvl>
    <w:lvl w:ilvl="3">
      <w:start w:val="1"/>
      <w:numFmt w:val="decimal"/>
      <w:lvlText w:val="%1.%2.%3.%4."/>
      <w:lvlJc w:val="left"/>
      <w:pPr>
        <w:ind w:left="1143" w:hanging="720"/>
      </w:pPr>
      <w:rPr>
        <w:rFonts w:eastAsia="Calibri" w:hint="default"/>
      </w:rPr>
    </w:lvl>
    <w:lvl w:ilvl="4">
      <w:start w:val="1"/>
      <w:numFmt w:val="decimal"/>
      <w:lvlText w:val="%1.%2.%3.%4.%5."/>
      <w:lvlJc w:val="left"/>
      <w:pPr>
        <w:ind w:left="1644" w:hanging="1080"/>
      </w:pPr>
      <w:rPr>
        <w:rFonts w:eastAsia="Calibri" w:hint="default"/>
      </w:rPr>
    </w:lvl>
    <w:lvl w:ilvl="5">
      <w:start w:val="1"/>
      <w:numFmt w:val="decimal"/>
      <w:lvlText w:val="%1.%2.%3.%4.%5.%6."/>
      <w:lvlJc w:val="left"/>
      <w:pPr>
        <w:ind w:left="1785" w:hanging="1080"/>
      </w:pPr>
      <w:rPr>
        <w:rFonts w:eastAsia="Calibri" w:hint="default"/>
      </w:rPr>
    </w:lvl>
    <w:lvl w:ilvl="6">
      <w:start w:val="1"/>
      <w:numFmt w:val="decimal"/>
      <w:lvlText w:val="%1.%2.%3.%4.%5.%6.%7."/>
      <w:lvlJc w:val="left"/>
      <w:pPr>
        <w:ind w:left="2286" w:hanging="1440"/>
      </w:pPr>
      <w:rPr>
        <w:rFonts w:eastAsia="Calibri" w:hint="default"/>
      </w:rPr>
    </w:lvl>
    <w:lvl w:ilvl="7">
      <w:start w:val="1"/>
      <w:numFmt w:val="decimal"/>
      <w:lvlText w:val="%1.%2.%3.%4.%5.%6.%7.%8."/>
      <w:lvlJc w:val="left"/>
      <w:pPr>
        <w:ind w:left="2427" w:hanging="1440"/>
      </w:pPr>
      <w:rPr>
        <w:rFonts w:eastAsia="Calibri" w:hint="default"/>
      </w:rPr>
    </w:lvl>
    <w:lvl w:ilvl="8">
      <w:start w:val="1"/>
      <w:numFmt w:val="decimal"/>
      <w:lvlText w:val="%1.%2.%3.%4.%5.%6.%7.%8.%9."/>
      <w:lvlJc w:val="left"/>
      <w:pPr>
        <w:ind w:left="2928" w:hanging="1800"/>
      </w:pPr>
      <w:rPr>
        <w:rFonts w:eastAsia="Calibri" w:hint="default"/>
      </w:rPr>
    </w:lvl>
  </w:abstractNum>
  <w:abstractNum w:abstractNumId="18" w15:restartNumberingAfterBreak="0">
    <w:nsid w:val="6DD96B3C"/>
    <w:multiLevelType w:val="hybridMultilevel"/>
    <w:tmpl w:val="813685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5504563"/>
    <w:multiLevelType w:val="hybridMultilevel"/>
    <w:tmpl w:val="4AD2AA7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0" w15:restartNumberingAfterBreak="0">
    <w:nsid w:val="786161D1"/>
    <w:multiLevelType w:val="hybridMultilevel"/>
    <w:tmpl w:val="72221DAE"/>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1" w15:restartNumberingAfterBreak="0">
    <w:nsid w:val="787D2977"/>
    <w:multiLevelType w:val="hybridMultilevel"/>
    <w:tmpl w:val="8E3297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80263817">
    <w:abstractNumId w:val="13"/>
  </w:num>
  <w:num w:numId="2" w16cid:durableId="593827406">
    <w:abstractNumId w:val="5"/>
  </w:num>
  <w:num w:numId="3" w16cid:durableId="1892039131">
    <w:abstractNumId w:val="3"/>
  </w:num>
  <w:num w:numId="4" w16cid:durableId="1820922417">
    <w:abstractNumId w:val="6"/>
  </w:num>
  <w:num w:numId="5" w16cid:durableId="642077977">
    <w:abstractNumId w:val="20"/>
  </w:num>
  <w:num w:numId="6" w16cid:durableId="801659383">
    <w:abstractNumId w:val="9"/>
  </w:num>
  <w:num w:numId="7" w16cid:durableId="1716198343">
    <w:abstractNumId w:val="17"/>
  </w:num>
  <w:num w:numId="8" w16cid:durableId="1880587513">
    <w:abstractNumId w:val="12"/>
  </w:num>
  <w:num w:numId="9" w16cid:durableId="1345324940">
    <w:abstractNumId w:val="4"/>
  </w:num>
  <w:num w:numId="10" w16cid:durableId="1186359108">
    <w:abstractNumId w:val="16"/>
  </w:num>
  <w:num w:numId="11" w16cid:durableId="173108305">
    <w:abstractNumId w:val="11"/>
  </w:num>
  <w:num w:numId="12" w16cid:durableId="2063358924">
    <w:abstractNumId w:val="21"/>
  </w:num>
  <w:num w:numId="13" w16cid:durableId="1257400770">
    <w:abstractNumId w:val="18"/>
  </w:num>
  <w:num w:numId="14" w16cid:durableId="2004040313">
    <w:abstractNumId w:val="14"/>
  </w:num>
  <w:num w:numId="15" w16cid:durableId="2107604752">
    <w:abstractNumId w:val="2"/>
  </w:num>
  <w:num w:numId="16" w16cid:durableId="959409349">
    <w:abstractNumId w:val="8"/>
  </w:num>
  <w:num w:numId="17" w16cid:durableId="986856476">
    <w:abstractNumId w:val="7"/>
  </w:num>
  <w:num w:numId="18" w16cid:durableId="408772024">
    <w:abstractNumId w:val="1"/>
  </w:num>
  <w:num w:numId="19" w16cid:durableId="478306018">
    <w:abstractNumId w:val="0"/>
  </w:num>
  <w:num w:numId="20" w16cid:durableId="656419458">
    <w:abstractNumId w:val="19"/>
  </w:num>
  <w:num w:numId="21" w16cid:durableId="1218318064">
    <w:abstractNumId w:val="10"/>
  </w:num>
  <w:num w:numId="22" w16cid:durableId="17368578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081"/>
    <w:rsid w:val="00006CF7"/>
    <w:rsid w:val="00026B5A"/>
    <w:rsid w:val="00040A34"/>
    <w:rsid w:val="00042232"/>
    <w:rsid w:val="000433CA"/>
    <w:rsid w:val="00045288"/>
    <w:rsid w:val="00061F35"/>
    <w:rsid w:val="000660C7"/>
    <w:rsid w:val="0007613B"/>
    <w:rsid w:val="00091FBD"/>
    <w:rsid w:val="000A087A"/>
    <w:rsid w:val="000A18F0"/>
    <w:rsid w:val="000B2B36"/>
    <w:rsid w:val="000C22B2"/>
    <w:rsid w:val="000E0F9C"/>
    <w:rsid w:val="000E1B6D"/>
    <w:rsid w:val="000E28D9"/>
    <w:rsid w:val="000F49DF"/>
    <w:rsid w:val="000F652F"/>
    <w:rsid w:val="001205B4"/>
    <w:rsid w:val="00127612"/>
    <w:rsid w:val="001322E9"/>
    <w:rsid w:val="00143FA6"/>
    <w:rsid w:val="0014640B"/>
    <w:rsid w:val="00147B6E"/>
    <w:rsid w:val="00151C1D"/>
    <w:rsid w:val="001528E5"/>
    <w:rsid w:val="00155489"/>
    <w:rsid w:val="001611D4"/>
    <w:rsid w:val="001619E8"/>
    <w:rsid w:val="001673F5"/>
    <w:rsid w:val="001747CE"/>
    <w:rsid w:val="00183515"/>
    <w:rsid w:val="00190446"/>
    <w:rsid w:val="00190E05"/>
    <w:rsid w:val="001925FE"/>
    <w:rsid w:val="001A300C"/>
    <w:rsid w:val="001A460C"/>
    <w:rsid w:val="001C0555"/>
    <w:rsid w:val="001D47D4"/>
    <w:rsid w:val="001E5EA4"/>
    <w:rsid w:val="001F1C91"/>
    <w:rsid w:val="002004AE"/>
    <w:rsid w:val="002039EB"/>
    <w:rsid w:val="0020477B"/>
    <w:rsid w:val="002129EF"/>
    <w:rsid w:val="00221436"/>
    <w:rsid w:val="002261E7"/>
    <w:rsid w:val="00230CAF"/>
    <w:rsid w:val="0023261A"/>
    <w:rsid w:val="00237B13"/>
    <w:rsid w:val="002525CE"/>
    <w:rsid w:val="00263FB6"/>
    <w:rsid w:val="002644EB"/>
    <w:rsid w:val="00266275"/>
    <w:rsid w:val="002664AF"/>
    <w:rsid w:val="00270258"/>
    <w:rsid w:val="00273C8A"/>
    <w:rsid w:val="0027684E"/>
    <w:rsid w:val="00280FE1"/>
    <w:rsid w:val="0028148F"/>
    <w:rsid w:val="00281EE7"/>
    <w:rsid w:val="002A33EA"/>
    <w:rsid w:val="002A7123"/>
    <w:rsid w:val="002B4E64"/>
    <w:rsid w:val="002C7CD5"/>
    <w:rsid w:val="002D6D65"/>
    <w:rsid w:val="002D7008"/>
    <w:rsid w:val="002E4742"/>
    <w:rsid w:val="002E797D"/>
    <w:rsid w:val="002F0083"/>
    <w:rsid w:val="002F304D"/>
    <w:rsid w:val="002F5B3B"/>
    <w:rsid w:val="00301B6B"/>
    <w:rsid w:val="00303B3A"/>
    <w:rsid w:val="00307DF8"/>
    <w:rsid w:val="003175E4"/>
    <w:rsid w:val="00320457"/>
    <w:rsid w:val="003272EB"/>
    <w:rsid w:val="00333CCB"/>
    <w:rsid w:val="003358D2"/>
    <w:rsid w:val="00335DFF"/>
    <w:rsid w:val="00345D89"/>
    <w:rsid w:val="00360F05"/>
    <w:rsid w:val="00360FF5"/>
    <w:rsid w:val="00364CD6"/>
    <w:rsid w:val="003724E0"/>
    <w:rsid w:val="00374613"/>
    <w:rsid w:val="00377AB3"/>
    <w:rsid w:val="00380CD6"/>
    <w:rsid w:val="00382918"/>
    <w:rsid w:val="003849AC"/>
    <w:rsid w:val="00386C93"/>
    <w:rsid w:val="003921FD"/>
    <w:rsid w:val="00394861"/>
    <w:rsid w:val="003A078F"/>
    <w:rsid w:val="003A0A39"/>
    <w:rsid w:val="003A2CA1"/>
    <w:rsid w:val="003B00CC"/>
    <w:rsid w:val="003B14CF"/>
    <w:rsid w:val="003B1D65"/>
    <w:rsid w:val="003B3E05"/>
    <w:rsid w:val="003B4CC5"/>
    <w:rsid w:val="003B685D"/>
    <w:rsid w:val="003C61DB"/>
    <w:rsid w:val="003C7A1B"/>
    <w:rsid w:val="003D2065"/>
    <w:rsid w:val="003D3ED9"/>
    <w:rsid w:val="003E75DE"/>
    <w:rsid w:val="003F1235"/>
    <w:rsid w:val="003F6EF4"/>
    <w:rsid w:val="003F7A9A"/>
    <w:rsid w:val="004077D2"/>
    <w:rsid w:val="00412BE0"/>
    <w:rsid w:val="00412CFF"/>
    <w:rsid w:val="004150ED"/>
    <w:rsid w:val="00423D7B"/>
    <w:rsid w:val="00430550"/>
    <w:rsid w:val="00436DD7"/>
    <w:rsid w:val="00445061"/>
    <w:rsid w:val="004637E9"/>
    <w:rsid w:val="00464862"/>
    <w:rsid w:val="00466271"/>
    <w:rsid w:val="00470501"/>
    <w:rsid w:val="00472969"/>
    <w:rsid w:val="00472C72"/>
    <w:rsid w:val="00476119"/>
    <w:rsid w:val="00480803"/>
    <w:rsid w:val="00492E57"/>
    <w:rsid w:val="004939A8"/>
    <w:rsid w:val="00494528"/>
    <w:rsid w:val="004A3485"/>
    <w:rsid w:val="004B25E6"/>
    <w:rsid w:val="004B43B8"/>
    <w:rsid w:val="004D1111"/>
    <w:rsid w:val="004D20BB"/>
    <w:rsid w:val="00500AC0"/>
    <w:rsid w:val="00503DC8"/>
    <w:rsid w:val="00504A2B"/>
    <w:rsid w:val="005164A3"/>
    <w:rsid w:val="00516AC1"/>
    <w:rsid w:val="0052041E"/>
    <w:rsid w:val="00526C77"/>
    <w:rsid w:val="005332F8"/>
    <w:rsid w:val="00537E6D"/>
    <w:rsid w:val="00545D68"/>
    <w:rsid w:val="00547B73"/>
    <w:rsid w:val="005500FB"/>
    <w:rsid w:val="0055723F"/>
    <w:rsid w:val="00571CB6"/>
    <w:rsid w:val="0057247A"/>
    <w:rsid w:val="005738D9"/>
    <w:rsid w:val="00580DF5"/>
    <w:rsid w:val="005A1498"/>
    <w:rsid w:val="005D2A42"/>
    <w:rsid w:val="005E06F3"/>
    <w:rsid w:val="00600F91"/>
    <w:rsid w:val="0060479F"/>
    <w:rsid w:val="00604BC7"/>
    <w:rsid w:val="00625CEE"/>
    <w:rsid w:val="00627156"/>
    <w:rsid w:val="006418F3"/>
    <w:rsid w:val="006466A2"/>
    <w:rsid w:val="00670F29"/>
    <w:rsid w:val="006730A5"/>
    <w:rsid w:val="00680C27"/>
    <w:rsid w:val="006873AC"/>
    <w:rsid w:val="00693C10"/>
    <w:rsid w:val="006B1D07"/>
    <w:rsid w:val="006B6F33"/>
    <w:rsid w:val="006C4268"/>
    <w:rsid w:val="006C717A"/>
    <w:rsid w:val="006E4C29"/>
    <w:rsid w:val="006E5B08"/>
    <w:rsid w:val="006F0744"/>
    <w:rsid w:val="00707E29"/>
    <w:rsid w:val="00712AE8"/>
    <w:rsid w:val="007134CA"/>
    <w:rsid w:val="00724BFB"/>
    <w:rsid w:val="00726A00"/>
    <w:rsid w:val="0074003B"/>
    <w:rsid w:val="00744CC0"/>
    <w:rsid w:val="00762BEC"/>
    <w:rsid w:val="00764175"/>
    <w:rsid w:val="007643E1"/>
    <w:rsid w:val="007821A0"/>
    <w:rsid w:val="00782391"/>
    <w:rsid w:val="00792B07"/>
    <w:rsid w:val="007A297C"/>
    <w:rsid w:val="007C7017"/>
    <w:rsid w:val="007D739D"/>
    <w:rsid w:val="007F6770"/>
    <w:rsid w:val="0080560E"/>
    <w:rsid w:val="00812321"/>
    <w:rsid w:val="0081239F"/>
    <w:rsid w:val="008132FC"/>
    <w:rsid w:val="008157FD"/>
    <w:rsid w:val="00817E1A"/>
    <w:rsid w:val="00821A99"/>
    <w:rsid w:val="00831C22"/>
    <w:rsid w:val="008367B4"/>
    <w:rsid w:val="00844672"/>
    <w:rsid w:val="008467E0"/>
    <w:rsid w:val="0086766F"/>
    <w:rsid w:val="00867E30"/>
    <w:rsid w:val="00894566"/>
    <w:rsid w:val="0089716F"/>
    <w:rsid w:val="008A0C06"/>
    <w:rsid w:val="008A5314"/>
    <w:rsid w:val="008A5E6D"/>
    <w:rsid w:val="008B75E1"/>
    <w:rsid w:val="008C53B4"/>
    <w:rsid w:val="008D23C8"/>
    <w:rsid w:val="008D46CF"/>
    <w:rsid w:val="008D71DB"/>
    <w:rsid w:val="008E1F69"/>
    <w:rsid w:val="008E6E60"/>
    <w:rsid w:val="00905D77"/>
    <w:rsid w:val="00910D82"/>
    <w:rsid w:val="009114B9"/>
    <w:rsid w:val="00924495"/>
    <w:rsid w:val="009316F0"/>
    <w:rsid w:val="00934267"/>
    <w:rsid w:val="009368DE"/>
    <w:rsid w:val="00966EDB"/>
    <w:rsid w:val="00973E47"/>
    <w:rsid w:val="009A2B9A"/>
    <w:rsid w:val="009A554F"/>
    <w:rsid w:val="009A6A96"/>
    <w:rsid w:val="009B03ED"/>
    <w:rsid w:val="009C4696"/>
    <w:rsid w:val="009E6A22"/>
    <w:rsid w:val="009F0F66"/>
    <w:rsid w:val="009F66C7"/>
    <w:rsid w:val="009F6BA6"/>
    <w:rsid w:val="00A064B9"/>
    <w:rsid w:val="00A10AA3"/>
    <w:rsid w:val="00A16FA2"/>
    <w:rsid w:val="00A205D4"/>
    <w:rsid w:val="00A21E97"/>
    <w:rsid w:val="00A31C2E"/>
    <w:rsid w:val="00A32F1F"/>
    <w:rsid w:val="00A33938"/>
    <w:rsid w:val="00A363F3"/>
    <w:rsid w:val="00A37F38"/>
    <w:rsid w:val="00A42364"/>
    <w:rsid w:val="00A43F44"/>
    <w:rsid w:val="00A46FF3"/>
    <w:rsid w:val="00A50D6F"/>
    <w:rsid w:val="00A53678"/>
    <w:rsid w:val="00A53BAC"/>
    <w:rsid w:val="00A63401"/>
    <w:rsid w:val="00A90901"/>
    <w:rsid w:val="00A91499"/>
    <w:rsid w:val="00A94696"/>
    <w:rsid w:val="00A9471C"/>
    <w:rsid w:val="00A95B48"/>
    <w:rsid w:val="00AA09F1"/>
    <w:rsid w:val="00AA4409"/>
    <w:rsid w:val="00AA7F5C"/>
    <w:rsid w:val="00AB5826"/>
    <w:rsid w:val="00AB63B6"/>
    <w:rsid w:val="00AC27D5"/>
    <w:rsid w:val="00AC6356"/>
    <w:rsid w:val="00AD224A"/>
    <w:rsid w:val="00AE4C26"/>
    <w:rsid w:val="00AF0A55"/>
    <w:rsid w:val="00AF1081"/>
    <w:rsid w:val="00AF3071"/>
    <w:rsid w:val="00AF3B32"/>
    <w:rsid w:val="00AF488B"/>
    <w:rsid w:val="00AF69CE"/>
    <w:rsid w:val="00AF7E7E"/>
    <w:rsid w:val="00B00B07"/>
    <w:rsid w:val="00B06FD8"/>
    <w:rsid w:val="00B16EB0"/>
    <w:rsid w:val="00B219E6"/>
    <w:rsid w:val="00B30912"/>
    <w:rsid w:val="00B33DBB"/>
    <w:rsid w:val="00B37B73"/>
    <w:rsid w:val="00B457AC"/>
    <w:rsid w:val="00B51ED9"/>
    <w:rsid w:val="00B5530A"/>
    <w:rsid w:val="00B63AF6"/>
    <w:rsid w:val="00B7322E"/>
    <w:rsid w:val="00B814D5"/>
    <w:rsid w:val="00B82719"/>
    <w:rsid w:val="00B83536"/>
    <w:rsid w:val="00B963A2"/>
    <w:rsid w:val="00B97234"/>
    <w:rsid w:val="00BA6D70"/>
    <w:rsid w:val="00BA7C66"/>
    <w:rsid w:val="00BB2735"/>
    <w:rsid w:val="00BB4ADE"/>
    <w:rsid w:val="00BB5D22"/>
    <w:rsid w:val="00BB5F27"/>
    <w:rsid w:val="00BB7578"/>
    <w:rsid w:val="00BC0A25"/>
    <w:rsid w:val="00BC3F81"/>
    <w:rsid w:val="00BC5B37"/>
    <w:rsid w:val="00BD1FFB"/>
    <w:rsid w:val="00BE2E68"/>
    <w:rsid w:val="00BE5532"/>
    <w:rsid w:val="00BF5A67"/>
    <w:rsid w:val="00C0544E"/>
    <w:rsid w:val="00C14C6E"/>
    <w:rsid w:val="00C40BC7"/>
    <w:rsid w:val="00C55F8B"/>
    <w:rsid w:val="00C572CE"/>
    <w:rsid w:val="00C66A34"/>
    <w:rsid w:val="00C72E44"/>
    <w:rsid w:val="00C8160B"/>
    <w:rsid w:val="00C828C2"/>
    <w:rsid w:val="00C83FCA"/>
    <w:rsid w:val="00C92B7D"/>
    <w:rsid w:val="00C95837"/>
    <w:rsid w:val="00C97D58"/>
    <w:rsid w:val="00C97D87"/>
    <w:rsid w:val="00CA1A89"/>
    <w:rsid w:val="00CC455D"/>
    <w:rsid w:val="00CC5DDE"/>
    <w:rsid w:val="00CD4D71"/>
    <w:rsid w:val="00CE03AA"/>
    <w:rsid w:val="00CF23F7"/>
    <w:rsid w:val="00CF6252"/>
    <w:rsid w:val="00D03188"/>
    <w:rsid w:val="00D051D1"/>
    <w:rsid w:val="00D163F1"/>
    <w:rsid w:val="00D30B6A"/>
    <w:rsid w:val="00D32156"/>
    <w:rsid w:val="00D366CC"/>
    <w:rsid w:val="00D41E86"/>
    <w:rsid w:val="00D4431E"/>
    <w:rsid w:val="00D47321"/>
    <w:rsid w:val="00D6466F"/>
    <w:rsid w:val="00D6526F"/>
    <w:rsid w:val="00D9013A"/>
    <w:rsid w:val="00D971CC"/>
    <w:rsid w:val="00D97213"/>
    <w:rsid w:val="00DA0E50"/>
    <w:rsid w:val="00DA0EBC"/>
    <w:rsid w:val="00DA3575"/>
    <w:rsid w:val="00DA4F3A"/>
    <w:rsid w:val="00DC1740"/>
    <w:rsid w:val="00DC198C"/>
    <w:rsid w:val="00DC2D36"/>
    <w:rsid w:val="00DC3833"/>
    <w:rsid w:val="00DC4703"/>
    <w:rsid w:val="00DC7FDB"/>
    <w:rsid w:val="00DD2B35"/>
    <w:rsid w:val="00DD5877"/>
    <w:rsid w:val="00DD6DD2"/>
    <w:rsid w:val="00DF1858"/>
    <w:rsid w:val="00E012B6"/>
    <w:rsid w:val="00E0261D"/>
    <w:rsid w:val="00E047EE"/>
    <w:rsid w:val="00E24CFB"/>
    <w:rsid w:val="00E265B9"/>
    <w:rsid w:val="00E31274"/>
    <w:rsid w:val="00E3192D"/>
    <w:rsid w:val="00E32FA3"/>
    <w:rsid w:val="00E52603"/>
    <w:rsid w:val="00E623EE"/>
    <w:rsid w:val="00E63299"/>
    <w:rsid w:val="00E71899"/>
    <w:rsid w:val="00EA65F9"/>
    <w:rsid w:val="00EA731F"/>
    <w:rsid w:val="00EA7BA7"/>
    <w:rsid w:val="00EB077E"/>
    <w:rsid w:val="00EB0A86"/>
    <w:rsid w:val="00EB4CD6"/>
    <w:rsid w:val="00EC0D72"/>
    <w:rsid w:val="00EC167A"/>
    <w:rsid w:val="00EC78BC"/>
    <w:rsid w:val="00ED3C9F"/>
    <w:rsid w:val="00ED4B1A"/>
    <w:rsid w:val="00EE1C20"/>
    <w:rsid w:val="00EE5446"/>
    <w:rsid w:val="00F109BA"/>
    <w:rsid w:val="00F1251A"/>
    <w:rsid w:val="00F172F8"/>
    <w:rsid w:val="00F215CB"/>
    <w:rsid w:val="00F32579"/>
    <w:rsid w:val="00F404C2"/>
    <w:rsid w:val="00F41B07"/>
    <w:rsid w:val="00F439F7"/>
    <w:rsid w:val="00F43B0B"/>
    <w:rsid w:val="00F44CBC"/>
    <w:rsid w:val="00F5352F"/>
    <w:rsid w:val="00F551EC"/>
    <w:rsid w:val="00F6409E"/>
    <w:rsid w:val="00F95A2F"/>
    <w:rsid w:val="00FA020F"/>
    <w:rsid w:val="00FA4666"/>
    <w:rsid w:val="00FB0017"/>
    <w:rsid w:val="00FC42F0"/>
    <w:rsid w:val="00FD0FB2"/>
    <w:rsid w:val="00FD1EB1"/>
    <w:rsid w:val="00FD5A5E"/>
    <w:rsid w:val="00FF0771"/>
    <w:rsid w:val="00FF35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5B35F"/>
  <w15:chartTrackingRefBased/>
  <w15:docId w15:val="{093C5AD3-8B87-4C9F-8FEF-007C77CE7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B0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paragraph" w:styleId="Heading1">
    <w:name w:val="heading 1"/>
    <w:basedOn w:val="Normal"/>
    <w:next w:val="Normal"/>
    <w:link w:val="Heading1Char"/>
    <w:uiPriority w:val="9"/>
    <w:qFormat/>
    <w:rsid w:val="001E5EA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A297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F43B0B"/>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43B0B"/>
    <w:rPr>
      <w:rFonts w:ascii="Calibri Light" w:eastAsia="Times New Roman" w:hAnsi="Calibri Light" w:cs="Times New Roman"/>
      <w:b/>
      <w:bCs/>
      <w:sz w:val="26"/>
      <w:szCs w:val="26"/>
      <w:lang w:eastAsia="lv-LV"/>
    </w:rPr>
  </w:style>
  <w:style w:type="paragraph" w:styleId="Header">
    <w:name w:val="header"/>
    <w:basedOn w:val="Normal"/>
    <w:link w:val="HeaderChar"/>
    <w:uiPriority w:val="99"/>
    <w:rsid w:val="00F43B0B"/>
    <w:pPr>
      <w:tabs>
        <w:tab w:val="center" w:pos="4320"/>
        <w:tab w:val="right" w:pos="8640"/>
      </w:tabs>
    </w:pPr>
  </w:style>
  <w:style w:type="character" w:customStyle="1" w:styleId="HeaderChar">
    <w:name w:val="Header Char"/>
    <w:basedOn w:val="DefaultParagraphFont"/>
    <w:link w:val="Header"/>
    <w:uiPriority w:val="99"/>
    <w:rsid w:val="00F43B0B"/>
    <w:rPr>
      <w:rFonts w:ascii="Times New Roman" w:eastAsia="Times New Roman" w:hAnsi="Times New Roman" w:cs="Times New Roman"/>
      <w:sz w:val="24"/>
      <w:szCs w:val="20"/>
      <w:lang w:eastAsia="lv-LV"/>
    </w:rPr>
  </w:style>
  <w:style w:type="character" w:styleId="Hyperlink">
    <w:name w:val="Hyperlink"/>
    <w:basedOn w:val="DefaultParagraphFont"/>
    <w:uiPriority w:val="99"/>
    <w:unhideWhenUsed/>
    <w:rsid w:val="00821A99"/>
    <w:rPr>
      <w:color w:val="0563C1" w:themeColor="hyperlink"/>
      <w:u w:val="single"/>
    </w:rPr>
  </w:style>
  <w:style w:type="paragraph" w:styleId="BalloonText">
    <w:name w:val="Balloon Text"/>
    <w:basedOn w:val="Normal"/>
    <w:link w:val="BalloonTextChar"/>
    <w:uiPriority w:val="99"/>
    <w:semiHidden/>
    <w:unhideWhenUsed/>
    <w:rsid w:val="00E32F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FA3"/>
    <w:rPr>
      <w:rFonts w:ascii="Segoe UI" w:eastAsia="Times New Roman" w:hAnsi="Segoe UI" w:cs="Segoe UI"/>
      <w:sz w:val="18"/>
      <w:szCs w:val="18"/>
      <w:lang w:eastAsia="lv-LV"/>
    </w:rPr>
  </w:style>
  <w:style w:type="character" w:styleId="Strong">
    <w:name w:val="Strong"/>
    <w:basedOn w:val="DefaultParagraphFont"/>
    <w:uiPriority w:val="22"/>
    <w:qFormat/>
    <w:rsid w:val="00CC5DDE"/>
    <w:rPr>
      <w:b/>
      <w:bCs/>
    </w:rPr>
  </w:style>
  <w:style w:type="paragraph" w:styleId="NormalWeb">
    <w:name w:val="Normal (Web)"/>
    <w:basedOn w:val="Normal"/>
    <w:uiPriority w:val="99"/>
    <w:semiHidden/>
    <w:unhideWhenUsed/>
    <w:rsid w:val="002E797D"/>
    <w:pPr>
      <w:overflowPunct/>
      <w:autoSpaceDE/>
      <w:autoSpaceDN/>
      <w:adjustRightInd/>
      <w:spacing w:before="100" w:beforeAutospacing="1" w:after="100" w:afterAutospacing="1"/>
      <w:textAlignment w:val="auto"/>
    </w:pPr>
    <w:rPr>
      <w:szCs w:val="24"/>
    </w:rPr>
  </w:style>
  <w:style w:type="character" w:customStyle="1" w:styleId="Heading1Char">
    <w:name w:val="Heading 1 Char"/>
    <w:basedOn w:val="DefaultParagraphFont"/>
    <w:link w:val="Heading1"/>
    <w:uiPriority w:val="9"/>
    <w:rsid w:val="001E5EA4"/>
    <w:rPr>
      <w:rFonts w:asciiTheme="majorHAnsi" w:eastAsiaTheme="majorEastAsia" w:hAnsiTheme="majorHAnsi" w:cstheme="majorBidi"/>
      <w:color w:val="2E74B5" w:themeColor="accent1" w:themeShade="BF"/>
      <w:sz w:val="32"/>
      <w:szCs w:val="32"/>
      <w:lang w:eastAsia="lv-LV"/>
    </w:rPr>
  </w:style>
  <w:style w:type="character" w:customStyle="1" w:styleId="UnresolvedMention1">
    <w:name w:val="Unresolved Mention1"/>
    <w:basedOn w:val="DefaultParagraphFont"/>
    <w:uiPriority w:val="99"/>
    <w:semiHidden/>
    <w:unhideWhenUsed/>
    <w:rsid w:val="00E623EE"/>
    <w:rPr>
      <w:color w:val="605E5C"/>
      <w:shd w:val="clear" w:color="auto" w:fill="E1DFDD"/>
    </w:rPr>
  </w:style>
  <w:style w:type="character" w:styleId="PlaceholderText">
    <w:name w:val="Placeholder Text"/>
    <w:basedOn w:val="DefaultParagraphFont"/>
    <w:uiPriority w:val="99"/>
    <w:semiHidden/>
    <w:rsid w:val="00B219E6"/>
    <w:rPr>
      <w:color w:val="808080"/>
    </w:rPr>
  </w:style>
  <w:style w:type="character" w:customStyle="1" w:styleId="UnresolvedMention2">
    <w:name w:val="Unresolved Mention2"/>
    <w:basedOn w:val="DefaultParagraphFont"/>
    <w:uiPriority w:val="99"/>
    <w:semiHidden/>
    <w:unhideWhenUsed/>
    <w:rsid w:val="001A300C"/>
    <w:rPr>
      <w:color w:val="605E5C"/>
      <w:shd w:val="clear" w:color="auto" w:fill="E1DFDD"/>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Fußnote,fn,FOOTNOTE"/>
    <w:basedOn w:val="Normal"/>
    <w:link w:val="FootnoteTextChar"/>
    <w:unhideWhenUsed/>
    <w:qFormat/>
    <w:rsid w:val="00AB63B6"/>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Fußnote Char"/>
    <w:basedOn w:val="DefaultParagraphFont"/>
    <w:link w:val="FootnoteText"/>
    <w:qFormat/>
    <w:rsid w:val="00AB63B6"/>
    <w:rPr>
      <w:rFonts w:ascii="Times New Roman" w:eastAsia="Calibri" w:hAnsi="Times New Roman" w:cs="Times New Roman"/>
      <w:sz w:val="20"/>
      <w:szCs w:val="20"/>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AB63B6"/>
    <w:rPr>
      <w:vertAlign w:val="superscript"/>
    </w:rPr>
  </w:style>
  <w:style w:type="paragraph" w:styleId="ListParagraph">
    <w:name w:val="List Paragraph"/>
    <w:aliases w:val="List Paragraph Red,Bullet EY,H&amp;P List Paragraph,2,Strip,Normal bullet 2,Bullet list,Satura rādītājs,PPS_Bullet,Colorful List - Accent 12,Saistīto dokumentu saraksts,Syle 1,Numurets,Virsraksti,list paragraph,h&amp;p list paragraph,syle 1"/>
    <w:basedOn w:val="Normal"/>
    <w:link w:val="ListParagraphChar"/>
    <w:uiPriority w:val="34"/>
    <w:qFormat/>
    <w:rsid w:val="00A31C2E"/>
    <w:pPr>
      <w:ind w:left="720"/>
      <w:contextualSpacing/>
    </w:pPr>
  </w:style>
  <w:style w:type="paragraph" w:styleId="Revision">
    <w:name w:val="Revision"/>
    <w:hidden/>
    <w:uiPriority w:val="99"/>
    <w:semiHidden/>
    <w:rsid w:val="006730A5"/>
    <w:pPr>
      <w:spacing w:after="0" w:line="240" w:lineRule="auto"/>
    </w:pPr>
    <w:rPr>
      <w:rFonts w:ascii="Times New Roman" w:eastAsia="Times New Roman" w:hAnsi="Times New Roman" w:cs="Times New Roman"/>
      <w:sz w:val="24"/>
      <w:szCs w:val="20"/>
      <w:lang w:eastAsia="lv-LV"/>
    </w:rPr>
  </w:style>
  <w:style w:type="character" w:customStyle="1" w:styleId="ListParagraphChar">
    <w:name w:val="List Paragraph Char"/>
    <w:aliases w:val="List Paragraph Red Char,Bullet EY Char,H&amp;P List Paragraph Char,2 Char,Strip Char,Normal bullet 2 Char,Bullet list Char,Satura rādītājs Char,PPS_Bullet Char,Colorful List - Accent 12 Char,Saistīto dokumentu saraksts Char,Syle 1 Char"/>
    <w:link w:val="ListParagraph"/>
    <w:uiPriority w:val="34"/>
    <w:qFormat/>
    <w:rsid w:val="006873AC"/>
    <w:rPr>
      <w:rFonts w:ascii="Times New Roman" w:eastAsia="Times New Roman" w:hAnsi="Times New Roman" w:cs="Times New Roman"/>
      <w:sz w:val="24"/>
      <w:szCs w:val="20"/>
      <w:lang w:eastAsia="lv-LV"/>
    </w:rPr>
  </w:style>
  <w:style w:type="character" w:styleId="UnresolvedMention">
    <w:name w:val="Unresolved Mention"/>
    <w:basedOn w:val="DefaultParagraphFont"/>
    <w:uiPriority w:val="99"/>
    <w:semiHidden/>
    <w:unhideWhenUsed/>
    <w:rsid w:val="00AF7E7E"/>
    <w:rPr>
      <w:color w:val="605E5C"/>
      <w:shd w:val="clear" w:color="auto" w:fill="E1DFDD"/>
    </w:rPr>
  </w:style>
  <w:style w:type="paragraph" w:customStyle="1" w:styleId="Default">
    <w:name w:val="Default"/>
    <w:rsid w:val="00C572CE"/>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7A297C"/>
    <w:rPr>
      <w:rFonts w:asciiTheme="majorHAnsi" w:eastAsiaTheme="majorEastAsia" w:hAnsiTheme="majorHAnsi" w:cstheme="majorBidi"/>
      <w:color w:val="2E74B5" w:themeColor="accent1" w:themeShade="BF"/>
      <w:sz w:val="26"/>
      <w:szCs w:val="2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7600">
      <w:bodyDiv w:val="1"/>
      <w:marLeft w:val="0"/>
      <w:marRight w:val="0"/>
      <w:marTop w:val="0"/>
      <w:marBottom w:val="0"/>
      <w:divBdr>
        <w:top w:val="none" w:sz="0" w:space="0" w:color="auto"/>
        <w:left w:val="none" w:sz="0" w:space="0" w:color="auto"/>
        <w:bottom w:val="none" w:sz="0" w:space="0" w:color="auto"/>
        <w:right w:val="none" w:sz="0" w:space="0" w:color="auto"/>
      </w:divBdr>
    </w:div>
    <w:div w:id="291635389">
      <w:bodyDiv w:val="1"/>
      <w:marLeft w:val="0"/>
      <w:marRight w:val="0"/>
      <w:marTop w:val="0"/>
      <w:marBottom w:val="0"/>
      <w:divBdr>
        <w:top w:val="none" w:sz="0" w:space="0" w:color="auto"/>
        <w:left w:val="none" w:sz="0" w:space="0" w:color="auto"/>
        <w:bottom w:val="none" w:sz="0" w:space="0" w:color="auto"/>
        <w:right w:val="none" w:sz="0" w:space="0" w:color="auto"/>
      </w:divBdr>
    </w:div>
    <w:div w:id="411120827">
      <w:bodyDiv w:val="1"/>
      <w:marLeft w:val="0"/>
      <w:marRight w:val="0"/>
      <w:marTop w:val="0"/>
      <w:marBottom w:val="0"/>
      <w:divBdr>
        <w:top w:val="none" w:sz="0" w:space="0" w:color="auto"/>
        <w:left w:val="none" w:sz="0" w:space="0" w:color="auto"/>
        <w:bottom w:val="none" w:sz="0" w:space="0" w:color="auto"/>
        <w:right w:val="none" w:sz="0" w:space="0" w:color="auto"/>
      </w:divBdr>
    </w:div>
    <w:div w:id="542788183">
      <w:bodyDiv w:val="1"/>
      <w:marLeft w:val="0"/>
      <w:marRight w:val="0"/>
      <w:marTop w:val="0"/>
      <w:marBottom w:val="0"/>
      <w:divBdr>
        <w:top w:val="none" w:sz="0" w:space="0" w:color="auto"/>
        <w:left w:val="none" w:sz="0" w:space="0" w:color="auto"/>
        <w:bottom w:val="none" w:sz="0" w:space="0" w:color="auto"/>
        <w:right w:val="none" w:sz="0" w:space="0" w:color="auto"/>
      </w:divBdr>
    </w:div>
    <w:div w:id="1031763861">
      <w:bodyDiv w:val="1"/>
      <w:marLeft w:val="0"/>
      <w:marRight w:val="0"/>
      <w:marTop w:val="0"/>
      <w:marBottom w:val="0"/>
      <w:divBdr>
        <w:top w:val="none" w:sz="0" w:space="0" w:color="auto"/>
        <w:left w:val="none" w:sz="0" w:space="0" w:color="auto"/>
        <w:bottom w:val="none" w:sz="0" w:space="0" w:color="auto"/>
        <w:right w:val="none" w:sz="0" w:space="0" w:color="auto"/>
      </w:divBdr>
    </w:div>
    <w:div w:id="1251698713">
      <w:bodyDiv w:val="1"/>
      <w:marLeft w:val="0"/>
      <w:marRight w:val="0"/>
      <w:marTop w:val="0"/>
      <w:marBottom w:val="0"/>
      <w:divBdr>
        <w:top w:val="none" w:sz="0" w:space="0" w:color="auto"/>
        <w:left w:val="none" w:sz="0" w:space="0" w:color="auto"/>
        <w:bottom w:val="none" w:sz="0" w:space="0" w:color="auto"/>
        <w:right w:val="none" w:sz="0" w:space="0" w:color="auto"/>
      </w:divBdr>
    </w:div>
    <w:div w:id="137130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ulija.saikovska@jurmala.lv" TargetMode="External"/><Relationship Id="rId4" Type="http://schemas.openxmlformats.org/officeDocument/2006/relationships/settings" Target="settings.xml"/><Relationship Id="rId9" Type="http://schemas.openxmlformats.org/officeDocument/2006/relationships/hyperlink" Target="mailto:parvaldisana@jurmal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509A4-B31B-40F9-80A8-E0E346F2A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3</Pages>
  <Words>5398</Words>
  <Characters>3077</Characters>
  <Application>Microsoft Office Word</Application>
  <DocSecurity>0</DocSecurity>
  <Lines>25</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Uldis Zariņš</dc:creator>
  <cp:keywords/>
  <dc:description/>
  <cp:lastModifiedBy>Jūlija Saikovska</cp:lastModifiedBy>
  <cp:revision>52</cp:revision>
  <cp:lastPrinted>2023-08-01T04:56:00Z</cp:lastPrinted>
  <dcterms:created xsi:type="dcterms:W3CDTF">2026-02-20T11:17:00Z</dcterms:created>
  <dcterms:modified xsi:type="dcterms:W3CDTF">2026-06-05T10:30:00Z</dcterms:modified>
</cp:coreProperties>
</file>