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301513" w:rsidP="008A1BDF" w14:paraId="25035420" w14:textId="2952BE68">
      <w:pPr>
        <w:spacing w:after="0"/>
        <w:ind w:right="-1"/>
        <w:jc w:val="center"/>
      </w:pPr>
      <w:r>
        <w:rPr>
          <w:noProof/>
        </w:rPr>
        <w:drawing>
          <wp:inline distT="0" distB="0" distL="0" distR="0">
            <wp:extent cx="5931409" cy="1380744"/>
            <wp:effectExtent l="0" t="0" r="0" b="0"/>
            <wp:docPr id="886" name="Picture 886"/>
            <wp:cNvGraphicFramePr/>
            <a:graphic xmlns:a="http://schemas.openxmlformats.org/drawingml/2006/main">
              <a:graphicData uri="http://schemas.openxmlformats.org/drawingml/2006/picture">
                <pic:pic xmlns:pic="http://schemas.openxmlformats.org/drawingml/2006/picture">
                  <pic:nvPicPr>
                    <pic:cNvPr id="886" name="Picture 886"/>
                    <pic:cNvPicPr/>
                  </pic:nvPicPr>
                  <pic:blipFill>
                    <a:blip xmlns:r="http://schemas.openxmlformats.org/officeDocument/2006/relationships" r:embed="rId4"/>
                    <a:stretch>
                      <a:fillRect/>
                    </a:stretch>
                  </pic:blipFill>
                  <pic:spPr>
                    <a:xfrm>
                      <a:off x="0" y="0"/>
                      <a:ext cx="5931409" cy="1380744"/>
                    </a:xfrm>
                    <a:prstGeom prst="rect">
                      <a:avLst/>
                    </a:prstGeom>
                  </pic:spPr>
                </pic:pic>
              </a:graphicData>
            </a:graphic>
          </wp:inline>
        </w:drawing>
      </w:r>
    </w:p>
    <w:p w:rsidR="00715626" w:rsidP="00B84D15" w14:paraId="276E3BD4" w14:textId="77777777">
      <w:pPr>
        <w:spacing w:after="0"/>
        <w:ind w:right="-1"/>
      </w:pPr>
    </w:p>
    <w:p w:rsidR="00715626" w:rsidP="00F97BC0" w14:paraId="4628335C" w14:textId="22B675EF">
      <w:pPr>
        <w:spacing w:after="0" w:line="240" w:lineRule="auto"/>
        <w:ind w:left="3600"/>
        <w:rPr>
          <w:rFonts w:ascii="Times New Roman" w:hAnsi="Times New Roman" w:eastAsiaTheme="minorHAnsi" w:cs="Times New Roman"/>
          <w:color w:val="auto"/>
          <w:sz w:val="24"/>
          <w:szCs w:val="24"/>
        </w:rPr>
      </w:pPr>
      <w:r>
        <w:rPr>
          <w:rFonts w:ascii="Times New Roman" w:hAnsi="Times New Roman" w:cs="Times New Roman"/>
          <w:sz w:val="24"/>
          <w:szCs w:val="24"/>
        </w:rPr>
        <w:t xml:space="preserve">           Siguldā</w:t>
      </w:r>
    </w:p>
    <w:p w:rsidR="00715626" w:rsidP="00715626" w14:paraId="0F47259E" w14:textId="77777777">
      <w:pPr>
        <w:spacing w:after="0" w:line="240" w:lineRule="auto"/>
        <w:ind w:right="141"/>
        <w:jc w:val="both"/>
        <w:rPr>
          <w:rFonts w:ascii="Times New Roman" w:hAnsi="Times New Roman" w:cs="Times New Roman"/>
          <w:sz w:val="24"/>
          <w:szCs w:val="24"/>
        </w:rPr>
      </w:pPr>
    </w:p>
    <w:p w:rsidR="007C2146" w:rsidP="007C2146" w14:paraId="5E2F8CDC" w14:textId="77777777">
      <w:pPr>
        <w:spacing w:after="0" w:line="240" w:lineRule="auto"/>
        <w:ind w:right="142"/>
        <w:rPr>
          <w:rFonts w:ascii="Times New Roman" w:hAnsi="Times New Roman" w:cs="Times New Roman"/>
          <w:sz w:val="24"/>
          <w:szCs w:val="24"/>
        </w:rPr>
      </w:pPr>
      <w:r w:rsidRPr="007C2146">
        <w:rPr>
          <w:rFonts w:ascii="Times New Roman" w:hAnsi="Times New Roman" w:cs="Times New Roman"/>
          <w:noProof/>
          <w:sz w:val="24"/>
          <w:szCs w:val="24"/>
        </w:rPr>
        <w:t>10.06.2026</w:t>
      </w:r>
      <w:r w:rsidRPr="007C2146">
        <w:rPr>
          <w:rFonts w:ascii="Times New Roman" w:hAnsi="Times New Roman" w:cs="Times New Roman"/>
          <w:sz w:val="24"/>
          <w:szCs w:val="24"/>
        </w:rPr>
        <w:t xml:space="preserve">. </w:t>
      </w:r>
      <w:r w:rsidRPr="007C2146">
        <w:rPr>
          <w:rFonts w:ascii="Times New Roman" w:hAnsi="Times New Roman" w:cs="Times New Roman"/>
          <w:sz w:val="24"/>
          <w:szCs w:val="24"/>
        </w:rPr>
        <w:t>Nr</w:t>
      </w:r>
      <w:r w:rsidRPr="007C2146">
        <w:rPr>
          <w:rFonts w:ascii="Times New Roman" w:hAnsi="Times New Roman" w:cs="Times New Roman"/>
          <w:sz w:val="24"/>
          <w:szCs w:val="24"/>
        </w:rPr>
        <w:t>.</w:t>
      </w:r>
      <w:r w:rsidRPr="007C2146">
        <w:rPr>
          <w:rFonts w:ascii="Times New Roman" w:hAnsi="Times New Roman" w:cs="Times New Roman"/>
          <w:noProof/>
          <w:sz w:val="24"/>
          <w:szCs w:val="24"/>
        </w:rPr>
        <w:t>A-1.8/12</w:t>
      </w:r>
      <w:r w:rsidRPr="007C2146">
        <w:rPr>
          <w:rFonts w:ascii="Times New Roman" w:hAnsi="Times New Roman" w:cs="Times New Roman"/>
          <w:noProof/>
          <w:sz w:val="24"/>
          <w:szCs w:val="24"/>
        </w:rPr>
        <w:t>/1697</w:t>
      </w:r>
    </w:p>
    <w:p w:rsidR="00311453" w:rsidP="007C2146" w14:paraId="6968D5FB" w14:textId="77777777">
      <w:pPr>
        <w:spacing w:after="0" w:line="240" w:lineRule="auto"/>
        <w:ind w:right="142"/>
        <w:rPr>
          <w:rFonts w:ascii="Times New Roman" w:hAnsi="Times New Roman" w:cs="Times New Roman"/>
          <w:sz w:val="24"/>
          <w:szCs w:val="24"/>
        </w:rPr>
      </w:pPr>
    </w:p>
    <w:p w:rsidR="00311453" w:rsidRPr="007C2146" w:rsidP="007C2146" w14:paraId="1373EC9B" w14:textId="77777777">
      <w:pPr>
        <w:spacing w:after="0" w:line="240" w:lineRule="auto"/>
        <w:ind w:right="142"/>
        <w:rPr>
          <w:rFonts w:ascii="Times New Roman" w:hAnsi="Times New Roman" w:cs="Times New Roman"/>
          <w:sz w:val="24"/>
          <w:szCs w:val="24"/>
        </w:rPr>
      </w:pPr>
    </w:p>
    <w:p w:rsidR="00E13C53" w:rsidP="00E13C53" w14:paraId="351E0A9E" w14:textId="77777777">
      <w:pPr>
        <w:spacing w:after="0" w:line="240" w:lineRule="auto"/>
        <w:jc w:val="right"/>
        <w:rPr>
          <w:rFonts w:ascii="Times New Roman" w:eastAsia="Times New Roman" w:hAnsi="Times New Roman" w:cs="Times New Roman"/>
          <w:b/>
          <w:bCs/>
          <w:i/>
        </w:rPr>
      </w:pPr>
      <w:r w:rsidRPr="00DE7708">
        <w:rPr>
          <w:rFonts w:ascii="Times New Roman" w:eastAsia="Times New Roman" w:hAnsi="Times New Roman" w:cs="Times New Roman"/>
          <w:b/>
          <w:bCs/>
          <w:i/>
        </w:rPr>
        <w:t>Ieinteresētajiem piegādātājiem</w:t>
      </w:r>
    </w:p>
    <w:p w:rsidR="00E13C53" w:rsidRPr="00DE7708" w:rsidP="00E13C53" w14:paraId="5C8A13CE" w14:textId="77777777">
      <w:pPr>
        <w:spacing w:after="0" w:line="240" w:lineRule="auto"/>
        <w:jc w:val="right"/>
        <w:rPr>
          <w:rFonts w:ascii="Times New Roman" w:eastAsia="Times New Roman" w:hAnsi="Times New Roman" w:cs="Times New Roman"/>
          <w:i/>
          <w:highlight w:val="yellow"/>
        </w:rPr>
      </w:pPr>
    </w:p>
    <w:p w:rsidR="00E13C53" w:rsidRPr="00DE7708" w:rsidP="00E13C53" w14:paraId="3826BFD2" w14:textId="77777777">
      <w:pPr>
        <w:suppressAutoHyphens/>
        <w:spacing w:after="0" w:line="240" w:lineRule="auto"/>
        <w:rPr>
          <w:rFonts w:ascii="Times New Roman" w:hAnsi="Times New Roman" w:cs="Times New Roman"/>
          <w:b/>
          <w:highlight w:val="yellow"/>
        </w:rPr>
      </w:pPr>
    </w:p>
    <w:p w:rsidR="00E13C53" w:rsidRPr="00B13F8F" w:rsidP="00E13C53" w14:paraId="4199AA0A" w14:textId="77777777">
      <w:pPr>
        <w:pStyle w:val="BodyA"/>
        <w:ind w:right="5244"/>
        <w:jc w:val="both"/>
        <w:rPr>
          <w:rFonts w:hAnsi="Times New Roman" w:cs="Times New Roman"/>
          <w:b/>
          <w:sz w:val="22"/>
          <w:szCs w:val="22"/>
        </w:rPr>
      </w:pPr>
      <w:r w:rsidRPr="00DE7708">
        <w:rPr>
          <w:rFonts w:eastAsia="Calibri" w:hAnsi="Times New Roman" w:cs="Times New Roman"/>
          <w:b/>
          <w:sz w:val="22"/>
          <w:szCs w:val="22"/>
        </w:rPr>
        <w:t>Par iepirkumu “</w:t>
      </w:r>
      <w:bookmarkStart w:id="0" w:name="_Hlk139965109"/>
      <w:r w:rsidRPr="00B13F8F">
        <w:rPr>
          <w:rFonts w:hAnsi="Times New Roman" w:cs="Times New Roman"/>
          <w:b/>
          <w:noProof/>
          <w:sz w:val="22"/>
          <w:szCs w:val="22"/>
        </w:rPr>
        <w:t>Ēdināšanas pakalpojuma nodrošināšana Laurenču sākumskolā</w:t>
      </w:r>
      <w:r w:rsidRPr="00DE7708">
        <w:rPr>
          <w:rFonts w:eastAsia="Calibri" w:hAnsi="Times New Roman" w:cs="Times New Roman"/>
          <w:b/>
          <w:sz w:val="22"/>
          <w:szCs w:val="22"/>
        </w:rPr>
        <w:t xml:space="preserve">” (ID Nr. SNP </w:t>
      </w:r>
      <w:r w:rsidRPr="00B13F8F">
        <w:rPr>
          <w:rFonts w:eastAsia="Calibri" w:hAnsi="Times New Roman" w:cs="Times New Roman"/>
          <w:b/>
          <w:sz w:val="22"/>
          <w:szCs w:val="22"/>
        </w:rPr>
        <w:t>2026/</w:t>
      </w:r>
      <w:r w:rsidRPr="00B13F8F">
        <w:rPr>
          <w:rFonts w:hAnsi="Times New Roman" w:cs="Times New Roman"/>
          <w:b/>
          <w:sz w:val="22"/>
          <w:szCs w:val="22"/>
        </w:rPr>
        <w:t>36/IZŅĒMUMS</w:t>
      </w:r>
      <w:r w:rsidRPr="00B13F8F">
        <w:rPr>
          <w:rFonts w:eastAsia="Calibri" w:hAnsi="Times New Roman" w:cs="Times New Roman"/>
          <w:b/>
          <w:sz w:val="22"/>
          <w:szCs w:val="22"/>
        </w:rPr>
        <w:t xml:space="preserve">) </w:t>
      </w:r>
    </w:p>
    <w:bookmarkEnd w:id="0"/>
    <w:p w:rsidR="00E13C53" w:rsidRPr="00B13F8F" w:rsidP="00E13C53" w14:paraId="3F1D17CD" w14:textId="77777777">
      <w:pPr>
        <w:pStyle w:val="ListParagraph"/>
        <w:shd w:val="clear" w:color="auto" w:fill="FFFFFF"/>
        <w:spacing w:after="0" w:line="240" w:lineRule="auto"/>
        <w:ind w:left="1069" w:right="49"/>
        <w:jc w:val="both"/>
        <w:rPr>
          <w:rFonts w:ascii="Times New Roman" w:hAnsi="Times New Roman" w:cs="Times New Roman"/>
          <w:b/>
        </w:rPr>
      </w:pPr>
    </w:p>
    <w:p w:rsidR="00E13C53" w:rsidRPr="00DE7708" w:rsidP="00E13C53" w14:paraId="5A26E8F7" w14:textId="77777777">
      <w:pPr>
        <w:pStyle w:val="ListParagraph"/>
        <w:shd w:val="clear" w:color="auto" w:fill="FFFFFF"/>
        <w:spacing w:after="0" w:line="240" w:lineRule="auto"/>
        <w:ind w:left="1069" w:right="49"/>
        <w:jc w:val="both"/>
        <w:rPr>
          <w:rFonts w:ascii="Times New Roman" w:hAnsi="Times New Roman" w:cs="Times New Roman"/>
        </w:rPr>
      </w:pPr>
    </w:p>
    <w:p w:rsidR="00E13C53" w:rsidRPr="00B13F8F" w:rsidP="00E13C53" w14:paraId="21C42F3D" w14:textId="77777777">
      <w:pPr>
        <w:spacing w:after="0" w:line="240" w:lineRule="auto"/>
        <w:ind w:right="84" w:firstLine="720"/>
        <w:jc w:val="both"/>
        <w:rPr>
          <w:rFonts w:ascii="Times New Roman" w:hAnsi="Times New Roman" w:cs="Times New Roman"/>
        </w:rPr>
      </w:pPr>
      <w:r w:rsidRPr="00B13F8F">
        <w:rPr>
          <w:rFonts w:ascii="Times New Roman" w:hAnsi="Times New Roman" w:cs="Times New Roman"/>
        </w:rPr>
        <w:t xml:space="preserve">Siguldas novada pašvaldības iepirkuma komisija (iepirkumiem saimnieciskajos, klientu apkalpošanas, sociālās jomas un sporta jautājumos) 09.06.2026. ir saņēmusi un izskatījusi ieinteresētā piegādātāja iesniegumu ar jautājumiem par iepirkuma “Ēdināšanas pakalpojuma nodrošināšana </w:t>
      </w:r>
      <w:r w:rsidRPr="00B13F8F">
        <w:rPr>
          <w:rFonts w:ascii="Times New Roman" w:hAnsi="Times New Roman" w:cs="Times New Roman"/>
        </w:rPr>
        <w:t>Laurenču</w:t>
      </w:r>
      <w:r w:rsidRPr="00B13F8F">
        <w:rPr>
          <w:rFonts w:ascii="Times New Roman" w:hAnsi="Times New Roman" w:cs="Times New Roman"/>
        </w:rPr>
        <w:t xml:space="preserve"> sākumskolā”, (iepirkuma identifikācijas Nr. SNP 2026/36/IZŅĒMUMS) nolikuma prasībām (09.06.2026. Nr.26-iep/26).  </w:t>
      </w:r>
    </w:p>
    <w:p w:rsidR="00E13C53" w:rsidRPr="00B13F8F" w:rsidP="00E13C53" w14:paraId="7E54F306" w14:textId="77777777">
      <w:pPr>
        <w:spacing w:after="0" w:line="240" w:lineRule="auto"/>
        <w:ind w:right="84" w:firstLine="720"/>
        <w:jc w:val="both"/>
        <w:rPr>
          <w:rFonts w:ascii="Times New Roman" w:hAnsi="Times New Roman" w:cs="Times New Roman"/>
        </w:rPr>
      </w:pPr>
      <w:r w:rsidRPr="00B13F8F">
        <w:rPr>
          <w:rFonts w:ascii="Times New Roman" w:hAnsi="Times New Roman" w:cs="Times New Roman"/>
        </w:rPr>
        <w:t xml:space="preserve">Iepirkuma komisija, iepazīstoties ar iesniegtajiem jautājumiem ir  secinājusi, ka nepieciešams veikt grozījumus iepirkuma nolikumā. Konstatētas tehniska rakstura (pārrakstīšanās) kļūdas, kā arī grozījumi nepieciešami, lai pretendentiem būtu iespējams precīzāk sagatavot piedāvājumu, bet iepirkuma komisijai izvērtēt piedāvājumus.  Konstatēts, ka prasībās kļūdaini norādītas klašu grupas, par kurām nepieciešams iesniegt ēdienkartes piedāvājuma ietvaros. </w:t>
      </w:r>
    </w:p>
    <w:p w:rsidR="00E13C53" w:rsidRPr="00B13F8F" w:rsidP="00E13C53" w14:paraId="1BFC3268" w14:textId="77777777">
      <w:pPr>
        <w:spacing w:after="0" w:line="240" w:lineRule="auto"/>
        <w:ind w:right="84"/>
        <w:jc w:val="both"/>
        <w:rPr>
          <w:rFonts w:ascii="Times New Roman" w:hAnsi="Times New Roman" w:cs="Times New Roman"/>
        </w:rPr>
      </w:pPr>
      <w:r w:rsidRPr="00B13F8F">
        <w:rPr>
          <w:rFonts w:ascii="Times New Roman" w:hAnsi="Times New Roman" w:cs="Times New Roman"/>
        </w:rPr>
        <w:t>Informējam, ka iepirkuma komisija ir sagatavojusi atbildes uz iesniegtajiem jautājumiem, kā arī veikusi grozījumus iepirkuma nolikumā.</w:t>
      </w:r>
    </w:p>
    <w:p w:rsidR="00E13C53" w:rsidRPr="00B13F8F" w:rsidP="00E13C53" w14:paraId="352671C2" w14:textId="77777777">
      <w:pPr>
        <w:spacing w:after="0" w:line="240" w:lineRule="auto"/>
        <w:ind w:right="84"/>
        <w:jc w:val="both"/>
        <w:rPr>
          <w:rFonts w:ascii="Times New Roman" w:hAnsi="Times New Roman" w:cs="Times New Roman"/>
        </w:rPr>
      </w:pPr>
    </w:p>
    <w:p w:rsidR="00E13C53" w:rsidRPr="00B13F8F" w:rsidP="00E13C53" w14:paraId="1EE6FF3D" w14:textId="77777777">
      <w:pPr>
        <w:spacing w:after="0" w:line="240" w:lineRule="auto"/>
        <w:ind w:right="84"/>
        <w:jc w:val="both"/>
        <w:rPr>
          <w:rFonts w:ascii="Times New Roman" w:hAnsi="Times New Roman" w:cs="Times New Roman"/>
        </w:rPr>
      </w:pPr>
      <w:r w:rsidRPr="00B13F8F">
        <w:rPr>
          <w:rFonts w:ascii="Times New Roman" w:hAnsi="Times New Roman" w:cs="Times New Roman"/>
        </w:rPr>
        <w:t>Pielikumā: ieinteresētā pretendenta uzdotie jautājumi un iepirkuma komisijas sniegtās atbildes, iepirkuma procedūras nolikums ar grozījumiem (izmaiņu režīmā).</w:t>
      </w:r>
    </w:p>
    <w:p w:rsidR="00E13C53" w:rsidRPr="00B13F8F" w:rsidP="00E13C53" w14:paraId="1EDA7FE2" w14:textId="77777777">
      <w:pPr>
        <w:spacing w:after="0" w:line="240" w:lineRule="auto"/>
        <w:ind w:right="84"/>
        <w:jc w:val="both"/>
        <w:rPr>
          <w:rFonts w:ascii="Times New Roman" w:hAnsi="Times New Roman" w:cs="Times New Roman"/>
        </w:rPr>
      </w:pPr>
    </w:p>
    <w:p w:rsidR="00E13C53" w:rsidRPr="00B13F8F" w:rsidP="00E13C53" w14:paraId="3F68C7D6" w14:textId="77777777">
      <w:pPr>
        <w:spacing w:after="0" w:line="240" w:lineRule="auto"/>
        <w:ind w:right="84"/>
        <w:jc w:val="both"/>
        <w:rPr>
          <w:rFonts w:ascii="Times New Roman" w:hAnsi="Times New Roman" w:cs="Times New Roman"/>
        </w:rPr>
      </w:pPr>
    </w:p>
    <w:p w:rsidR="00E13C53" w:rsidRPr="00DE7708" w:rsidP="00E13C53" w14:paraId="31C72234" w14:textId="77777777">
      <w:pPr>
        <w:spacing w:after="0" w:line="240" w:lineRule="auto"/>
        <w:ind w:right="84"/>
        <w:jc w:val="both"/>
        <w:rPr>
          <w:rFonts w:ascii="Times New Roman" w:eastAsia="Times New Roman" w:hAnsi="Times New Roman" w:cs="Times New Roman"/>
        </w:rPr>
      </w:pPr>
    </w:p>
    <w:p w:rsidR="00E13C53" w:rsidP="00E13C53" w14:paraId="3F77E6FA" w14:textId="77777777">
      <w:pPr>
        <w:spacing w:after="0" w:line="240" w:lineRule="auto"/>
        <w:ind w:right="84"/>
        <w:jc w:val="both"/>
        <w:rPr>
          <w:rFonts w:ascii="Times New Roman" w:eastAsia="Times New Roman" w:hAnsi="Times New Roman" w:cs="Times New Roman"/>
        </w:rPr>
      </w:pPr>
    </w:p>
    <w:p w:rsidR="00E13C53" w:rsidP="00E13C53" w14:paraId="75E4E699" w14:textId="77777777">
      <w:pPr>
        <w:spacing w:after="0" w:line="240" w:lineRule="auto"/>
        <w:ind w:right="84"/>
        <w:jc w:val="both"/>
        <w:rPr>
          <w:rFonts w:ascii="Times New Roman" w:eastAsia="Times New Roman" w:hAnsi="Times New Roman" w:cs="Times New Roman"/>
        </w:rPr>
      </w:pPr>
    </w:p>
    <w:p w:rsidR="00E13C53" w:rsidRPr="00DE7708" w:rsidP="00E13C53" w14:paraId="696F7D5B" w14:textId="77777777">
      <w:pPr>
        <w:spacing w:after="0" w:line="240" w:lineRule="auto"/>
        <w:ind w:right="84"/>
        <w:jc w:val="both"/>
        <w:rPr>
          <w:rFonts w:ascii="Times New Roman" w:eastAsia="Times New Roman" w:hAnsi="Times New Roman" w:cs="Times New Roman"/>
        </w:rPr>
      </w:pPr>
    </w:p>
    <w:p w:rsidR="00E13C53" w:rsidRPr="00DE7708" w:rsidP="00E13C53" w14:paraId="7528FCF9" w14:textId="77777777">
      <w:pPr>
        <w:spacing w:after="0" w:line="240" w:lineRule="auto"/>
        <w:ind w:right="84"/>
        <w:jc w:val="both"/>
        <w:rPr>
          <w:rFonts w:ascii="Times New Roman" w:eastAsia="Times New Roman" w:hAnsi="Times New Roman" w:cs="Times New Roman"/>
        </w:rPr>
      </w:pPr>
    </w:p>
    <w:p w:rsidR="00E13C53" w:rsidRPr="00DE7708" w:rsidP="00E13C53" w14:paraId="407DD265" w14:textId="77777777">
      <w:pPr>
        <w:spacing w:after="0" w:line="240" w:lineRule="auto"/>
        <w:ind w:right="84"/>
        <w:jc w:val="both"/>
        <w:rPr>
          <w:rFonts w:ascii="Times New Roman" w:hAnsi="Times New Roman" w:cs="Times New Roman"/>
          <w:highlight w:val="yellow"/>
        </w:rPr>
      </w:pPr>
      <w:r w:rsidRPr="00DE7708">
        <w:rPr>
          <w:rFonts w:ascii="Times New Roman" w:eastAsia="Times New Roman" w:hAnsi="Times New Roman" w:cs="Times New Roman"/>
        </w:rPr>
        <w:t>Komisijas priekšsēdētāja</w:t>
      </w:r>
      <w:r>
        <w:rPr>
          <w:rFonts w:ascii="Times New Roman" w:eastAsia="Times New Roman" w:hAnsi="Times New Roman" w:cs="Times New Roman"/>
        </w:rPr>
        <w:t xml:space="preserve"> vietniece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A.Zavadska</w:t>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p>
    <w:p w:rsidR="00E13C53" w:rsidRPr="00DE7708" w:rsidP="00E13C53" w14:paraId="35FD42EF" w14:textId="77777777">
      <w:pPr>
        <w:spacing w:after="0"/>
        <w:rPr>
          <w:rFonts w:ascii="Times New Roman" w:hAnsi="Times New Roman" w:cs="Times New Roman"/>
          <w:i/>
        </w:rPr>
      </w:pPr>
    </w:p>
    <w:p w:rsidR="00E13C53" w:rsidRPr="00DE7708" w:rsidP="00E13C53" w14:paraId="4FFDA749" w14:textId="77777777">
      <w:pPr>
        <w:spacing w:after="0"/>
        <w:rPr>
          <w:rFonts w:ascii="Times New Roman" w:hAnsi="Times New Roman" w:cs="Times New Roman"/>
          <w:i/>
          <w:iCs/>
        </w:rPr>
      </w:pPr>
      <w:r w:rsidRPr="00DE7708">
        <w:rPr>
          <w:rFonts w:ascii="Times New Roman" w:hAnsi="Times New Roman" w:cs="Times New Roman"/>
          <w:i/>
        </w:rPr>
        <w:t xml:space="preserve">L. Štolcere, </w:t>
      </w:r>
    </w:p>
    <w:p w:rsidR="00E13C53" w:rsidRPr="00DE7708" w:rsidP="00E13C53" w14:paraId="51077AE7" w14:textId="77777777">
      <w:pPr>
        <w:spacing w:after="0"/>
        <w:rPr>
          <w:rFonts w:ascii="Times New Roman" w:hAnsi="Times New Roman" w:cs="Times New Roman"/>
          <w:i/>
          <w:iCs/>
        </w:rPr>
      </w:pPr>
      <w:hyperlink r:id="rId5" w:history="1">
        <w:r w:rsidRPr="00DE7708">
          <w:rPr>
            <w:rStyle w:val="Hyperlink"/>
            <w:rFonts w:ascii="Times New Roman" w:hAnsi="Times New Roman" w:cs="Times New Roman"/>
            <w:i/>
            <w:iCs/>
          </w:rPr>
          <w:t>iepirkumi@sigulda.lv</w:t>
        </w:r>
      </w:hyperlink>
      <w:r w:rsidRPr="00DE7708">
        <w:rPr>
          <w:rFonts w:ascii="Times New Roman" w:hAnsi="Times New Roman" w:cs="Times New Roman"/>
          <w:i/>
          <w:iCs/>
        </w:rPr>
        <w:t xml:space="preserve"> </w:t>
      </w:r>
    </w:p>
    <w:p w:rsidR="00E13C53" w:rsidRPr="00DE7708" w:rsidP="00E13C53" w14:paraId="2702D287" w14:textId="77777777">
      <w:pPr>
        <w:spacing w:after="0" w:line="240" w:lineRule="auto"/>
        <w:ind w:right="141"/>
        <w:rPr>
          <w:rFonts w:ascii="Times New Roman" w:hAnsi="Times New Roman" w:cs="Times New Roman"/>
        </w:rPr>
      </w:pPr>
    </w:p>
    <w:p w:rsidR="00E13C53" w:rsidRPr="00DE7708" w:rsidP="00E13C53" w14:paraId="32533A05" w14:textId="77777777">
      <w:pPr>
        <w:spacing w:after="0" w:line="240" w:lineRule="auto"/>
        <w:ind w:right="141"/>
        <w:rPr>
          <w:rFonts w:ascii="Times New Roman" w:hAnsi="Times New Roman" w:cs="Times New Roman"/>
        </w:rPr>
      </w:pPr>
    </w:p>
    <w:p w:rsidR="00E13C53" w:rsidRPr="00DE7708" w:rsidP="00E13C53" w14:paraId="3DE59567" w14:textId="77777777">
      <w:pPr>
        <w:spacing w:after="0" w:line="240" w:lineRule="auto"/>
        <w:ind w:right="141"/>
        <w:rPr>
          <w:rFonts w:ascii="Times New Roman" w:hAnsi="Times New Roman" w:cs="Times New Roman"/>
        </w:rPr>
      </w:pPr>
    </w:p>
    <w:p w:rsidR="00E13C53" w:rsidRPr="00DE7708" w:rsidP="00E13C53" w14:paraId="2BA1641D" w14:textId="77777777">
      <w:pPr>
        <w:spacing w:after="0" w:line="240" w:lineRule="auto"/>
        <w:ind w:right="141"/>
        <w:rPr>
          <w:rFonts w:ascii="Times New Roman" w:hAnsi="Times New Roman" w:cs="Times New Roman"/>
        </w:rPr>
      </w:pPr>
    </w:p>
    <w:p w:rsidR="00E13C53" w:rsidRPr="00DE7708" w:rsidP="00E13C53" w14:paraId="698A8240" w14:textId="77777777">
      <w:pPr>
        <w:spacing w:after="0" w:line="240" w:lineRule="auto"/>
        <w:ind w:right="141"/>
        <w:rPr>
          <w:rFonts w:ascii="Times New Roman" w:hAnsi="Times New Roman" w:cs="Times New Roman"/>
        </w:rPr>
      </w:pPr>
    </w:p>
    <w:p w:rsidR="00E13C53" w:rsidRPr="00DE7708" w:rsidP="00E13C53" w14:paraId="01B3C9AA" w14:textId="77777777">
      <w:pPr>
        <w:spacing w:after="0" w:line="240" w:lineRule="auto"/>
        <w:ind w:right="141"/>
        <w:rPr>
          <w:rFonts w:ascii="Times New Roman" w:hAnsi="Times New Roman" w:cs="Times New Roman"/>
        </w:rPr>
      </w:pPr>
    </w:p>
    <w:p w:rsidR="00E13C53" w:rsidRPr="0047596C" w:rsidP="00E13C53" w14:paraId="694C2E43" w14:textId="77777777">
      <w:pPr>
        <w:spacing w:after="0"/>
        <w:jc w:val="right"/>
        <w:rPr>
          <w:rFonts w:ascii="Times New Roman" w:hAnsi="Times New Roman" w:cs="Times New Roman"/>
          <w:b/>
          <w:bCs/>
          <w:color w:val="000000" w:themeColor="text1"/>
        </w:rPr>
      </w:pPr>
      <w:r w:rsidRPr="0047596C">
        <w:rPr>
          <w:rFonts w:ascii="Times New Roman" w:hAnsi="Times New Roman" w:cs="Times New Roman"/>
          <w:b/>
          <w:bCs/>
          <w:color w:val="000000" w:themeColor="text1"/>
        </w:rPr>
        <w:t>1. pielikums</w:t>
      </w:r>
    </w:p>
    <w:p w:rsidR="00E13C53" w:rsidRPr="0047596C" w:rsidP="00E13C53" w14:paraId="2A97A054" w14:textId="77777777">
      <w:pPr>
        <w:spacing w:after="0"/>
        <w:jc w:val="right"/>
        <w:rPr>
          <w:rFonts w:ascii="Times New Roman" w:hAnsi="Times New Roman" w:cs="Times New Roman"/>
          <w:color w:val="000000" w:themeColor="text1"/>
        </w:rPr>
      </w:pPr>
      <w:r w:rsidRPr="0047596C">
        <w:rPr>
          <w:rFonts w:ascii="Times New Roman" w:hAnsi="Times New Roman" w:cs="Times New Roman"/>
          <w:color w:val="000000" w:themeColor="text1"/>
        </w:rPr>
        <w:t>0</w:t>
      </w:r>
      <w:r>
        <w:rPr>
          <w:rFonts w:ascii="Times New Roman" w:hAnsi="Times New Roman" w:cs="Times New Roman"/>
          <w:color w:val="000000" w:themeColor="text1"/>
        </w:rPr>
        <w:t>9</w:t>
      </w:r>
      <w:r w:rsidRPr="0047596C">
        <w:rPr>
          <w:rFonts w:ascii="Times New Roman" w:hAnsi="Times New Roman" w:cs="Times New Roman"/>
          <w:color w:val="000000" w:themeColor="text1"/>
        </w:rPr>
        <w:t>.0</w:t>
      </w:r>
      <w:r>
        <w:rPr>
          <w:rFonts w:ascii="Times New Roman" w:hAnsi="Times New Roman" w:cs="Times New Roman"/>
          <w:color w:val="000000" w:themeColor="text1"/>
        </w:rPr>
        <w:t>6.</w:t>
      </w:r>
      <w:r w:rsidRPr="0047596C">
        <w:rPr>
          <w:rFonts w:ascii="Times New Roman" w:hAnsi="Times New Roman" w:cs="Times New Roman"/>
          <w:color w:val="000000" w:themeColor="text1"/>
        </w:rPr>
        <w:t>2026. komisijas sēdes</w:t>
      </w:r>
    </w:p>
    <w:p w:rsidR="00E13C53" w:rsidRPr="0047596C" w:rsidP="00E13C53" w14:paraId="15EE74C9" w14:textId="77777777">
      <w:pPr>
        <w:spacing w:after="0"/>
        <w:jc w:val="right"/>
        <w:rPr>
          <w:rFonts w:ascii="Times New Roman" w:hAnsi="Times New Roman" w:cs="Times New Roman"/>
          <w:color w:val="000000" w:themeColor="text1"/>
        </w:rPr>
      </w:pPr>
      <w:r w:rsidRPr="0047596C">
        <w:rPr>
          <w:rFonts w:ascii="Times New Roman" w:hAnsi="Times New Roman" w:cs="Times New Roman"/>
          <w:color w:val="000000" w:themeColor="text1"/>
        </w:rPr>
        <w:t xml:space="preserve">protokolam Nr. </w:t>
      </w:r>
      <w:r>
        <w:rPr>
          <w:rFonts w:ascii="Times New Roman" w:hAnsi="Times New Roman" w:cs="Times New Roman"/>
          <w:color w:val="000000" w:themeColor="text1"/>
        </w:rPr>
        <w:t>2</w:t>
      </w:r>
    </w:p>
    <w:p w:rsidR="00E13C53" w:rsidRPr="0047596C" w:rsidP="00E13C53" w14:paraId="7802F452" w14:textId="77777777">
      <w:pPr>
        <w:spacing w:after="0"/>
        <w:jc w:val="right"/>
        <w:rPr>
          <w:rFonts w:ascii="Times New Roman" w:hAnsi="Times New Roman" w:cs="Times New Roman"/>
          <w:color w:val="000000" w:themeColor="text1"/>
        </w:rPr>
      </w:pPr>
    </w:p>
    <w:p w:rsidR="00E13C53" w:rsidRPr="0047596C" w:rsidP="00E13C53" w14:paraId="2463DB90" w14:textId="77777777">
      <w:pPr>
        <w:spacing w:after="0"/>
        <w:jc w:val="center"/>
        <w:rPr>
          <w:rFonts w:ascii="Times New Roman" w:hAnsi="Times New Roman" w:cs="Times New Roman"/>
          <w:b/>
          <w:bCs/>
          <w:color w:val="000000" w:themeColor="text1"/>
        </w:rPr>
      </w:pPr>
      <w:r w:rsidRPr="0047596C">
        <w:rPr>
          <w:rFonts w:ascii="Times New Roman" w:hAnsi="Times New Roman" w:cs="Times New Roman"/>
          <w:b/>
          <w:bCs/>
          <w:color w:val="000000" w:themeColor="text1"/>
        </w:rPr>
        <w:t xml:space="preserve">Atbildes uz ieinteresētā piegādātāja uzdotajiem jautājumiem iepirkumā </w:t>
      </w:r>
    </w:p>
    <w:p w:rsidR="00E13C53" w:rsidRPr="00B13F8F" w:rsidP="00E13C53" w14:paraId="25EADAD6" w14:textId="77777777">
      <w:pPr>
        <w:spacing w:after="0"/>
        <w:jc w:val="center"/>
        <w:rPr>
          <w:rFonts w:ascii="Times New Roman" w:hAnsi="Times New Roman" w:cs="Times New Roman"/>
          <w:b/>
          <w:noProof/>
        </w:rPr>
      </w:pPr>
      <w:r w:rsidRPr="0047596C">
        <w:rPr>
          <w:rFonts w:ascii="Times New Roman" w:hAnsi="Times New Roman" w:cs="Times New Roman"/>
          <w:b/>
          <w:bCs/>
          <w:color w:val="000000" w:themeColor="text1"/>
        </w:rPr>
        <w:t>“</w:t>
      </w:r>
      <w:r w:rsidRPr="00B13F8F">
        <w:rPr>
          <w:rFonts w:ascii="Times New Roman" w:hAnsi="Times New Roman" w:cs="Times New Roman"/>
          <w:b/>
          <w:noProof/>
        </w:rPr>
        <w:t xml:space="preserve">Ēdināšanas pakalpojuma nodrošināšana </w:t>
      </w:r>
    </w:p>
    <w:p w:rsidR="00E13C53" w:rsidRPr="0047596C" w:rsidP="00E13C53" w14:paraId="3DDA0E12" w14:textId="77777777">
      <w:pPr>
        <w:spacing w:after="0"/>
        <w:jc w:val="center"/>
        <w:rPr>
          <w:rFonts w:ascii="Times New Roman" w:hAnsi="Times New Roman" w:cs="Times New Roman"/>
          <w:b/>
          <w:color w:val="000000" w:themeColor="text1"/>
        </w:rPr>
      </w:pPr>
      <w:r w:rsidRPr="00B13F8F">
        <w:rPr>
          <w:rFonts w:ascii="Times New Roman" w:hAnsi="Times New Roman" w:cs="Times New Roman"/>
          <w:b/>
          <w:noProof/>
        </w:rPr>
        <w:t>Laurenču sākumskolā</w:t>
      </w:r>
      <w:r w:rsidRPr="0047596C">
        <w:rPr>
          <w:rFonts w:ascii="Times New Roman" w:hAnsi="Times New Roman" w:cs="Times New Roman"/>
          <w:b/>
          <w:bCs/>
          <w:color w:val="000000" w:themeColor="text1"/>
        </w:rPr>
        <w:t>”</w:t>
      </w:r>
      <w:r w:rsidRPr="0047596C">
        <w:rPr>
          <w:rFonts w:ascii="Times New Roman" w:hAnsi="Times New Roman" w:cs="Times New Roman"/>
          <w:b/>
          <w:color w:val="000000" w:themeColor="text1"/>
        </w:rPr>
        <w:t xml:space="preserve"> </w:t>
      </w:r>
    </w:p>
    <w:p w:rsidR="00E13C53" w:rsidP="00E13C53" w14:paraId="715AA992" w14:textId="77777777">
      <w:pPr>
        <w:spacing w:after="0"/>
        <w:jc w:val="center"/>
        <w:rPr>
          <w:rFonts w:ascii="Times New Roman" w:hAnsi="Times New Roman" w:cs="Times New Roman"/>
          <w:b/>
          <w:bCs/>
        </w:rPr>
      </w:pPr>
      <w:r w:rsidRPr="0047596C">
        <w:rPr>
          <w:rFonts w:ascii="Times New Roman" w:hAnsi="Times New Roman" w:cs="Times New Roman"/>
          <w:b/>
          <w:bCs/>
        </w:rPr>
        <w:t>identifikācijas Nr. SNP 2026/</w:t>
      </w:r>
      <w:r w:rsidRPr="00B13F8F">
        <w:rPr>
          <w:rFonts w:ascii="Times New Roman" w:hAnsi="Times New Roman" w:cs="Times New Roman"/>
          <w:b/>
          <w:bCs/>
        </w:rPr>
        <w:t>36/IZŅĒMUMS</w:t>
      </w:r>
    </w:p>
    <w:p w:rsidR="00E13C53" w:rsidRPr="00B13F8F" w:rsidP="00E13C53" w14:paraId="3E28287F" w14:textId="77777777">
      <w:pPr>
        <w:spacing w:after="0" w:line="240" w:lineRule="auto"/>
        <w:jc w:val="center"/>
        <w:rPr>
          <w:rFonts w:ascii="Times New Roman" w:eastAsia="Times New Roman" w:hAnsi="Times New Roman" w:cs="Times New Roman"/>
          <w:b/>
          <w:bCs/>
          <w:sz w:val="24"/>
          <w:szCs w:val="24"/>
        </w:rPr>
      </w:pPr>
    </w:p>
    <w:tbl>
      <w:tblPr>
        <w:tblStyle w:val="TableGrid"/>
        <w:tblW w:w="0" w:type="auto"/>
        <w:tblLook w:val="04A0"/>
      </w:tblPr>
      <w:tblGrid>
        <w:gridCol w:w="890"/>
        <w:gridCol w:w="3925"/>
        <w:gridCol w:w="4246"/>
      </w:tblGrid>
      <w:tr w14:paraId="09633C4F" w14:textId="77777777" w:rsidTr="00A61A34">
        <w:tblPrEx>
          <w:tblW w:w="0" w:type="auto"/>
          <w:tblLook w:val="04A0"/>
        </w:tblPrEx>
        <w:tc>
          <w:tcPr>
            <w:tcW w:w="890" w:type="dxa"/>
          </w:tcPr>
          <w:p w:rsidR="00E13C53" w:rsidRPr="00B13F8F" w:rsidP="00A61A34" w14:paraId="25A65DB0" w14:textId="77777777">
            <w:pPr>
              <w:jc w:val="center"/>
              <w:rPr>
                <w:rFonts w:ascii="Times New Roman" w:eastAsia="Times New Roman" w:hAnsi="Times New Roman" w:cs="Times New Roman"/>
                <w:b/>
                <w:bCs/>
                <w:sz w:val="24"/>
                <w:szCs w:val="24"/>
                <w:lang w:eastAsia="lv-LV"/>
              </w:rPr>
            </w:pPr>
            <w:r w:rsidRPr="00B13F8F">
              <w:rPr>
                <w:rFonts w:ascii="Times New Roman" w:eastAsia="Times New Roman" w:hAnsi="Times New Roman" w:cs="Times New Roman"/>
                <w:b/>
                <w:bCs/>
                <w:sz w:val="24"/>
                <w:szCs w:val="24"/>
                <w:lang w:eastAsia="lv-LV"/>
              </w:rPr>
              <w:t>Nr. p. k.</w:t>
            </w:r>
          </w:p>
        </w:tc>
        <w:tc>
          <w:tcPr>
            <w:tcW w:w="3925" w:type="dxa"/>
          </w:tcPr>
          <w:p w:rsidR="00E13C53" w:rsidRPr="00B13F8F" w:rsidP="00A61A34" w14:paraId="7A6502B3" w14:textId="77777777">
            <w:pPr>
              <w:jc w:val="center"/>
              <w:rPr>
                <w:rFonts w:ascii="Times New Roman" w:eastAsia="Times New Roman" w:hAnsi="Times New Roman" w:cs="Times New Roman"/>
                <w:b/>
                <w:bCs/>
                <w:sz w:val="24"/>
                <w:szCs w:val="24"/>
                <w:lang w:eastAsia="lv-LV"/>
              </w:rPr>
            </w:pPr>
            <w:r w:rsidRPr="00B13F8F">
              <w:rPr>
                <w:rFonts w:ascii="Times New Roman" w:eastAsia="Times New Roman" w:hAnsi="Times New Roman" w:cs="Times New Roman"/>
                <w:b/>
                <w:bCs/>
                <w:sz w:val="24"/>
                <w:szCs w:val="24"/>
                <w:lang w:eastAsia="lv-LV"/>
              </w:rPr>
              <w:t>Ieinteresētā piegādātāja jautājumi</w:t>
            </w:r>
          </w:p>
        </w:tc>
        <w:tc>
          <w:tcPr>
            <w:tcW w:w="4246" w:type="dxa"/>
          </w:tcPr>
          <w:p w:rsidR="00E13C53" w:rsidRPr="00B13F8F" w:rsidP="00A61A34" w14:paraId="10257E19" w14:textId="77777777">
            <w:pPr>
              <w:jc w:val="center"/>
              <w:rPr>
                <w:rFonts w:ascii="Times New Roman" w:eastAsia="Times New Roman" w:hAnsi="Times New Roman" w:cs="Times New Roman"/>
                <w:b/>
                <w:bCs/>
                <w:sz w:val="24"/>
                <w:szCs w:val="24"/>
                <w:lang w:eastAsia="lv-LV"/>
              </w:rPr>
            </w:pPr>
            <w:r w:rsidRPr="00B13F8F">
              <w:rPr>
                <w:rFonts w:ascii="Times New Roman" w:eastAsia="Times New Roman" w:hAnsi="Times New Roman" w:cs="Times New Roman"/>
                <w:b/>
                <w:bCs/>
                <w:sz w:val="24"/>
                <w:szCs w:val="24"/>
                <w:lang w:eastAsia="lv-LV"/>
              </w:rPr>
              <w:t>Iepirkuma komisijas atbildes</w:t>
            </w:r>
          </w:p>
        </w:tc>
      </w:tr>
      <w:tr w14:paraId="4FF12675" w14:textId="77777777" w:rsidTr="00A61A34">
        <w:tblPrEx>
          <w:tblW w:w="0" w:type="auto"/>
          <w:tblLook w:val="04A0"/>
        </w:tblPrEx>
        <w:tc>
          <w:tcPr>
            <w:tcW w:w="890" w:type="dxa"/>
          </w:tcPr>
          <w:p w:rsidR="00E13C53" w:rsidRPr="00B13F8F" w:rsidP="00A61A34" w14:paraId="3F0D5128" w14:textId="77777777">
            <w:pPr>
              <w:jc w:val="center"/>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1.</w:t>
            </w:r>
          </w:p>
        </w:tc>
        <w:tc>
          <w:tcPr>
            <w:tcW w:w="3925" w:type="dxa"/>
          </w:tcPr>
          <w:p w:rsidR="00E13C53" w:rsidRPr="00B13F8F" w:rsidP="00A61A34" w14:paraId="7CEF36AE" w14:textId="77777777">
            <w:pPr>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Nolikuma 5.5.3 punktā rakstīts: “……un vienas sezonas 20 dienu ēdienkartē tiek izmantoti ēdienu gatavošanā vismaz 3 reizes un tādējādi atbilst katru dienu vai katru nedēļu izmantojamiem produktiem.”</w:t>
            </w:r>
            <w:r w:rsidRPr="00B13F8F">
              <w:rPr>
                <w:rFonts w:ascii="Times New Roman" w:eastAsia="Times New Roman" w:hAnsi="Times New Roman" w:cs="Times New Roman"/>
                <w:sz w:val="24"/>
                <w:szCs w:val="24"/>
                <w:lang w:eastAsia="lv-LV"/>
              </w:rPr>
              <w:br/>
              <w:t>Nolikuma 5.5.4 punktā rakstīts: “ …… un vienas sezonas 10 dienu ēdienkartē tiek izmantoti ēdienu gatavošanā vismaz 3 reizes un tādējādi atbilst katru dienu vai katru nedēļu izmantojamiem produktiem.”</w:t>
            </w:r>
          </w:p>
          <w:p w:rsidR="00E13C53" w:rsidRPr="00B13F8F" w:rsidP="00A61A34" w14:paraId="0011B889" w14:textId="77777777">
            <w:pPr>
              <w:spacing w:before="100" w:beforeAutospacing="1" w:after="100" w:afterAutospacing="1"/>
              <w:rPr>
                <w:rFonts w:ascii="Times New Roman" w:eastAsia="Times New Roman" w:hAnsi="Times New Roman" w:cs="Times New Roman"/>
                <w:i/>
                <w:iCs/>
                <w:sz w:val="24"/>
                <w:szCs w:val="24"/>
                <w:lang w:eastAsia="lv-LV"/>
              </w:rPr>
            </w:pPr>
            <w:r w:rsidRPr="00B13F8F">
              <w:rPr>
                <w:rFonts w:ascii="Times New Roman" w:eastAsia="Times New Roman" w:hAnsi="Times New Roman" w:cs="Times New Roman"/>
                <w:sz w:val="24"/>
                <w:szCs w:val="24"/>
                <w:lang w:eastAsia="lv-LV"/>
              </w:rPr>
              <w:t>Lūdzam Iepirkumu komisiju pievērst uzmanību, ka vērtēšanas kritērijā 5.5.3 un 5.5.4 tiek prasīta pretrunīga informācija – vienā par katru dienu vai nedēļu izmantojamiem produktiem tiek uzskatīti produkti, kas vismaz 3 reizes izmantoti vienas sezonas 20 dienu ēdienkartēs, otrā gadījumā, vienas sezonas 10 dienu ēdienkartēs.</w:t>
            </w:r>
            <w:r w:rsidRPr="00B13F8F">
              <w:rPr>
                <w:rFonts w:ascii="Times New Roman" w:eastAsia="Times New Roman" w:hAnsi="Times New Roman" w:cs="Times New Roman"/>
                <w:sz w:val="24"/>
                <w:szCs w:val="24"/>
                <w:lang w:eastAsia="lv-LV"/>
              </w:rPr>
              <w:br/>
            </w:r>
            <w:r w:rsidRPr="00B13F8F">
              <w:rPr>
                <w:rFonts w:ascii="Times New Roman" w:eastAsia="Times New Roman" w:hAnsi="Times New Roman" w:cs="Times New Roman"/>
                <w:i/>
                <w:iCs/>
                <w:sz w:val="24"/>
                <w:szCs w:val="24"/>
                <w:lang w:eastAsia="lv-LV"/>
              </w:rPr>
              <w:t>Lūdzam Iepirkumu komisiju veikt labojumus Nolikumā norādot pareizo informāciju.</w:t>
            </w:r>
          </w:p>
        </w:tc>
        <w:tc>
          <w:tcPr>
            <w:tcW w:w="4246" w:type="dxa"/>
          </w:tcPr>
          <w:p w:rsidR="00E13C53" w:rsidRPr="00B13F8F" w:rsidP="00A61A34" w14:paraId="42E1150B" w14:textId="77777777">
            <w:pPr>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Iepirkuma nolikuma 5.5.3. un 5.5.4. punkti grozīti un izteikti jaunā redakcijā. Sagatavojot piedāvājumu, lūdzam ņemt vērā veiktos grozījumus. Papildus informējam, ka grozījumi (izmaiņu režīmā) ir iestrādāti iepirkumu nolikuma konsolidētajā versijā, kas publicēta Elektronisko iepirkumu sistēmā, šī iepirkuma sadaļā.</w:t>
            </w:r>
          </w:p>
        </w:tc>
      </w:tr>
      <w:tr w14:paraId="668F52F2" w14:textId="77777777" w:rsidTr="00A61A34">
        <w:tblPrEx>
          <w:tblW w:w="0" w:type="auto"/>
          <w:tblLook w:val="04A0"/>
        </w:tblPrEx>
        <w:tc>
          <w:tcPr>
            <w:tcW w:w="890" w:type="dxa"/>
          </w:tcPr>
          <w:p w:rsidR="00E13C53" w:rsidRPr="00B13F8F" w:rsidP="00A61A34" w14:paraId="715D2759" w14:textId="77777777">
            <w:pPr>
              <w:jc w:val="center"/>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2</w:t>
            </w:r>
          </w:p>
        </w:tc>
        <w:tc>
          <w:tcPr>
            <w:tcW w:w="3925" w:type="dxa"/>
          </w:tcPr>
          <w:p w:rsidR="00E13C53" w:rsidRPr="00B13F8F" w:rsidP="00A61A34" w14:paraId="1DBB812A" w14:textId="77777777">
            <w:pPr>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Nolikuma 5.5.4 punktā, kritērijā “Videi draudzīgs pārtikas produktu piegādes veids” rakstīts: “ …… Iepirkuma komisija vērtē pretendenta pārtikas produktu piegādes atbilstību videi draudzīgam piegādes veidam katrā no pārtikas grupām saskaņā ar pretendenta sniegto informāciju, aprēķinot vidējo piegādes attālumu katrā produktu grupā:</w:t>
            </w:r>
          </w:p>
          <w:p w:rsidR="00E13C53" w:rsidRPr="00B13F8F" w:rsidP="00A61A34" w14:paraId="3D56D73D" w14:textId="77777777">
            <w:pPr>
              <w:rPr>
                <w:rFonts w:ascii="Times New Roman" w:eastAsia="Times New Roman" w:hAnsi="Times New Roman" w:cs="Times New Roman"/>
                <w:sz w:val="24"/>
                <w:szCs w:val="24"/>
                <w:lang w:eastAsia="lv-LV"/>
              </w:rPr>
            </w:pPr>
          </w:p>
          <w:p w:rsidR="00E13C53" w:rsidRPr="00B13F8F" w:rsidP="00A61A34" w14:paraId="478C14BA" w14:textId="77777777">
            <w:pPr>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1) piena produkti un to izstrādājumi;</w:t>
            </w:r>
          </w:p>
          <w:p w:rsidR="00E13C53" w:rsidRPr="00B13F8F" w:rsidP="00A61A34" w14:paraId="64040E0B" w14:textId="77777777">
            <w:pPr>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2) gaļas, zivju produkti un to izstrādājumi;</w:t>
            </w:r>
          </w:p>
          <w:p w:rsidR="00E13C53" w:rsidRPr="00B13F8F" w:rsidP="00A61A34" w14:paraId="0A9B9A1C" w14:textId="77777777">
            <w:pPr>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3) dārzeņi, augļi un to izstrādājumi (kuru izcelsmes valsts ir Latvija);</w:t>
            </w:r>
          </w:p>
          <w:p w:rsidR="00E13C53" w:rsidRPr="00B13F8F" w:rsidP="00A61A34" w14:paraId="0E73DD0C" w14:textId="77777777">
            <w:pPr>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 xml:space="preserve">4) maize, miltu un </w:t>
            </w:r>
            <w:r w:rsidRPr="00B13F8F">
              <w:rPr>
                <w:rFonts w:ascii="Times New Roman" w:eastAsia="Times New Roman" w:hAnsi="Times New Roman" w:cs="Times New Roman"/>
                <w:sz w:val="24"/>
                <w:szCs w:val="24"/>
                <w:lang w:eastAsia="lv-LV"/>
              </w:rPr>
              <w:t>pilngraudu</w:t>
            </w:r>
            <w:r w:rsidRPr="00B13F8F">
              <w:rPr>
                <w:rFonts w:ascii="Times New Roman" w:eastAsia="Times New Roman" w:hAnsi="Times New Roman" w:cs="Times New Roman"/>
                <w:sz w:val="24"/>
                <w:szCs w:val="24"/>
                <w:lang w:eastAsia="lv-LV"/>
              </w:rPr>
              <w:t xml:space="preserve"> produkti.</w:t>
            </w:r>
          </w:p>
          <w:p w:rsidR="00E13C53" w:rsidRPr="00B13F8F" w:rsidP="00A61A34" w14:paraId="0DF3C3AB" w14:textId="77777777">
            <w:pPr>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Pretendentam ir jānorāda produktu piegādātāji tiem šo grupu produktiem, kuri ir attiecināmi uz MK noteikumu Nr. 172………. “</w:t>
            </w:r>
          </w:p>
          <w:p w:rsidR="00E13C53" w:rsidRPr="00B13F8F" w:rsidP="00A61A34" w14:paraId="5BA63456" w14:textId="77777777">
            <w:pPr>
              <w:spacing w:after="240"/>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 xml:space="preserve">Pēc augstāk minētās informācijas, šajā kritērijā tiks vērtēti vidējie aritmētiskie kilometri no ražotājiem/audzētājiem, kas norādīti katrā produktu grupā. Pielikums 3.1., kurā Pretendentam jānorāda produkti, kurus izmantos ēdiena pagatavošanā, nesatur informāciju par produktu grupām vai to, ka Pretendentam piedāvātie produkti būtu jāgrupē kādās noteiktās grupās. </w:t>
            </w:r>
          </w:p>
          <w:p w:rsidR="00E13C53" w:rsidRPr="00B13F8F" w:rsidP="00A61A34" w14:paraId="1232B072" w14:textId="77777777">
            <w:pPr>
              <w:jc w:val="center"/>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Vai Iepirkumu komisija pati, vērtējot piedāvājumu, piedāvātos produktus sagrupēs attiecīgajās grupās un skaitīs vidējo attālumu konkrētai grupai?</w:t>
            </w:r>
          </w:p>
        </w:tc>
        <w:tc>
          <w:tcPr>
            <w:tcW w:w="4246" w:type="dxa"/>
          </w:tcPr>
          <w:p w:rsidR="00E13C53" w:rsidRPr="00B13F8F" w:rsidP="00A61A34" w14:paraId="3DA7B9CA" w14:textId="77777777">
            <w:pPr>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Pielikums 3.1. izteikts jaunā redakcijā. Papildus informējam, ka komisija vērtēs piedāvājumu atbilstoši preču grupām, skaitot vidējo attālumu konkrētai grupai.</w:t>
            </w:r>
          </w:p>
        </w:tc>
      </w:tr>
      <w:tr w14:paraId="40253164" w14:textId="77777777" w:rsidTr="00A61A34">
        <w:tblPrEx>
          <w:tblW w:w="0" w:type="auto"/>
          <w:tblLook w:val="04A0"/>
        </w:tblPrEx>
        <w:tc>
          <w:tcPr>
            <w:tcW w:w="890" w:type="dxa"/>
          </w:tcPr>
          <w:p w:rsidR="00E13C53" w:rsidRPr="00B13F8F" w:rsidP="00A61A34" w14:paraId="236E0294" w14:textId="77777777">
            <w:pPr>
              <w:jc w:val="center"/>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3</w:t>
            </w:r>
          </w:p>
        </w:tc>
        <w:tc>
          <w:tcPr>
            <w:tcW w:w="3925" w:type="dxa"/>
          </w:tcPr>
          <w:p w:rsidR="00E13C53" w:rsidRPr="00B13F8F" w:rsidP="00A61A34" w14:paraId="4E65BA7C" w14:textId="77777777">
            <w:pPr>
              <w:spacing w:after="240"/>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Saskaņā ar Ministru kabineta 2012. gada 13. marta noteikumu Nr. 172 2. pielikumu vispārējās pamatizglītības iestāžu izglītojamajiem ir noteiktas enerģētiskās vērtības un uzturvielu normas komplekso pusdienu ēdienkartei, savukārt dienas uztura normas ir noteiktas tikai to izglītības iestāžu izglītojamajiem, kuras sniedz dienesta viesnīcas vai internāta pakalpojumus.</w:t>
            </w:r>
          </w:p>
          <w:p w:rsidR="00E13C53" w:rsidRPr="00B13F8F" w:rsidP="00A61A34" w14:paraId="2FB01545" w14:textId="77777777">
            <w:pPr>
              <w:spacing w:before="100" w:beforeAutospacing="1" w:after="100" w:afterAutospacing="1"/>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Lūdzam skaidrot, uz kāda normatīvā vai faktiskā pamata Tehniskās specifikācijas 3. pielikuma 1.1. punktā pretendentiem tiek prasīts izstrādāt 20 darba dienu brokastu, pusdienu un launaga ēdienkartes, ja iepirkuma priekšmets attiecas uz vispārējās izglītības iestādes izglītojamo ēdināšanu un MK noteikumu Nr. 172 2. pielikumā šādām izglītības iestādēm noteiktas normas komplekso pusdienu ēdienkartei.</w:t>
            </w:r>
          </w:p>
          <w:p w:rsidR="00E13C53" w:rsidRPr="00B13F8F" w:rsidP="00A61A34" w14:paraId="112CB2F7" w14:textId="77777777">
            <w:pPr>
              <w:spacing w:before="100" w:beforeAutospacing="1" w:after="100" w:afterAutospacing="1"/>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 xml:space="preserve">Lūdzam precizēt, vai pasūtītājs paredz pilnas dienas ēdināšanas pakalpojumu un kādi uzturvērtības kritēriji šādā </w:t>
            </w:r>
            <w:r w:rsidRPr="00B13F8F">
              <w:rPr>
                <w:rFonts w:ascii="Times New Roman" w:eastAsia="Times New Roman" w:hAnsi="Times New Roman" w:cs="Times New Roman"/>
                <w:sz w:val="24"/>
                <w:szCs w:val="24"/>
                <w:lang w:eastAsia="lv-LV"/>
              </w:rPr>
              <w:t>gadījumā piemērojami brokastīm un launagam.</w:t>
            </w:r>
          </w:p>
          <w:p w:rsidR="00E13C53" w:rsidRPr="00B13F8F" w:rsidP="00A61A34" w14:paraId="7ADA585D" w14:textId="77777777">
            <w:pPr>
              <w:jc w:val="center"/>
              <w:rPr>
                <w:rFonts w:ascii="Times New Roman" w:eastAsia="Times New Roman" w:hAnsi="Times New Roman" w:cs="Times New Roman"/>
                <w:sz w:val="24"/>
                <w:szCs w:val="24"/>
                <w:lang w:eastAsia="lv-LV"/>
              </w:rPr>
            </w:pPr>
          </w:p>
        </w:tc>
        <w:tc>
          <w:tcPr>
            <w:tcW w:w="4246" w:type="dxa"/>
          </w:tcPr>
          <w:p w:rsidR="00E13C53" w:rsidRPr="00B13F8F" w:rsidP="00A61A34" w14:paraId="257CCF30" w14:textId="77777777">
            <w:pPr>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shd w:val="clear" w:color="auto" w:fill="FFFFFF"/>
                <w:lang w:eastAsia="lv-LV"/>
              </w:rPr>
              <w:t xml:space="preserve">Skaidrojam, ka iepirkuma komisija balstīsies uz  </w:t>
            </w:r>
            <w:r w:rsidRPr="00B13F8F">
              <w:rPr>
                <w:rFonts w:ascii="Times New Roman" w:eastAsia="Times New Roman" w:hAnsi="Times New Roman" w:cs="Times New Roman"/>
                <w:sz w:val="24"/>
                <w:szCs w:val="24"/>
                <w:lang w:eastAsia="lv-LV"/>
              </w:rPr>
              <w:t xml:space="preserve">Ministru kabineta 2012. gada 13. marta noteikumu Nr. 172 2. pielikuma </w:t>
            </w:r>
            <w:r w:rsidRPr="00B13F8F">
              <w:rPr>
                <w:rFonts w:ascii="Times New Roman" w:eastAsia="Times New Roman" w:hAnsi="Times New Roman" w:cs="Times New Roman"/>
                <w:sz w:val="24"/>
                <w:szCs w:val="24"/>
                <w:shd w:val="clear" w:color="auto" w:fill="FFFFFF"/>
                <w:lang w:eastAsia="lv-LV"/>
              </w:rPr>
              <w:t xml:space="preserve"> 3. punktu - brokastīm jāsastāda 25-30% no dienas uzturvērtību un enerģētiskās vērtības normas, bet launagam 10-15% no dienas uzturvērtību un enerģētiskās vērtības normas. Brokastu un launaga piedāvājumā tiks vērtēti ēdienu gatavošanā iekļauto produktu atbilstība skolēnu uzturam un iesniegtās ēdienu tehnoloģiskās kartes. </w:t>
            </w:r>
          </w:p>
        </w:tc>
      </w:tr>
      <w:tr w14:paraId="4A8498D6" w14:textId="77777777" w:rsidTr="00A61A34">
        <w:tblPrEx>
          <w:tblW w:w="0" w:type="auto"/>
          <w:tblLook w:val="04A0"/>
        </w:tblPrEx>
        <w:tc>
          <w:tcPr>
            <w:tcW w:w="890" w:type="dxa"/>
          </w:tcPr>
          <w:p w:rsidR="00E13C53" w:rsidRPr="00B13F8F" w:rsidP="00A61A34" w14:paraId="6DE491B5" w14:textId="77777777">
            <w:pPr>
              <w:jc w:val="center"/>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4</w:t>
            </w:r>
          </w:p>
        </w:tc>
        <w:tc>
          <w:tcPr>
            <w:tcW w:w="3925" w:type="dxa"/>
          </w:tcPr>
          <w:p w:rsidR="00E13C53" w:rsidRPr="00B13F8F" w:rsidP="00A61A34" w14:paraId="74B6B86C" w14:textId="77777777">
            <w:pPr>
              <w:spacing w:before="100" w:beforeAutospacing="1" w:after="100" w:afterAutospacing="1"/>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Lūdzam precizēt Tehniskās specifikācijas prasības, jo starp 1.2.2.1. un 3.1. punktu konstatējama iespējama neatbilstība. 1.2.2.1. punktā noteikts, ka jāiesniedz 20 darba dienu brokastu, pusdienu un launaga ēdienkartes, tai skaitā veģetārās, 2 sezonām 1.–2. klašu un 3.–6. klašu izglītojamajiem.</w:t>
            </w:r>
          </w:p>
          <w:p w:rsidR="00E13C53" w:rsidRPr="00B13F8F" w:rsidP="00A61A34" w14:paraId="20CE0830" w14:textId="77777777">
            <w:pPr>
              <w:spacing w:before="100" w:beforeAutospacing="1" w:after="100" w:afterAutospacing="1"/>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Savukārt 3.1. punkta a) apakšpunktā paredzēta ēdienkarte 1.–2. klašu izglītojamajiem, bet b) apakšpunktā paredzēta tikai veģetārā ēdienkarte 3.–6. klašu izglītojamajiem.</w:t>
            </w:r>
          </w:p>
          <w:p w:rsidR="00E13C53" w:rsidRPr="00B13F8F" w:rsidP="00A61A34" w14:paraId="1B1CE425" w14:textId="77777777">
            <w:pPr>
              <w:spacing w:before="100" w:beforeAutospacing="1" w:after="100" w:afterAutospacing="1"/>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Lūdzam skaidrot:</w:t>
            </w:r>
          </w:p>
          <w:p w:rsidR="00E13C53" w:rsidRPr="00B13F8F" w:rsidP="00E13C53" w14:paraId="3E691697" w14:textId="77777777">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 xml:space="preserve">Vai 3.–6. klašu izglītojamajiem jāizstrādā tikai veģetārā ēdienkarte vai arī gan </w:t>
            </w:r>
            <w:r w:rsidRPr="00B13F8F">
              <w:rPr>
                <w:rFonts w:ascii="Times New Roman" w:eastAsia="Times New Roman" w:hAnsi="Times New Roman" w:cs="Times New Roman"/>
                <w:sz w:val="24"/>
                <w:szCs w:val="24"/>
                <w:lang w:eastAsia="lv-LV"/>
              </w:rPr>
              <w:t>pamatēdienkarte</w:t>
            </w:r>
            <w:r w:rsidRPr="00B13F8F">
              <w:rPr>
                <w:rFonts w:ascii="Times New Roman" w:eastAsia="Times New Roman" w:hAnsi="Times New Roman" w:cs="Times New Roman"/>
                <w:sz w:val="24"/>
                <w:szCs w:val="24"/>
                <w:lang w:eastAsia="lv-LV"/>
              </w:rPr>
              <w:t>, gan veģetārā ēdienkarte?</w:t>
            </w:r>
          </w:p>
          <w:p w:rsidR="00E13C53" w:rsidRPr="00B13F8F" w:rsidP="00E13C53" w14:paraId="60946CB4" w14:textId="77777777">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Kā interpretējama prasība 1.2.2.1. punktā par ēdienkaršu sagatavošanu abām vecuma grupām, ja 3.1. punktā 3.–6. klašu grupai minēta tikai veģetārā ēdienkarte?</w:t>
            </w:r>
          </w:p>
          <w:p w:rsidR="00E13C53" w:rsidRPr="00B13F8F" w:rsidP="00E13C53" w14:paraId="391B2B07" w14:textId="77777777">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Vai 3.1. punkta b) apakšpunktā nav pieļauta redakcionāla kļūda un bija paredzētas ēdienkartes 3.–6. klašu izglītojamajiem, tai skaitā veģetārās alternatīvas?</w:t>
            </w:r>
          </w:p>
          <w:p w:rsidR="00E13C53" w:rsidRPr="00B13F8F" w:rsidP="00A61A34" w14:paraId="624E8C20" w14:textId="77777777">
            <w:pPr>
              <w:jc w:val="center"/>
              <w:rPr>
                <w:rFonts w:ascii="Times New Roman" w:eastAsia="Times New Roman" w:hAnsi="Times New Roman" w:cs="Times New Roman"/>
                <w:sz w:val="24"/>
                <w:szCs w:val="24"/>
                <w:lang w:eastAsia="lv-LV"/>
              </w:rPr>
            </w:pPr>
          </w:p>
        </w:tc>
        <w:tc>
          <w:tcPr>
            <w:tcW w:w="4246" w:type="dxa"/>
          </w:tcPr>
          <w:p w:rsidR="00E13C53" w:rsidRPr="00B13F8F" w:rsidP="00A61A34" w14:paraId="7A6286A1" w14:textId="77777777">
            <w:pPr>
              <w:overflowPunct w:val="0"/>
              <w:autoSpaceDE w:val="0"/>
              <w:autoSpaceDN w:val="0"/>
              <w:adjustRightInd w:val="0"/>
              <w:jc w:val="both"/>
              <w:textAlignment w:val="baseline"/>
              <w:rPr>
                <w:rFonts w:ascii="Times New Roman" w:eastAsia="Arial Unicode MS" w:hAnsi="Times New Roman" w:cs="Times New Roman"/>
                <w:bCs/>
                <w:sz w:val="24"/>
                <w:szCs w:val="24"/>
                <w:u w:color="000000"/>
                <w:bdr w:val="nil"/>
                <w:lang w:eastAsia="lv-LV"/>
              </w:rPr>
            </w:pPr>
            <w:r w:rsidRPr="00B13F8F">
              <w:rPr>
                <w:rFonts w:ascii="Times New Roman" w:eastAsia="Arial Unicode MS" w:hAnsi="Times New Roman" w:cs="Times New Roman"/>
                <w:bCs/>
                <w:sz w:val="24"/>
                <w:szCs w:val="24"/>
                <w:u w:color="000000"/>
                <w:bdr w:val="none" w:sz="0" w:space="0" w:color="auto"/>
                <w:lang w:eastAsia="lv-LV"/>
              </w:rPr>
              <w:t>Nolikuma 3. pielikuma “Prasības Tehniskajam piedāvājumam” 3.1. punkts izteikts jaunā redakcijā, lūdzu skatīt grozījumus pielikumā.</w:t>
            </w:r>
          </w:p>
          <w:p w:rsidR="00E13C53" w:rsidRPr="00B13F8F" w:rsidP="00A61A34" w14:paraId="30D3DAFB" w14:textId="77777777">
            <w:pPr>
              <w:rPr>
                <w:rFonts w:ascii="Times New Roman" w:eastAsia="Times New Roman" w:hAnsi="Times New Roman" w:cs="Times New Roman"/>
                <w:sz w:val="24"/>
                <w:szCs w:val="24"/>
                <w:lang w:eastAsia="lv-LV"/>
              </w:rPr>
            </w:pPr>
          </w:p>
        </w:tc>
      </w:tr>
      <w:tr w14:paraId="782C4610" w14:textId="77777777" w:rsidTr="00A61A34">
        <w:tblPrEx>
          <w:tblW w:w="0" w:type="auto"/>
          <w:tblLook w:val="04A0"/>
        </w:tblPrEx>
        <w:tc>
          <w:tcPr>
            <w:tcW w:w="890" w:type="dxa"/>
          </w:tcPr>
          <w:p w:rsidR="00E13C53" w:rsidRPr="00B13F8F" w:rsidP="00A61A34" w14:paraId="5BE838C9" w14:textId="77777777">
            <w:pPr>
              <w:jc w:val="center"/>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5</w:t>
            </w:r>
          </w:p>
        </w:tc>
        <w:tc>
          <w:tcPr>
            <w:tcW w:w="3925" w:type="dxa"/>
          </w:tcPr>
          <w:p w:rsidR="00E13C53" w:rsidRPr="00B13F8F" w:rsidP="00A61A34" w14:paraId="76D75833" w14:textId="77777777">
            <w:pPr>
              <w:spacing w:before="100" w:beforeAutospacing="1" w:after="100" w:afterAutospacing="1"/>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 xml:space="preserve">Lūdzam precizēt Tehniskās specifikācijas prasības attiecībā uz izglītojamo vecuma grupām. Tehniskajā specifikācijā paredzēts sagatavot ēdienkartes 1.–2. klašu un 3.–6. klašu izglītojamajiem. Savukārt Ministru kabineta noteikumos Nr. 172 uztura normas noteiktas vecuma </w:t>
            </w:r>
            <w:r w:rsidRPr="00B13F8F">
              <w:rPr>
                <w:rFonts w:ascii="Times New Roman" w:eastAsia="Times New Roman" w:hAnsi="Times New Roman" w:cs="Times New Roman"/>
                <w:sz w:val="24"/>
                <w:szCs w:val="24"/>
                <w:lang w:eastAsia="lv-LV"/>
              </w:rPr>
              <w:t>grupām 1.–4. klase, 5.–9. klase un 10.–12. klase.</w:t>
            </w:r>
          </w:p>
          <w:p w:rsidR="00E13C53" w:rsidRPr="00B13F8F" w:rsidP="00A61A34" w14:paraId="3E5F8CEC" w14:textId="77777777">
            <w:pPr>
              <w:spacing w:before="100" w:beforeAutospacing="1" w:after="100" w:afterAutospacing="1"/>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Ņemot vērā, ka 3.–6. klašu grupa ietver izglītojamos no divām dažādām MK noteikumu grupām (3.–4. klase un 5.–6. klase), kurām piemērojamas atšķirīgas uztura normas, lūdzam precizēt:</w:t>
            </w:r>
          </w:p>
          <w:p w:rsidR="00E13C53" w:rsidRPr="00B13F8F" w:rsidP="00E13C53" w14:paraId="72ADFEE4" w14:textId="77777777">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Pēc kurām MK noteikumu Nr. 172 uztura normām jāveido ēdienkartes 3.–6. klašu izglītojamajiem?</w:t>
            </w:r>
          </w:p>
          <w:p w:rsidR="00E13C53" w:rsidRPr="00B13F8F" w:rsidP="00E13C53" w14:paraId="181863C5" w14:textId="77777777">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Vai pasūtītājs pieļauj ēdienkaršu izstrādi atbilstoši MK noteikumos noteiktajām vecuma grupām (1.–4. klase un 5.–9. klase)?</w:t>
            </w:r>
          </w:p>
          <w:p w:rsidR="00E13C53" w:rsidRPr="00B13F8F" w:rsidP="00E13C53" w14:paraId="7AB8489E" w14:textId="77777777">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Kā tiks vērtēta ēdienkaršu atbilstība uztura normām, ja tehniskajā specifikācijā noteiktais klašu dalījums neatbilst MK noteikumos Nr. 172 noteiktajam vecuma grupu iedalījumam?</w:t>
            </w:r>
          </w:p>
          <w:p w:rsidR="00E13C53" w:rsidRPr="00B13F8F" w:rsidP="00A61A34" w14:paraId="0AC6BD41" w14:textId="77777777">
            <w:pPr>
              <w:jc w:val="center"/>
              <w:rPr>
                <w:rFonts w:ascii="Times New Roman" w:eastAsia="Times New Roman" w:hAnsi="Times New Roman" w:cs="Times New Roman"/>
                <w:sz w:val="24"/>
                <w:szCs w:val="24"/>
                <w:lang w:eastAsia="lv-LV"/>
              </w:rPr>
            </w:pPr>
          </w:p>
        </w:tc>
        <w:tc>
          <w:tcPr>
            <w:tcW w:w="4246" w:type="dxa"/>
          </w:tcPr>
          <w:p w:rsidR="00E13C53" w:rsidRPr="00B13F8F" w:rsidP="00A61A34" w14:paraId="055710CD" w14:textId="77777777">
            <w:pPr>
              <w:jc w:val="both"/>
              <w:rPr>
                <w:rFonts w:ascii="Times New Roman" w:eastAsia="Times New Roman" w:hAnsi="Times New Roman" w:cs="Times New Roman"/>
                <w:sz w:val="24"/>
                <w:szCs w:val="24"/>
                <w:lang w:eastAsia="lv-LV"/>
              </w:rPr>
            </w:pPr>
            <w:r w:rsidRPr="00B13F8F">
              <w:rPr>
                <w:rFonts w:ascii="Times New Roman" w:eastAsia="Times New Roman" w:hAnsi="Times New Roman" w:cs="Times New Roman"/>
                <w:sz w:val="24"/>
                <w:szCs w:val="24"/>
                <w:lang w:eastAsia="lv-LV"/>
              </w:rPr>
              <w:t>Saskaņā ar Ministru kabineta 2012. gada 13. marta noteikumu Nr. 172 “Noteikumi par uztura normām izglītības iestāžu izglītojamiem, sociālās aprūpes un sociālās rehabilitācijas institūciju klientiem un ārstniecības iestāžu pacientiem” 2. pielikumā “</w:t>
            </w:r>
            <w:r w:rsidRPr="00B13F8F">
              <w:rPr>
                <w:rFonts w:ascii="Times New Roman" w:eastAsia="Times New Roman" w:hAnsi="Times New Roman" w:cs="Times New Roman"/>
                <w:sz w:val="24"/>
                <w:szCs w:val="24"/>
                <w:shd w:val="clear" w:color="auto" w:fill="FFFFFF"/>
                <w:lang w:eastAsia="lv-LV"/>
              </w:rPr>
              <w:t xml:space="preserve">Uztura normas vispārējās pamatizglītības, vispārējās vidējās izglītības un profesionālās </w:t>
            </w:r>
            <w:r w:rsidRPr="00B13F8F">
              <w:rPr>
                <w:rFonts w:ascii="Times New Roman" w:eastAsia="Times New Roman" w:hAnsi="Times New Roman" w:cs="Times New Roman"/>
                <w:sz w:val="24"/>
                <w:szCs w:val="24"/>
                <w:shd w:val="clear" w:color="auto" w:fill="FFFFFF"/>
                <w:lang w:eastAsia="lv-LV"/>
              </w:rPr>
              <w:t xml:space="preserve">izglītības iestāžu izglītojamiem” noteikto klašu iedalījumu, ēdienkartes jāiesniedz par ēdināmajiem 1.-4. klašu grupā un 5.-6. klašu grupā, </w:t>
            </w:r>
            <w:r w:rsidRPr="00B13F8F">
              <w:rPr>
                <w:rFonts w:ascii="Times New Roman" w:eastAsia="Arial Unicode MS" w:hAnsi="Times New Roman" w:cs="Times New Roman"/>
                <w:bCs/>
                <w:sz w:val="24"/>
                <w:szCs w:val="24"/>
                <w:u w:color="000000"/>
                <w:bdr w:val="none" w:sz="0" w:space="0" w:color="auto"/>
                <w:lang w:eastAsia="lv-LV"/>
              </w:rPr>
              <w:t>lūdzu skatīt grozījumus pielikumā.</w:t>
            </w:r>
          </w:p>
        </w:tc>
      </w:tr>
    </w:tbl>
    <w:p w:rsidR="00E13C53" w:rsidRPr="00B13F8F" w:rsidP="00E13C53" w14:paraId="5588B97D" w14:textId="77777777">
      <w:pPr>
        <w:spacing w:after="0" w:line="240" w:lineRule="auto"/>
        <w:jc w:val="center"/>
        <w:rPr>
          <w:rFonts w:ascii="Times New Roman" w:eastAsia="Times New Roman" w:hAnsi="Times New Roman" w:cs="Times New Roman"/>
          <w:sz w:val="24"/>
          <w:szCs w:val="24"/>
        </w:rPr>
      </w:pPr>
    </w:p>
    <w:p w:rsidR="00E13C53" w:rsidRPr="00DE7708" w:rsidP="00E13C53" w14:paraId="7940DCFA" w14:textId="77777777">
      <w:pPr>
        <w:spacing w:after="0"/>
        <w:rPr>
          <w:rFonts w:ascii="Times New Roman" w:hAnsi="Times New Roman" w:cs="Times New Roman"/>
        </w:rPr>
      </w:pPr>
    </w:p>
    <w:p w:rsidR="00CB584B" w:rsidP="003502B4" w14:paraId="0D7EEB98" w14:textId="5920DA4B">
      <w:pPr>
        <w:spacing w:after="0"/>
        <w:ind w:right="-1"/>
      </w:pPr>
    </w:p>
    <w:p w:rsidR="00CB584B" w:rsidRPr="00CB584B" w:rsidP="00CB584B" w14:paraId="5C63524D" w14:textId="477D171D">
      <w:pPr>
        <w:spacing w:after="0"/>
        <w:ind w:right="-1"/>
        <w:jc w:val="center"/>
        <w:rPr>
          <w:rFonts w:ascii="Times New Roman" w:hAnsi="Times New Roman" w:cs="Times New Roman"/>
          <w:sz w:val="18"/>
          <w:szCs w:val="18"/>
        </w:rPr>
      </w:pPr>
      <w:r>
        <w:rPr>
          <w:rFonts w:ascii="Times New Roman" w:hAnsi="Times New Roman" w:cs="Times New Roman"/>
          <w:sz w:val="18"/>
          <w:szCs w:val="18"/>
        </w:rPr>
        <w:t>DOKUMENTS IR PARAKSTĪTS AR DROŠU ELEKTRONISKO PARAKSTU UN SATUR LAIKA ZĪMOGU</w:t>
      </w:r>
    </w:p>
    <w:sectPr w:rsidSect="006717EA">
      <w:footerReference w:type="default" r:id="rId6"/>
      <w:pgSz w:w="11906" w:h="16838"/>
      <w:pgMar w:top="1134" w:right="849"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84B" w14:paraId="03087AB4" w14:textId="0FC403F3">
    <w:pPr>
      <w:pStyle w:val="Footer"/>
    </w:pPr>
  </w:p>
  <w:p w:rsidR="00B306B1" w14:paraId="5DE473A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74DF6702"/>
    <w:multiLevelType w:val="multilevel"/>
    <w:tmpl w:val="FE34C4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F7A388D"/>
    <w:multiLevelType w:val="multilevel"/>
    <w:tmpl w:val="51164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41708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6363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13"/>
    <w:rsid w:val="000D121E"/>
    <w:rsid w:val="001804B6"/>
    <w:rsid w:val="00197804"/>
    <w:rsid w:val="00301513"/>
    <w:rsid w:val="00311453"/>
    <w:rsid w:val="00343308"/>
    <w:rsid w:val="003502B4"/>
    <w:rsid w:val="0047596C"/>
    <w:rsid w:val="00604C17"/>
    <w:rsid w:val="006717EA"/>
    <w:rsid w:val="00715626"/>
    <w:rsid w:val="007C2146"/>
    <w:rsid w:val="00886D70"/>
    <w:rsid w:val="008A1BDF"/>
    <w:rsid w:val="008A4277"/>
    <w:rsid w:val="0096003A"/>
    <w:rsid w:val="00A61A34"/>
    <w:rsid w:val="00B13F8F"/>
    <w:rsid w:val="00B306B1"/>
    <w:rsid w:val="00B84D15"/>
    <w:rsid w:val="00CB584B"/>
    <w:rsid w:val="00D967F2"/>
    <w:rsid w:val="00DE7708"/>
    <w:rsid w:val="00E04F6D"/>
    <w:rsid w:val="00E13C53"/>
    <w:rsid w:val="00E7583F"/>
    <w:rsid w:val="00EB26B0"/>
    <w:rsid w:val="00F97BC0"/>
    <w:rsid w:val="00FA55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E60AE93"/>
  <w15:docId w15:val="{4CAE6B9B-E4AF-4125-AB92-4B3C53B4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B306B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B306B1"/>
    <w:rPr>
      <w:rFonts w:ascii="Calibri" w:eastAsia="Calibri" w:hAnsi="Calibri" w:cs="Calibri"/>
      <w:color w:val="000000"/>
    </w:rPr>
  </w:style>
  <w:style w:type="paragraph" w:styleId="Footer">
    <w:name w:val="footer"/>
    <w:basedOn w:val="Normal"/>
    <w:link w:val="KjeneRakstz"/>
    <w:uiPriority w:val="99"/>
    <w:unhideWhenUsed/>
    <w:rsid w:val="00B306B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B306B1"/>
    <w:rPr>
      <w:rFonts w:ascii="Calibri" w:eastAsia="Calibri" w:hAnsi="Calibri" w:cs="Calibri"/>
      <w:color w:val="000000"/>
    </w:rPr>
  </w:style>
  <w:style w:type="table" w:styleId="TableGrid">
    <w:name w:val="Table Grid"/>
    <w:basedOn w:val="TableNormal"/>
    <w:uiPriority w:val="39"/>
    <w:rsid w:val="00E13C5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3C53"/>
    <w:rPr>
      <w:color w:val="0563C1" w:themeColor="hyperlink"/>
      <w:u w:val="single"/>
    </w:rPr>
  </w:style>
  <w:style w:type="paragraph" w:styleId="ListParagraph">
    <w:name w:val="List Paragraph"/>
    <w:aliases w:val="2,Bullet list,H&amp;P List Paragraph,Normal bullet 2,Strip,Virsraksti,Syle 1,List Paragraph2,Colorful List - Accent 12,Saistīto dokumentu saraksts,PPS_Bullet,Numurets,Akapit z listą BS,Bullet 1,Bullet Points,Bullet Styl,Dot pt,Bullet EY,Do"/>
    <w:basedOn w:val="Normal"/>
    <w:link w:val="SarakstarindkopaRakstz"/>
    <w:qFormat/>
    <w:rsid w:val="00E13C53"/>
    <w:pPr>
      <w:ind w:left="720"/>
      <w:contextualSpacing/>
    </w:pPr>
    <w:rPr>
      <w:rFonts w:asciiTheme="minorHAnsi" w:eastAsiaTheme="minorHAnsi" w:hAnsiTheme="minorHAnsi" w:cstheme="minorBidi"/>
      <w:color w:val="auto"/>
      <w:lang w:eastAsia="en-US"/>
    </w:rPr>
  </w:style>
  <w:style w:type="character" w:customStyle="1" w:styleId="SarakstarindkopaRakstz">
    <w:name w:val="Saraksta rindkopa Rakstz."/>
    <w:aliases w:val="2 Rakstz.,Bullet list Rakstz.,H&amp;P List Paragraph Rakstz.,Normal bullet 2 Rakstz.,Strip Rakstz.,Virsraksti Rakstz.,Syle 1 Rakstz.,List Paragraph2 Rakstz.,Colorful List - Accent 12 Rakstz.,Saistīto dokumentu saraksts Rakstz."/>
    <w:link w:val="ListParagraph"/>
    <w:qFormat/>
    <w:locked/>
    <w:rsid w:val="00E13C53"/>
    <w:rPr>
      <w:rFonts w:eastAsiaTheme="minorHAnsi"/>
      <w:lang w:eastAsia="en-US"/>
    </w:rPr>
  </w:style>
  <w:style w:type="paragraph" w:customStyle="1" w:styleId="BodyA">
    <w:name w:val="Body A"/>
    <w:rsid w:val="00E13C53"/>
    <w:pPr>
      <w:spacing w:after="0" w:line="240" w:lineRule="auto"/>
    </w:pPr>
    <w:rPr>
      <w:rFonts w:ascii="Times New Roman" w:eastAsia="Arial Unicode M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iepirkumi@sigulda.l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5257</Words>
  <Characters>2997</Characters>
  <Application>Microsoft Office Word</Application>
  <DocSecurity>0</DocSecurity>
  <Lines>24</Lines>
  <Paragraphs>16</Paragraphs>
  <ScaleCrop>false</ScaleCrop>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Rekvizitu_veidlapas_siguldas_novada_pasvaldiba.pdf</dc:title>
  <dc:creator>Inese Grinvalde</dc:creator>
  <cp:lastModifiedBy>Laura Štolcere</cp:lastModifiedBy>
  <cp:revision>6</cp:revision>
  <dcterms:created xsi:type="dcterms:W3CDTF">2025-05-22T14:45:00Z</dcterms:created>
  <dcterms:modified xsi:type="dcterms:W3CDTF">2026-06-10T12:49:00Z</dcterms:modified>
</cp:coreProperties>
</file>