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
        <w:tblW w:w="0" w:type="auto"/>
        <w:tblLook w:val="0000" w:firstRow="0" w:lastRow="0" w:firstColumn="0" w:lastColumn="0" w:noHBand="0" w:noVBand="0"/>
      </w:tblPr>
      <w:tblGrid>
        <w:gridCol w:w="675"/>
        <w:gridCol w:w="1877"/>
        <w:gridCol w:w="709"/>
        <w:gridCol w:w="2693"/>
      </w:tblGrid>
      <w:tr w:rsidRPr="00D570AB" w:rsidR="000A4077" w:rsidTr="000A4077" w14:paraId="14877078" w14:textId="77777777">
        <w:tc>
          <w:tcPr>
            <w:tcW w:w="675" w:type="dxa"/>
            <w:tcBorders>
              <w:top w:val="nil"/>
              <w:left w:val="nil"/>
              <w:bottom w:val="nil"/>
              <w:right w:val="nil"/>
            </w:tcBorders>
          </w:tcPr>
          <w:p w:rsidRPr="00D570AB" w:rsidR="000A4077" w:rsidP="000A4077" w:rsidRDefault="000A4077" w14:paraId="7D1F3C20" w14:textId="77777777">
            <w:pPr>
              <w:tabs>
                <w:tab w:val="left" w:pos="360"/>
              </w:tabs>
              <w:autoSpaceDE w:val="0"/>
              <w:autoSpaceDN w:val="0"/>
              <w:adjustRightInd w:val="0"/>
              <w:jc w:val="left"/>
              <w:rPr>
                <w:rFonts w:eastAsia="Times New Roman" w:cs="Times New Roman"/>
                <w:iCs/>
                <w:szCs w:val="20"/>
              </w:rPr>
            </w:pPr>
            <w:bookmarkStart w:name="_Hlk27492980" w:id="0"/>
            <w:r w:rsidRPr="00D570AB">
              <w:rPr>
                <w:rFonts w:eastAsia="Times New Roman" w:cs="Times New Roman"/>
                <w:iCs/>
                <w:szCs w:val="20"/>
              </w:rPr>
              <w:t>Rīgā</w:t>
            </w:r>
          </w:p>
        </w:tc>
        <w:tc>
          <w:tcPr>
            <w:tcW w:w="1877" w:type="dxa"/>
            <w:tcBorders>
              <w:top w:val="nil"/>
              <w:left w:val="nil"/>
              <w:bottom w:val="single" w:color="auto" w:sz="4" w:space="0"/>
              <w:right w:val="nil"/>
            </w:tcBorders>
          </w:tcPr>
          <w:p w:rsidRPr="00D570AB" w:rsidR="000A4077" w:rsidP="000A4077" w:rsidRDefault="000A4077" w14:paraId="32529355" w14:textId="77777777">
            <w:pPr>
              <w:tabs>
                <w:tab w:val="left" w:pos="3960"/>
              </w:tabs>
              <w:autoSpaceDE w:val="0"/>
              <w:autoSpaceDN w:val="0"/>
              <w:adjustRightInd w:val="0"/>
              <w:jc w:val="left"/>
              <w:rPr>
                <w:rFonts w:eastAsia="Times New Roman" w:cs="Times New Roman"/>
                <w:iCs/>
                <w:szCs w:val="24"/>
              </w:rPr>
            </w:pPr>
            <w:r w:rsidRPr="00D570AB">
              <w:rPr>
                <w:rFonts w:eastAsia="Times New Roman" w:cs="Times New Roman"/>
                <w:iCs/>
                <w:szCs w:val="24"/>
              </w:rPr>
              <w:fldChar w:fldCharType="begin">
                <w:ffData>
                  <w:name w:val="reg_dat"/>
                  <w:enabled/>
                  <w:calcOnExit w:val="0"/>
                  <w:textInput>
                    <w:default w:val="                      "/>
                  </w:textInput>
                </w:ffData>
              </w:fldChar>
            </w:r>
            <w:bookmarkStart w:name="reg_dat" w:id="1"/>
            <w:r>
              <w:rPr>
                <w:rFonts w:eastAsia="Times New Roman" w:cs="Times New Roman"/>
                <w:iCs/>
                <w:szCs w:val="24"/>
              </w:rPr>
              <w:t>08.07.2026.</w:t>
            </w:r>
            <w:bookmarkEnd w:id="1"/>
          </w:p>
        </w:tc>
        <w:tc>
          <w:tcPr>
            <w:tcW w:w="709" w:type="dxa"/>
            <w:tcBorders>
              <w:top w:val="nil"/>
              <w:left w:val="nil"/>
              <w:bottom w:val="nil"/>
              <w:right w:val="nil"/>
            </w:tcBorders>
          </w:tcPr>
          <w:p w:rsidRPr="00D570AB" w:rsidR="000A4077" w:rsidP="000A4077" w:rsidRDefault="000A4077" w14:paraId="24EAF986" w14:textId="77777777">
            <w:pPr>
              <w:tabs>
                <w:tab w:val="left" w:pos="360"/>
                <w:tab w:val="left" w:pos="3960"/>
              </w:tabs>
              <w:autoSpaceDE w:val="0"/>
              <w:autoSpaceDN w:val="0"/>
              <w:adjustRightInd w:val="0"/>
              <w:jc w:val="right"/>
              <w:rPr>
                <w:rFonts w:eastAsia="Times New Roman" w:cs="Times New Roman"/>
                <w:iCs/>
                <w:szCs w:val="24"/>
              </w:rPr>
            </w:pPr>
            <w:r w:rsidRPr="00D570AB">
              <w:rPr>
                <w:rFonts w:eastAsia="Times New Roman" w:cs="Times New Roman"/>
                <w:iCs/>
                <w:szCs w:val="24"/>
              </w:rPr>
              <w:t>Nr.</w:t>
            </w:r>
          </w:p>
        </w:tc>
        <w:tc>
          <w:tcPr>
            <w:tcW w:w="2693" w:type="dxa"/>
            <w:tcBorders>
              <w:top w:val="nil"/>
              <w:left w:val="nil"/>
              <w:bottom w:val="single" w:color="auto" w:sz="4" w:space="0"/>
              <w:right w:val="nil"/>
            </w:tcBorders>
          </w:tcPr>
          <w:p w:rsidRPr="00D570AB" w:rsidR="000A4077" w:rsidP="000A4077" w:rsidRDefault="000A4077" w14:paraId="657354C2" w14:textId="77777777">
            <w:pPr>
              <w:tabs>
                <w:tab w:val="left" w:pos="360"/>
                <w:tab w:val="left" w:pos="3960"/>
              </w:tabs>
              <w:autoSpaceDE w:val="0"/>
              <w:autoSpaceDN w:val="0"/>
              <w:adjustRightInd w:val="0"/>
              <w:ind w:right="37"/>
              <w:jc w:val="left"/>
              <w:rPr>
                <w:rFonts w:eastAsia="Times New Roman" w:cs="Times New Roman"/>
                <w:iCs/>
                <w:szCs w:val="24"/>
              </w:rPr>
            </w:pPr>
            <w:r>
              <w:rPr>
                <w:rFonts w:eastAsia="Times New Roman" w:cs="Times New Roman"/>
                <w:iCs/>
                <w:szCs w:val="24"/>
              </w:rPr>
              <w:t>3.1.1</w:t>
            </w:r>
            <w:r w:rsidRPr="00D570AB">
              <w:rPr>
                <w:rFonts w:eastAsia="Times New Roman" w:cs="Times New Roman"/>
                <w:iCs/>
                <w:szCs w:val="24"/>
              </w:rPr>
              <w:t xml:space="preserve"> / </w:t>
            </w:r>
            <w:r w:rsidRPr="00D570AB">
              <w:rPr>
                <w:rFonts w:eastAsia="Times New Roman" w:cs="Times New Roman"/>
                <w:iCs/>
                <w:szCs w:val="24"/>
              </w:rPr>
              <w:fldChar w:fldCharType="begin">
                <w:ffData>
                  <w:name w:val="reg_num"/>
                  <w:enabled/>
                  <w:calcOnExit w:val="0"/>
                  <w:textInput>
                    <w:default w:val="            "/>
                  </w:textInput>
                </w:ffData>
              </w:fldChar>
            </w:r>
            <w:bookmarkStart w:name="reg_num" w:id="2"/>
            <w:r>
              <w:rPr>
                <w:rFonts w:eastAsia="Times New Roman" w:cs="Times New Roman"/>
                <w:iCs/>
                <w:szCs w:val="24"/>
              </w:rPr>
              <w:t>11080</w:t>
            </w:r>
            <w:bookmarkEnd w:id="2"/>
          </w:p>
        </w:tc>
      </w:tr>
    </w:tbl>
    <w:p w:rsidR="00221B8D" w:rsidP="00221B8D" w:rsidRDefault="00221B8D" w14:paraId="1F862B4C" w14:textId="77777777">
      <w:pPr>
        <w:tabs>
          <w:tab w:val="left" w:pos="-7230"/>
          <w:tab w:val="left" w:pos="-709"/>
        </w:tabs>
        <w:ind w:right="-283"/>
        <w:jc w:val="right"/>
        <w:rPr>
          <w:b/>
          <w:bCs/>
        </w:rPr>
      </w:pPr>
      <w:bookmarkStart w:name="sagatave" w:id="3"/>
      <w:bookmarkStart w:name="_Hlk27492959" w:id="4"/>
    </w:p>
    <w:p w:rsidR="00221B8D" w:rsidP="00221B8D" w:rsidRDefault="00221B8D" w14:paraId="1BEC6E29" w14:textId="77777777">
      <w:pPr>
        <w:tabs>
          <w:tab w:val="left" w:pos="-7230"/>
          <w:tab w:val="left" w:pos="-709"/>
        </w:tabs>
        <w:ind w:right="-283"/>
        <w:jc w:val="right"/>
        <w:rPr>
          <w:b/>
          <w:bCs/>
        </w:rPr>
      </w:pPr>
    </w:p>
    <w:p w:rsidR="00221B8D" w:rsidP="00221B8D" w:rsidRDefault="00221B8D" w14:paraId="4C513C5A" w14:textId="77777777">
      <w:pPr>
        <w:tabs>
          <w:tab w:val="left" w:pos="-7230"/>
          <w:tab w:val="left" w:pos="-709"/>
        </w:tabs>
        <w:ind w:right="-283"/>
        <w:jc w:val="right"/>
        <w:rPr>
          <w:b/>
          <w:bCs/>
        </w:rPr>
      </w:pPr>
    </w:p>
    <w:p w:rsidR="00221B8D" w:rsidP="00221B8D" w:rsidRDefault="00221B8D" w14:paraId="2F427988" w14:textId="584AE572">
      <w:pPr>
        <w:tabs>
          <w:tab w:val="left" w:pos="-7230"/>
          <w:tab w:val="left" w:pos="-709"/>
        </w:tabs>
        <w:ind w:right="-283"/>
        <w:jc w:val="right"/>
        <w:rPr>
          <w:b/>
          <w:bCs/>
        </w:rPr>
      </w:pPr>
      <w:r>
        <w:rPr>
          <w:b/>
          <w:bCs/>
        </w:rPr>
        <w:t xml:space="preserve">Iepirkuma LVC 2025/111/PPP </w:t>
      </w:r>
    </w:p>
    <w:p w:rsidRPr="000D3FEF" w:rsidR="00221B8D" w:rsidP="00221B8D" w:rsidRDefault="00221B8D" w14:paraId="243D10A1" w14:textId="77777777">
      <w:pPr>
        <w:widowControl w:val="0"/>
        <w:autoSpaceDE w:val="0"/>
        <w:autoSpaceDN w:val="0"/>
        <w:adjustRightInd w:val="0"/>
        <w:jc w:val="right"/>
        <w:rPr>
          <w:rFonts w:eastAsia="Times New Roman" w:cs="Times New Roman"/>
          <w:b/>
          <w:iCs/>
          <w:color w:val="0000FF"/>
          <w:szCs w:val="24"/>
          <w:u w:val="single"/>
        </w:rPr>
      </w:pPr>
      <w:r w:rsidRPr="000D3FEF">
        <w:rPr>
          <w:rFonts w:eastAsia="Times New Roman" w:cs="Times New Roman"/>
          <w:b/>
          <w:iCs/>
          <w:szCs w:val="24"/>
        </w:rPr>
        <w:t>Potenciālajam kandidātam</w:t>
      </w:r>
    </w:p>
    <w:p w:rsidR="00221B8D" w:rsidP="00221B8D" w:rsidRDefault="00221B8D" w14:paraId="55B3A922" w14:textId="77777777">
      <w:pPr>
        <w:tabs>
          <w:tab w:val="left" w:pos="6237"/>
        </w:tabs>
        <w:ind w:right="-425"/>
      </w:pPr>
    </w:p>
    <w:p w:rsidRPr="00F20D13" w:rsidR="00221B8D" w:rsidP="00221B8D" w:rsidRDefault="00221B8D" w14:paraId="686C637A" w14:textId="77777777">
      <w:pPr>
        <w:widowControl w:val="0"/>
        <w:autoSpaceDE w:val="0"/>
        <w:autoSpaceDN w:val="0"/>
        <w:adjustRightInd w:val="0"/>
      </w:pPr>
    </w:p>
    <w:p w:rsidR="00221B8D" w:rsidP="00221B8D" w:rsidRDefault="00221B8D" w14:paraId="21312F44" w14:textId="77777777">
      <w:pPr>
        <w:widowControl w:val="0"/>
        <w:autoSpaceDE w:val="0"/>
        <w:autoSpaceDN w:val="0"/>
        <w:adjustRightInd w:val="0"/>
      </w:pPr>
      <w:r w:rsidRPr="00762F7E">
        <w:t>Par iepirkuma LVC 2025/111/PPP nolikumu</w:t>
      </w:r>
    </w:p>
    <w:p w:rsidRPr="00762F7E" w:rsidR="00221B8D" w:rsidP="00221B8D" w:rsidRDefault="00221B8D" w14:paraId="76EF056A" w14:textId="77777777">
      <w:pPr>
        <w:widowControl w:val="0"/>
        <w:autoSpaceDE w:val="0"/>
        <w:autoSpaceDN w:val="0"/>
        <w:adjustRightInd w:val="0"/>
      </w:pPr>
    </w:p>
    <w:p w:rsidRPr="00532951" w:rsidR="00221B8D" w:rsidP="00221B8D" w:rsidRDefault="00221B8D" w14:paraId="4AAF98CF" w14:textId="77777777">
      <w:pPr>
        <w:ind w:firstLine="720"/>
        <w:rPr>
          <w:rFonts w:eastAsia="Calibri" w:cs="Times New Roman"/>
          <w:szCs w:val="24"/>
        </w:rPr>
      </w:pPr>
      <w:r w:rsidRPr="00A86343">
        <w:rPr>
          <w:rFonts w:eastAsia="Times New Roman" w:cs="Times New Roman"/>
          <w:iCs/>
          <w:szCs w:val="24"/>
        </w:rPr>
        <w:t>VSIA “Latvijas Valsts ceļi” iepirkuma Nr. LVC 2025/111/PPP</w:t>
      </w:r>
      <w:r>
        <w:rPr>
          <w:rFonts w:eastAsia="Times New Roman" w:cs="Times New Roman"/>
          <w:iCs/>
          <w:szCs w:val="24"/>
        </w:rPr>
        <w:t xml:space="preserve"> </w:t>
      </w:r>
      <w:r w:rsidRPr="00A86343">
        <w:rPr>
          <w:rFonts w:eastAsia="Times New Roman" w:cs="Times New Roman"/>
          <w:i/>
          <w:szCs w:val="24"/>
        </w:rPr>
        <w:t>“Publiskās – privātās partnerības līgums par valsts galvenā autoceļa E67/A7 Rīga – Bauska – Lietuvas robeža (Grenctāle) posma no Ķekavas apvedceļa līdz Bauskai (Ārcei) pārbūves projekta 1. kārtas “Bauskas apvedceļš” projektēšanu, būvdarbiem, finansēšanu un uzturēšanu”</w:t>
      </w:r>
      <w:r w:rsidRPr="00A86343">
        <w:rPr>
          <w:rFonts w:eastAsia="Times New Roman" w:cs="Times New Roman"/>
          <w:iCs/>
          <w:szCs w:val="24"/>
        </w:rPr>
        <w:t xml:space="preserve"> (</w:t>
      </w:r>
      <w:r w:rsidRPr="003B369D">
        <w:rPr>
          <w:rFonts w:eastAsia="Times New Roman" w:cs="Times New Roman"/>
          <w:iCs/>
          <w:szCs w:val="24"/>
        </w:rPr>
        <w:t xml:space="preserve">turpmāk - </w:t>
      </w:r>
      <w:r w:rsidRPr="00A86343">
        <w:rPr>
          <w:rFonts w:eastAsia="Times New Roman" w:cs="Times New Roman"/>
          <w:iCs/>
          <w:szCs w:val="24"/>
        </w:rPr>
        <w:t>Iepirkums</w:t>
      </w:r>
      <w:r w:rsidRPr="003B369D">
        <w:rPr>
          <w:rStyle w:val="Vresatsauce"/>
          <w:rFonts w:eastAsia="Times New Roman" w:cs="Times New Roman"/>
          <w:iCs/>
          <w:szCs w:val="24"/>
        </w:rPr>
        <w:footnoteReference w:id="1"/>
      </w:r>
      <w:r w:rsidRPr="00A86343">
        <w:rPr>
          <w:rFonts w:eastAsia="Times New Roman" w:cs="Times New Roman"/>
          <w:iCs/>
          <w:szCs w:val="24"/>
        </w:rPr>
        <w:t xml:space="preserve">) </w:t>
      </w:r>
      <w:r w:rsidRPr="003B369D">
        <w:rPr>
          <w:rFonts w:eastAsia="Times New Roman" w:cs="Times New Roman"/>
          <w:iCs/>
          <w:szCs w:val="24"/>
        </w:rPr>
        <w:t>K</w:t>
      </w:r>
      <w:r w:rsidRPr="00A86343">
        <w:rPr>
          <w:rFonts w:eastAsia="Times New Roman" w:cs="Times New Roman"/>
          <w:iCs/>
          <w:szCs w:val="24"/>
        </w:rPr>
        <w:t xml:space="preserve">omisija 2026. gada </w:t>
      </w:r>
      <w:r>
        <w:rPr>
          <w:rFonts w:eastAsia="Times New Roman" w:cs="Times New Roman"/>
          <w:iCs/>
          <w:szCs w:val="24"/>
        </w:rPr>
        <w:t>3. jūlijā</w:t>
      </w:r>
      <w:r w:rsidRPr="00A86343">
        <w:rPr>
          <w:rFonts w:eastAsia="Times New Roman" w:cs="Times New Roman"/>
          <w:iCs/>
          <w:szCs w:val="24"/>
        </w:rPr>
        <w:t xml:space="preserve"> Elektroniskajā iepirkumu sistēmā (EIS) saņēma </w:t>
      </w:r>
      <w:r w:rsidRPr="003B369D">
        <w:rPr>
          <w:rFonts w:eastAsia="Times New Roman" w:cs="Times New Roman"/>
          <w:iCs/>
          <w:szCs w:val="24"/>
        </w:rPr>
        <w:t xml:space="preserve">Potenciālā Kandidāta </w:t>
      </w:r>
      <w:r w:rsidRPr="00A86343">
        <w:rPr>
          <w:rFonts w:eastAsia="Times New Roman" w:cs="Times New Roman"/>
          <w:iCs/>
          <w:szCs w:val="24"/>
        </w:rPr>
        <w:t>jautājumu, uz kur</w:t>
      </w:r>
      <w:r>
        <w:rPr>
          <w:rFonts w:eastAsia="Times New Roman" w:cs="Times New Roman"/>
          <w:iCs/>
          <w:szCs w:val="24"/>
        </w:rPr>
        <w:t>u</w:t>
      </w:r>
      <w:r w:rsidRPr="00A86343">
        <w:rPr>
          <w:rFonts w:eastAsia="Times New Roman" w:cs="Times New Roman"/>
          <w:iCs/>
          <w:szCs w:val="24"/>
        </w:rPr>
        <w:t xml:space="preserve"> Iepirkuma </w:t>
      </w:r>
      <w:r w:rsidRPr="003B369D">
        <w:rPr>
          <w:rFonts w:eastAsia="Times New Roman" w:cs="Times New Roman"/>
          <w:iCs/>
          <w:szCs w:val="24"/>
        </w:rPr>
        <w:t>K</w:t>
      </w:r>
      <w:r w:rsidRPr="00A86343">
        <w:rPr>
          <w:rFonts w:eastAsia="Times New Roman" w:cs="Times New Roman"/>
          <w:iCs/>
          <w:szCs w:val="24"/>
        </w:rPr>
        <w:t>omisija sniedz šād</w:t>
      </w:r>
      <w:r>
        <w:rPr>
          <w:rFonts w:eastAsia="Times New Roman" w:cs="Times New Roman"/>
          <w:iCs/>
          <w:szCs w:val="24"/>
        </w:rPr>
        <w:t xml:space="preserve">u </w:t>
      </w:r>
      <w:r w:rsidRPr="00A86343">
        <w:rPr>
          <w:rFonts w:eastAsia="Times New Roman" w:cs="Times New Roman"/>
          <w:iCs/>
          <w:szCs w:val="24"/>
        </w:rPr>
        <w:t>atbild</w:t>
      </w:r>
      <w:r>
        <w:rPr>
          <w:rFonts w:eastAsia="Times New Roman" w:cs="Times New Roman"/>
          <w:iCs/>
          <w:szCs w:val="24"/>
        </w:rPr>
        <w:t>i</w:t>
      </w:r>
      <w:r w:rsidRPr="00A86343">
        <w:rPr>
          <w:rFonts w:eastAsia="Times New Roman" w:cs="Times New Roman"/>
          <w:iCs/>
          <w:szCs w:val="24"/>
        </w:rPr>
        <w:t>:</w:t>
      </w:r>
    </w:p>
    <w:p w:rsidR="00221B8D" w:rsidP="00221B8D" w:rsidRDefault="00221B8D" w14:paraId="4D862D37" w14:textId="77777777">
      <w:pPr>
        <w:rPr>
          <w:rFonts w:cs="Times New Roman"/>
          <w:b/>
          <w:bCs/>
          <w:u w:val="single"/>
        </w:rPr>
      </w:pPr>
    </w:p>
    <w:p w:rsidR="00221B8D" w:rsidP="00221B8D" w:rsidRDefault="00221B8D" w14:paraId="2F818607" w14:textId="77777777">
      <w:pPr>
        <w:rPr>
          <w:rFonts w:cs="Times New Roman"/>
          <w:b/>
          <w:bCs/>
          <w:u w:val="single"/>
        </w:rPr>
      </w:pPr>
      <w:r w:rsidRPr="00AD4BEA">
        <w:rPr>
          <w:rFonts w:cs="Times New Roman"/>
          <w:b/>
          <w:bCs/>
          <w:u w:val="single"/>
        </w:rPr>
        <w:t>Jautājums</w:t>
      </w:r>
      <w:r>
        <w:rPr>
          <w:rFonts w:cs="Times New Roman"/>
          <w:b/>
          <w:bCs/>
          <w:u w:val="single"/>
        </w:rPr>
        <w:t xml:space="preserve"> </w:t>
      </w:r>
    </w:p>
    <w:p w:rsidR="00221B8D" w:rsidP="00221B8D" w:rsidRDefault="00221B8D" w14:paraId="16FF755D" w14:textId="77777777">
      <w:pPr>
        <w:rPr>
          <w:rFonts w:cs="Times New Roman"/>
          <w:b/>
          <w:bCs/>
          <w:u w:val="single"/>
        </w:rPr>
      </w:pPr>
    </w:p>
    <w:p w:rsidRPr="009C638B" w:rsidR="00221B8D" w:rsidP="00221B8D" w:rsidRDefault="00221B8D" w14:paraId="61463AD0" w14:textId="77777777">
      <w:pPr>
        <w:ind w:firstLine="720"/>
        <w:rPr>
          <w:rFonts w:cs="Times New Roman"/>
          <w:szCs w:val="24"/>
        </w:rPr>
      </w:pPr>
      <w:r w:rsidRPr="009C638B">
        <w:rPr>
          <w:rFonts w:eastAsia="Times New Roman" w:cs="Times New Roman"/>
          <w:szCs w:val="24"/>
          <w:lang w:eastAsia="lv-LV"/>
        </w:rPr>
        <w:t>IKN H sadaļas 2.tabulā ailē “Tilta vai pārvada būvdarbi” norādīts:</w:t>
      </w:r>
      <w:r w:rsidRPr="009C638B">
        <w:rPr>
          <w:rFonts w:cs="Times New Roman"/>
          <w:szCs w:val="24"/>
        </w:rPr>
        <w:t xml:space="preserve">  </w:t>
      </w:r>
    </w:p>
    <w:p w:rsidRPr="00A56C84" w:rsidR="00221B8D" w:rsidP="00221B8D" w:rsidRDefault="00221B8D" w14:paraId="5E4B2915" w14:textId="77777777">
      <w:pPr>
        <w:ind w:firstLine="720"/>
        <w:rPr>
          <w:rFonts w:eastAsia="Times New Roman" w:cs="Times New Roman"/>
          <w:i/>
          <w:iCs/>
          <w:szCs w:val="24"/>
          <w:lang w:eastAsia="lv-LV"/>
        </w:rPr>
      </w:pPr>
      <w:r w:rsidRPr="00A56C84">
        <w:rPr>
          <w:rFonts w:cs="Times New Roman"/>
          <w:i/>
          <w:iCs/>
          <w:szCs w:val="24"/>
        </w:rPr>
        <w:t xml:space="preserve">(…) </w:t>
      </w:r>
      <w:r w:rsidRPr="00A56C84">
        <w:rPr>
          <w:rFonts w:eastAsia="Times New Roman" w:cs="Times New Roman"/>
          <w:i/>
          <w:iCs/>
          <w:szCs w:val="24"/>
          <w:lang w:eastAsia="lv-LV"/>
        </w:rPr>
        <w:t>Atsauces projekta kapitālieguldījumiem jauna tilta vai pārvada būvdarbu izpildē ir jāpārsniedz 10’000’000 EUR (desmit miljoni euro) bez PVN.</w:t>
      </w:r>
    </w:p>
    <w:p w:rsidR="00221B8D" w:rsidP="00221B8D" w:rsidRDefault="00221B8D" w14:paraId="0473FD93" w14:textId="77777777">
      <w:pPr>
        <w:ind w:firstLine="720"/>
        <w:rPr>
          <w:rFonts w:eastAsia="Times New Roman" w:cs="Times New Roman"/>
          <w:i/>
          <w:iCs/>
          <w:szCs w:val="24"/>
          <w:lang w:eastAsia="lv-LV"/>
        </w:rPr>
      </w:pPr>
      <w:r w:rsidRPr="00A56C84">
        <w:rPr>
          <w:rFonts w:eastAsia="Times New Roman" w:cs="Times New Roman"/>
          <w:i/>
          <w:iCs/>
          <w:szCs w:val="24"/>
          <w:lang w:eastAsia="lv-LV"/>
        </w:rPr>
        <w:t xml:space="preserve"> Atsauces projektam:</w:t>
      </w:r>
    </w:p>
    <w:p w:rsidRPr="00A56C84" w:rsidR="00221B8D" w:rsidP="00221B8D" w:rsidRDefault="00221B8D" w14:paraId="795DB5D3" w14:textId="77777777">
      <w:pPr>
        <w:ind w:firstLine="720"/>
        <w:rPr>
          <w:rFonts w:eastAsia="Times New Roman" w:cs="Times New Roman"/>
          <w:i/>
          <w:iCs/>
          <w:szCs w:val="24"/>
          <w:lang w:eastAsia="lv-LV"/>
        </w:rPr>
      </w:pPr>
    </w:p>
    <w:p w:rsidRPr="00A56C84" w:rsidR="00221B8D" w:rsidP="00221B8D" w:rsidRDefault="00221B8D" w14:paraId="70D395F0" w14:textId="77777777">
      <w:pPr>
        <w:ind w:firstLine="720"/>
        <w:rPr>
          <w:rFonts w:eastAsia="Times New Roman" w:cs="Times New Roman"/>
          <w:i/>
          <w:iCs/>
          <w:szCs w:val="24"/>
          <w:lang w:eastAsia="lv-LV"/>
        </w:rPr>
      </w:pPr>
      <w:r w:rsidRPr="00A56C84">
        <w:rPr>
          <w:rFonts w:eastAsia="Times New Roman" w:cs="Times New Roman"/>
          <w:i/>
          <w:iCs/>
          <w:szCs w:val="24"/>
          <w:lang w:eastAsia="lv-LV"/>
        </w:rPr>
        <w:t>(…) (c) jābūt pabeigtam pēdējo 10 (desmit) gadu laikā pirms Kvalifikācijas Dokumentu iesniegšanas dienas, kur „pabeigts“ attiecas uz dienu, kad atsauces projektā jaunā tilta vai satiksmes pārvada būvdarbi ir tikuši pabeigti un tilts vai satiksmes pārvads ir atvērts satiksmei.</w:t>
      </w:r>
    </w:p>
    <w:p w:rsidR="00221B8D" w:rsidP="00221B8D" w:rsidRDefault="00221B8D" w14:paraId="002C1878" w14:textId="77777777">
      <w:pPr>
        <w:ind w:firstLine="720"/>
        <w:rPr>
          <w:rFonts w:cs="Times New Roman"/>
          <w:szCs w:val="24"/>
        </w:rPr>
      </w:pPr>
      <w:r w:rsidRPr="009C638B">
        <w:rPr>
          <w:rFonts w:cs="Times New Roman"/>
          <w:szCs w:val="24"/>
        </w:rPr>
        <w:t>Lūdzam Pasūtītāju precizēt Kvalifikācijas kritēriju "Tilta vai pārvada būvdarbi", kas attiecas uz Kandidāta pieredzi.</w:t>
      </w:r>
    </w:p>
    <w:p w:rsidRPr="009C638B" w:rsidR="00221B8D" w:rsidP="00221B8D" w:rsidRDefault="00221B8D" w14:paraId="1B4DC5DD" w14:textId="77777777">
      <w:pPr>
        <w:ind w:firstLine="720"/>
        <w:rPr>
          <w:rFonts w:cs="Times New Roman"/>
          <w:szCs w:val="24"/>
        </w:rPr>
      </w:pPr>
    </w:p>
    <w:p w:rsidR="00221B8D" w:rsidP="00221B8D" w:rsidRDefault="00221B8D" w14:paraId="36B365DF" w14:textId="77777777">
      <w:pPr>
        <w:ind w:firstLine="720"/>
        <w:rPr>
          <w:rFonts w:cs="Times New Roman"/>
          <w:szCs w:val="24"/>
        </w:rPr>
      </w:pPr>
      <w:r w:rsidRPr="009C638B">
        <w:rPr>
          <w:rFonts w:cs="Times New Roman"/>
          <w:szCs w:val="24"/>
        </w:rPr>
        <w:t>Minētajā kvalifikācijas kritērijā ir noteikts, ka Kandidātam jābūt pieredzei jauna tilta vai satiksmes pārvada būvdarbu izpildē, savukārt kvalifikācijas kritērijā attiecībā uz Tiltu būvdarbu vadītāja pieredzi Pasūtītājs ir tieši norādījis, ka par atbilstošu tiek uzskatīta pieredze jauna autotransporta satiksmei paredzēta tilta, satiksmes pārvada, viadukta vai estakādes būvdarbu vadīšanā.</w:t>
      </w:r>
    </w:p>
    <w:p w:rsidRPr="009C638B" w:rsidR="00514BCD" w:rsidP="00221B8D" w:rsidRDefault="00514BCD" w14:paraId="4357E4A0" w14:textId="77777777">
      <w:pPr>
        <w:ind w:firstLine="720"/>
        <w:rPr>
          <w:rFonts w:cs="Times New Roman"/>
          <w:szCs w:val="24"/>
        </w:rPr>
      </w:pPr>
    </w:p>
    <w:p w:rsidRPr="009C638B" w:rsidR="00221B8D" w:rsidP="00221B8D" w:rsidRDefault="00221B8D" w14:paraId="1B57F149" w14:textId="77777777">
      <w:pPr>
        <w:ind w:firstLine="720"/>
        <w:rPr>
          <w:rFonts w:cs="Times New Roman"/>
          <w:szCs w:val="24"/>
        </w:rPr>
      </w:pPr>
      <w:r w:rsidRPr="009C638B">
        <w:rPr>
          <w:rFonts w:cs="Times New Roman"/>
          <w:szCs w:val="24"/>
        </w:rPr>
        <w:t xml:space="preserve">Lūdzam </w:t>
      </w:r>
      <w:r>
        <w:rPr>
          <w:rFonts w:cs="Times New Roman"/>
          <w:szCs w:val="24"/>
        </w:rPr>
        <w:t xml:space="preserve">Pasūtītāju </w:t>
      </w:r>
      <w:r w:rsidRPr="009C638B">
        <w:rPr>
          <w:rFonts w:cs="Times New Roman"/>
          <w:szCs w:val="24"/>
        </w:rPr>
        <w:t xml:space="preserve">apstiprināt, ka Kandidāts pareizi </w:t>
      </w:r>
      <w:r>
        <w:rPr>
          <w:rFonts w:cs="Times New Roman"/>
          <w:szCs w:val="24"/>
        </w:rPr>
        <w:t>saprot</w:t>
      </w:r>
      <w:r w:rsidRPr="009C638B">
        <w:rPr>
          <w:rFonts w:cs="Times New Roman"/>
          <w:szCs w:val="24"/>
        </w:rPr>
        <w:t xml:space="preserve">, ka pieredzes prasībai "Tilta vai pārvada būvdarbi" atbilst arī atsauces projekts, kura ietvaros ir izbūvēts jauns viadukts vai estakāde, ja </w:t>
      </w:r>
      <w:r>
        <w:rPr>
          <w:rFonts w:cs="Times New Roman"/>
          <w:szCs w:val="24"/>
        </w:rPr>
        <w:t>tie</w:t>
      </w:r>
      <w:r w:rsidRPr="009C638B">
        <w:rPr>
          <w:rFonts w:cs="Times New Roman"/>
          <w:szCs w:val="24"/>
        </w:rPr>
        <w:t xml:space="preserve"> atbilst visām pārējām kvalifikācijas kritērijā noteiktajām prasībām (tai skaitā attiecībā uz kapitālieguldījumu apmēru, garumu, izpildes termiņu un pārējiem nosacījumiem).</w:t>
      </w:r>
    </w:p>
    <w:p w:rsidRPr="00CB26E8" w:rsidR="00221B8D" w:rsidP="00221B8D" w:rsidRDefault="00221B8D" w14:paraId="17D03425" w14:textId="77777777"/>
    <w:p w:rsidR="00221B8D" w:rsidP="00221B8D" w:rsidRDefault="00221B8D" w14:paraId="296D32E1" w14:textId="04FAF9E9">
      <w:pPr>
        <w:autoSpaceDE w:val="0"/>
        <w:autoSpaceDN w:val="0"/>
        <w:adjustRightInd w:val="0"/>
        <w:rPr>
          <w:rFonts w:cs="Times New Roman"/>
          <w:b/>
          <w:bCs/>
          <w:u w:val="single"/>
        </w:rPr>
      </w:pPr>
      <w:r w:rsidRPr="00100BB3">
        <w:rPr>
          <w:rFonts w:ascii="Aptos" w:hAnsi="Aptos" w:cs="Aptos"/>
          <w:color w:val="000000"/>
          <w:sz w:val="23"/>
          <w:szCs w:val="23"/>
          <w:lang w:val="en-US"/>
          <w14:ligatures w14:val="standardContextual"/>
        </w:rPr>
        <w:t xml:space="preserve"> </w:t>
      </w:r>
      <w:r w:rsidRPr="007C2E1A">
        <w:rPr>
          <w:rFonts w:cs="Times New Roman"/>
          <w:b/>
          <w:bCs/>
          <w:u w:val="single"/>
        </w:rPr>
        <w:t>Atbilde uz jautājum</w:t>
      </w:r>
      <w:r>
        <w:rPr>
          <w:rFonts w:cs="Times New Roman"/>
          <w:b/>
          <w:bCs/>
          <w:u w:val="single"/>
        </w:rPr>
        <w:t>u</w:t>
      </w:r>
    </w:p>
    <w:p w:rsidR="00221B8D" w:rsidP="00221B8D" w:rsidRDefault="00221B8D" w14:paraId="5D45A77F" w14:textId="77777777">
      <w:pPr>
        <w:autoSpaceDE w:val="0"/>
        <w:autoSpaceDN w:val="0"/>
        <w:adjustRightInd w:val="0"/>
        <w:rPr>
          <w:rFonts w:cs="Times New Roman"/>
          <w:b/>
          <w:bCs/>
          <w:u w:val="single"/>
        </w:rPr>
      </w:pPr>
    </w:p>
    <w:p w:rsidRPr="003A6416" w:rsidR="00221B8D" w:rsidP="00221B8D" w:rsidRDefault="00221B8D" w14:paraId="54379119" w14:textId="77777777">
      <w:pPr>
        <w:ind w:firstLine="720"/>
        <w:rPr>
          <w:rFonts w:cs="Times New Roman"/>
          <w:szCs w:val="24"/>
        </w:rPr>
      </w:pPr>
      <w:r>
        <w:rPr>
          <w:rFonts w:cs="Times New Roman"/>
          <w:szCs w:val="24"/>
        </w:rPr>
        <w:t xml:space="preserve">Skaidrojam, ka IKN H sadaļas 2. tabulas “Tehniskās kompetences Kvalifikācijas Kritēriji” Kvalifikācijas Kritērija “Tilta vai pārvada būvdarbi” prasības attiecas uz jaunu tiltu vai satiksmes pārvadu, savukārt IKN 3. tabulas “Ekspertu Kvalifikācijas Kritēriji” Kvalifikācijas Kritēriju </w:t>
      </w:r>
      <w:r>
        <w:rPr>
          <w:rFonts w:cs="Times New Roman"/>
          <w:szCs w:val="24"/>
        </w:rPr>
        <w:lastRenderedPageBreak/>
        <w:t>“Būvprojekta tiltu daļās vadītājs” un “Tiltu būvdarbu vadītājs” prasības attiecas uz jaunu tiltu, satiksmes pārvadu, viaduktu vai estakādi.</w:t>
      </w:r>
    </w:p>
    <w:p w:rsidRPr="00A56411" w:rsidR="00374261" w:rsidP="00374261" w:rsidRDefault="00374261" w14:paraId="084EFF97" w14:textId="4DC51D4E">
      <w:pPr>
        <w:widowControl w:val="0"/>
        <w:autoSpaceDE w:val="0"/>
        <w:autoSpaceDN w:val="0"/>
        <w:adjustRightInd w:val="0"/>
        <w:rPr>
          <w:rFonts w:eastAsia="Times New Roman" w:cs="Times New Roman"/>
          <w:iCs/>
          <w:szCs w:val="24"/>
        </w:rPr>
      </w:pPr>
    </w:p>
    <w:bookmarkEnd w:id="3"/>
    <w:p w:rsidRPr="00A56411" w:rsidR="00BC1E6B" w:rsidP="00095A94" w:rsidRDefault="00BC1E6B" w14:paraId="3BC56175" w14:textId="77777777">
      <w:pPr>
        <w:widowControl w:val="0"/>
        <w:autoSpaceDE w:val="0"/>
        <w:autoSpaceDN w:val="0"/>
        <w:adjustRightInd w:val="0"/>
        <w:rPr>
          <w:rFonts w:eastAsia="Times New Roman" w:cs="Times New Roman"/>
          <w:iCs/>
          <w:szCs w:val="24"/>
        </w:rPr>
      </w:pPr>
    </w:p>
    <w:tbl>
      <w:tblPr>
        <w:tblStyle w:val="Reatabula1"/>
        <w:tblW w:w="99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95"/>
        <w:gridCol w:w="1984"/>
        <w:gridCol w:w="3544"/>
      </w:tblGrid>
      <w:tr w:rsidRPr="000A4077" w:rsidR="000A4077" w:rsidTr="000A4077" w14:paraId="1BD23762" w14:textId="77777777">
        <w:tc>
          <w:tcPr>
            <w:tcW w:w="4395" w:type="dxa"/>
          </w:tcPr>
          <w:p w:rsidRPr="000A4077" w:rsidR="000A4077" w:rsidP="000A4077" w:rsidRDefault="00161499" w14:paraId="3106EF87" w14:textId="4572B30C">
            <w:pPr>
              <w:widowControl w:val="0"/>
              <w:autoSpaceDE w:val="0"/>
              <w:autoSpaceDN w:val="0"/>
              <w:adjustRightInd w:val="0"/>
              <w:rPr>
                <w:i/>
                <w:iCs/>
                <w:sz w:val="24"/>
                <w:szCs w:val="24"/>
              </w:rPr>
            </w:pPr>
            <w:r>
              <w:rPr>
                <w:iCs/>
                <w:sz w:val="24"/>
                <w:szCs w:val="24"/>
              </w:rPr>
              <w:t>Iepirkuma komisijas priekšsēdētājs</w:t>
            </w:r>
          </w:p>
        </w:tc>
        <w:tc>
          <w:tcPr>
            <w:tcW w:w="1984" w:type="dxa"/>
          </w:tcPr>
          <w:p w:rsidRPr="000A4077" w:rsidR="000A4077" w:rsidP="000A4077" w:rsidRDefault="000A4077" w14:paraId="721FEC00" w14:textId="77777777">
            <w:pPr>
              <w:widowControl w:val="0"/>
              <w:autoSpaceDE w:val="0"/>
              <w:autoSpaceDN w:val="0"/>
              <w:adjustRightInd w:val="0"/>
              <w:jc w:val="center"/>
              <w:rPr>
                <w:i/>
                <w:iCs/>
                <w:sz w:val="24"/>
                <w:szCs w:val="24"/>
              </w:rPr>
            </w:pPr>
          </w:p>
        </w:tc>
        <w:tc>
          <w:tcPr>
            <w:tcW w:w="3544" w:type="dxa"/>
            <w:vAlign w:val="bottom"/>
          </w:tcPr>
          <w:p w:rsidRPr="000A4077" w:rsidR="000A4077" w:rsidP="000A4077" w:rsidRDefault="00374261" w14:paraId="4DADB3A9" w14:textId="4C08E755">
            <w:pPr>
              <w:widowControl w:val="0"/>
              <w:autoSpaceDE w:val="0"/>
              <w:autoSpaceDN w:val="0"/>
              <w:adjustRightInd w:val="0"/>
              <w:jc w:val="right"/>
              <w:rPr>
                <w:i/>
                <w:iCs/>
                <w:sz w:val="24"/>
                <w:szCs w:val="24"/>
              </w:rPr>
            </w:pPr>
            <w:r>
              <w:rPr>
                <w:iCs/>
                <w:sz w:val="24"/>
                <w:szCs w:val="24"/>
              </w:rPr>
              <w:t xml:space="preserve">  </w:t>
            </w:r>
            <w:bookmarkStart w:name="parak_nos" w:id="5"/>
            <w:r>
              <w:rPr>
                <w:iCs/>
                <w:sz w:val="24"/>
                <w:szCs w:val="24"/>
              </w:rPr>
              <w:t>M. Lazdovskis</w:t>
            </w:r>
            <w:bookmarkEnd w:id="5"/>
          </w:p>
        </w:tc>
      </w:tr>
      <w:tr w:rsidRPr="000A4077" w:rsidR="000A4077" w:rsidTr="000A4077" w14:paraId="45D86D2E" w14:textId="77777777">
        <w:tc>
          <w:tcPr>
            <w:tcW w:w="4395" w:type="dxa"/>
          </w:tcPr>
          <w:p w:rsidRPr="000A4077" w:rsidR="000A4077" w:rsidP="000A4077" w:rsidRDefault="000A4077" w14:paraId="6AA36E09" w14:textId="77777777">
            <w:pPr>
              <w:widowControl w:val="0"/>
              <w:autoSpaceDE w:val="0"/>
              <w:autoSpaceDN w:val="0"/>
              <w:adjustRightInd w:val="0"/>
              <w:rPr>
                <w:i/>
                <w:iCs/>
                <w:sz w:val="24"/>
                <w:szCs w:val="24"/>
              </w:rPr>
            </w:pPr>
          </w:p>
        </w:tc>
        <w:tc>
          <w:tcPr>
            <w:tcW w:w="1984" w:type="dxa"/>
          </w:tcPr>
          <w:p w:rsidRPr="000A4077" w:rsidR="000A4077" w:rsidP="000A4077" w:rsidRDefault="000A4077" w14:paraId="1AC13B65" w14:textId="77777777">
            <w:pPr>
              <w:widowControl w:val="0"/>
              <w:autoSpaceDE w:val="0"/>
              <w:autoSpaceDN w:val="0"/>
              <w:adjustRightInd w:val="0"/>
              <w:jc w:val="right"/>
              <w:rPr>
                <w:i/>
                <w:iCs/>
                <w:sz w:val="24"/>
                <w:szCs w:val="24"/>
              </w:rPr>
            </w:pPr>
          </w:p>
        </w:tc>
        <w:tc>
          <w:tcPr>
            <w:tcW w:w="3544" w:type="dxa"/>
            <w:vAlign w:val="bottom"/>
          </w:tcPr>
          <w:p w:rsidRPr="000A4077" w:rsidR="000A4077" w:rsidP="000A4077" w:rsidRDefault="000A4077" w14:paraId="0210494B" w14:textId="77777777">
            <w:pPr>
              <w:widowControl w:val="0"/>
              <w:autoSpaceDE w:val="0"/>
              <w:autoSpaceDN w:val="0"/>
              <w:adjustRightInd w:val="0"/>
              <w:rPr>
                <w:i/>
                <w:iCs/>
                <w:sz w:val="24"/>
                <w:szCs w:val="24"/>
              </w:rPr>
            </w:pPr>
          </w:p>
        </w:tc>
      </w:tr>
    </w:tbl>
    <w:p w:rsidRPr="000A4077" w:rsidR="000A4077" w:rsidP="000A4077" w:rsidRDefault="000A4077" w14:paraId="1AE15AA0" w14:textId="77777777">
      <w:pPr>
        <w:widowControl w:val="0"/>
        <w:autoSpaceDE w:val="0"/>
        <w:autoSpaceDN w:val="0"/>
        <w:adjustRightInd w:val="0"/>
        <w:jc w:val="left"/>
        <w:rPr>
          <w:rFonts w:eastAsia="Times New Roman" w:cs="Times New Roman"/>
          <w:iCs/>
          <w:szCs w:val="24"/>
        </w:rPr>
      </w:pPr>
    </w:p>
    <w:tbl>
      <w:tblPr>
        <w:tblpPr w:leftFromText="180" w:rightFromText="180" w:vertAnchor="text" w:tblpY="12"/>
        <w:tblW w:w="0" w:type="auto"/>
        <w:tblLook w:val="04A0" w:firstRow="1" w:lastRow="0" w:firstColumn="1" w:lastColumn="0" w:noHBand="0" w:noVBand="1"/>
      </w:tblPr>
      <w:tblGrid>
        <w:gridCol w:w="9072"/>
      </w:tblGrid>
      <w:tr w:rsidRPr="000A4077" w:rsidR="000A4077" w:rsidTr="00B55A9B" w14:paraId="30ED3031" w14:textId="77777777">
        <w:trPr>
          <w:cantSplit/>
          <w:trHeight w:val="579"/>
        </w:trPr>
        <w:tc>
          <w:tcPr>
            <w:tcW w:w="9072" w:type="dxa"/>
          </w:tcPr>
          <w:tbl>
            <w:tblPr>
              <w:tblW w:w="0" w:type="auto"/>
              <w:tblInd w:w="567" w:type="dxa"/>
              <w:tblLook w:val="04A0" w:firstRow="1" w:lastRow="0" w:firstColumn="1" w:lastColumn="0" w:noHBand="0" w:noVBand="1"/>
            </w:tblPr>
            <w:tblGrid>
              <w:gridCol w:w="7793"/>
            </w:tblGrid>
            <w:tr w:rsidRPr="000A4077" w:rsidR="000A4077" w:rsidTr="000A4077" w14:paraId="0E51D166" w14:textId="77777777">
              <w:trPr>
                <w:cantSplit/>
                <w:trHeight w:val="207"/>
              </w:trPr>
              <w:tc>
                <w:tcPr>
                  <w:tcW w:w="7793" w:type="dxa"/>
                </w:tcPr>
                <w:p w:rsidRPr="000A4077" w:rsidR="000A4077" w:rsidP="000A4077" w:rsidRDefault="000A4077" w14:paraId="525E7F98" w14:textId="3F28882B">
                  <w:pPr>
                    <w:framePr w:hSpace="180" w:wrap="around" w:hAnchor="text" w:vAnchor="text" w:y="12"/>
                    <w:widowControl w:val="0"/>
                    <w:ind w:left="102"/>
                    <w:jc w:val="left"/>
                    <w:rPr>
                      <w:rFonts w:eastAsia="Times New Roman" w:cs="Times New Roman"/>
                      <w:szCs w:val="24"/>
                      <w:lang w:eastAsia="lv-LV"/>
                    </w:rPr>
                  </w:pPr>
                  <w:bookmarkStart w:name="edoc_info" w:colFirst="0" w:colLast="0" w:id="6"/>
                  <w:r>
                    <w:rPr>
                      <w:rFonts w:eastAsia="Times New Roman" w:cs="Times New Roman"/>
                      <w:szCs w:val="24"/>
                      <w:lang w:eastAsia="lv-LV"/>
                    </w:rPr>
                    <w:t>D</w:t>
                  </w:r>
                  <w:r w:rsidRPr="000A4077">
                    <w:rPr>
                      <w:rFonts w:eastAsia="Times New Roman" w:cs="Times New Roman"/>
                      <w:szCs w:val="24"/>
                      <w:lang w:eastAsia="lv-LV"/>
                    </w:rPr>
                    <w:t>okuments ir parakstīts ar drošu elektronisko parakstu un satur laika</w:t>
                  </w:r>
                  <w:r>
                    <w:rPr>
                      <w:rFonts w:eastAsia="Times New Roman" w:cs="Times New Roman"/>
                      <w:szCs w:val="24"/>
                      <w:lang w:eastAsia="lv-LV"/>
                    </w:rPr>
                    <w:t xml:space="preserve"> </w:t>
                  </w:r>
                  <w:r w:rsidRPr="000A4077">
                    <w:rPr>
                      <w:rFonts w:eastAsia="Times New Roman" w:cs="Times New Roman"/>
                      <w:szCs w:val="24"/>
                      <w:lang w:eastAsia="lv-LV"/>
                    </w:rPr>
                    <w:t>zīmogu</w:t>
                  </w:r>
                  <w:r>
                    <w:rPr>
                      <w:rFonts w:eastAsia="Times New Roman" w:cs="Times New Roman"/>
                      <w:szCs w:val="24"/>
                      <w:lang w:eastAsia="lv-LV"/>
                    </w:rPr>
                    <w:t>.</w:t>
                  </w:r>
                </w:p>
              </w:tc>
            </w:tr>
          </w:tbl>
          <w:p w:rsidRPr="000A4077" w:rsidR="000A4077" w:rsidP="000A4077" w:rsidRDefault="000A4077" w14:paraId="73DAEE19" w14:textId="77777777">
            <w:pPr>
              <w:widowControl w:val="0"/>
              <w:spacing w:before="60" w:after="60" w:line="360" w:lineRule="auto"/>
              <w:rPr>
                <w:rFonts w:eastAsia="Times New Roman" w:cs="Times New Roman"/>
                <w:i/>
                <w:szCs w:val="20"/>
                <w:lang w:val="de-DE" w:eastAsia="lv-LV"/>
              </w:rPr>
            </w:pPr>
          </w:p>
        </w:tc>
      </w:tr>
      <w:bookmarkEnd w:id="6"/>
    </w:tbl>
    <w:p w:rsidRPr="000A4077" w:rsidR="000A4077" w:rsidP="000A4077" w:rsidRDefault="000A4077" w14:paraId="165E8C10" w14:textId="77777777">
      <w:pPr>
        <w:keepLines/>
        <w:widowControl w:val="0"/>
        <w:spacing w:before="120"/>
        <w:jc w:val="left"/>
        <w:rPr>
          <w:rFonts w:eastAsia="Times New Roman" w:cs="Times New Roman"/>
          <w:sz w:val="26"/>
          <w:szCs w:val="20"/>
        </w:rPr>
      </w:pPr>
    </w:p>
    <w:p w:rsidR="000A4077" w:rsidP="000A4077" w:rsidRDefault="000A4077" w14:paraId="3A8102DE" w14:textId="77777777">
      <w:pPr>
        <w:widowControl w:val="0"/>
        <w:autoSpaceDE w:val="0"/>
        <w:autoSpaceDN w:val="0"/>
        <w:adjustRightInd w:val="0"/>
        <w:jc w:val="left"/>
        <w:rPr>
          <w:rFonts w:eastAsia="Times New Roman" w:cs="Times New Roman"/>
          <w:iCs/>
          <w:szCs w:val="20"/>
        </w:rPr>
      </w:pPr>
    </w:p>
    <w:p w:rsidR="000A4077" w:rsidP="000A4077" w:rsidRDefault="000A4077" w14:paraId="7ED6E80E" w14:textId="77777777">
      <w:pPr>
        <w:widowControl w:val="0"/>
        <w:autoSpaceDE w:val="0"/>
        <w:autoSpaceDN w:val="0"/>
        <w:adjustRightInd w:val="0"/>
        <w:jc w:val="left"/>
        <w:rPr>
          <w:rFonts w:eastAsia="Times New Roman" w:cs="Times New Roman"/>
          <w:iCs/>
          <w:szCs w:val="20"/>
        </w:rPr>
      </w:pPr>
    </w:p>
    <w:p w:rsidRPr="001D744F" w:rsidR="000A4077" w:rsidP="000A4077" w:rsidRDefault="000A4077" w14:paraId="4430077F" w14:textId="0257D6C5">
      <w:pPr>
        <w:widowControl w:val="0"/>
        <w:autoSpaceDE w:val="0"/>
        <w:autoSpaceDN w:val="0"/>
        <w:adjustRightInd w:val="0"/>
        <w:jc w:val="left"/>
        <w:rPr>
          <w:rFonts w:eastAsia="Times New Roman" w:cs="Times New Roman"/>
          <w:b/>
          <w:bCs/>
          <w:iCs/>
          <w:szCs w:val="24"/>
        </w:rPr>
      </w:pPr>
      <w:bookmarkStart w:name="sagatavoja" w:id="7"/>
      <w:r>
        <w:rPr>
          <w:rFonts w:eastAsia="Times New Roman" w:cs="Times New Roman"/>
          <w:iCs/>
          <w:szCs w:val="24"/>
        </w:rPr>
        <w:t>Kazule 64229730,</w:t>
      </w:r>
      <w:r>
        <w:rPr>
          <w:rFonts w:eastAsia="Times New Roman" w:cs="Times New Roman"/>
          <w:iCs/>
          <w:szCs w:val="24"/>
        </w:rPr>
        <w:br/>
        <w:t>ilze.kazule@lvceli.lv</w:t>
      </w:r>
    </w:p>
    <w:bookmarkEnd w:id="0"/>
    <w:bookmarkEnd w:id="4"/>
    <w:bookmarkEnd w:id="7"/>
    <w:p w:rsidRPr="00FC62CB" w:rsidR="002214AB" w:rsidP="008C28C5" w:rsidRDefault="002214AB" w14:paraId="2953468E" w14:textId="77777777">
      <w:pPr>
        <w:pStyle w:val="Veidlapam"/>
      </w:pPr>
    </w:p>
    <w:p w:rsidR="00211DCE" w:rsidP="00FE6A34" w:rsidRDefault="00211DCE" w14:paraId="7AC66F34" w14:textId="00BC0A8D"/>
    <w:p w:rsidR="002214AB" w:rsidP="00211DCE" w:rsidRDefault="002214AB" w14:paraId="6CF7FD44" w14:textId="3A8E8231"/>
    <w:sectPr w:rsidR="002214AB" w:rsidSect="00991C7E">
      <w:headerReference w:type="default" r:id="rId7"/>
      <w:footerReference w:type="default" r:id="rId8"/>
      <w:headerReference w:type="first" r:id="rId9"/>
      <w:footerReference w:type="first" r:id="rId10"/>
      <w:pgSz w:w="11906" w:h="16838"/>
      <w:pgMar w:top="1134" w:right="851" w:bottom="1440"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831B6" w14:textId="77777777" w:rsidR="00EB7716" w:rsidRDefault="00EB7716" w:rsidP="00437C2F">
      <w:r>
        <w:separator/>
      </w:r>
    </w:p>
  </w:endnote>
  <w:endnote w:type="continuationSeparator" w:id="0">
    <w:p w14:paraId="7710002A" w14:textId="77777777" w:rsidR="00EB7716" w:rsidRDefault="00EB7716" w:rsidP="0043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altRim">
    <w:altName w:val="Times New Roman"/>
    <w:charset w:val="00"/>
    <w:family w:val="roman"/>
    <w:pitch w:val="variable"/>
    <w:sig w:usb0="00000287" w:usb1="00000000" w:usb2="00000000" w:usb3="00000000" w:csb0="0000009F" w:csb1="00000000"/>
  </w:font>
  <w:font w:name="Montserrat">
    <w:altName w:val="Montserrat"/>
    <w:panose1 w:val="00000500000000000000"/>
    <w:charset w:val="00"/>
    <w:family w:val="modern"/>
    <w:notTrueType/>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298615"/>
      <w:docPartObj>
        <w:docPartGallery w:val="Page Numbers (Bottom of Page)"/>
        <w:docPartUnique/>
      </w:docPartObj>
    </w:sdtPr>
    <w:sdtEndPr/>
    <w:sdtContent>
      <w:p w14:paraId="3773C406" w14:textId="357EA880" w:rsidR="00BC1E6B" w:rsidRDefault="00BC1E6B">
        <w:pPr>
          <w:pStyle w:val="Kjene"/>
          <w:jc w:val="right"/>
        </w:pPr>
        <w:r>
          <w:fldChar w:fldCharType="begin"/>
        </w:r>
        <w:r>
          <w:instrText>PAGE   \* MERGEFORMAT</w:instrText>
        </w:r>
        <w:r>
          <w:fldChar w:fldCharType="separate"/>
        </w:r>
        <w:r>
          <w:t>2</w:t>
        </w:r>
        <w:r>
          <w:fldChar w:fldCharType="end"/>
        </w:r>
      </w:p>
    </w:sdtContent>
  </w:sdt>
  <w:p w14:paraId="4B5F3917" w14:textId="77777777" w:rsidR="00BC1E6B" w:rsidRDefault="00BC1E6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1908" w14:textId="556EC9A7" w:rsidR="00BC1E6B" w:rsidRDefault="00BC1E6B">
    <w:pPr>
      <w:pStyle w:val="Kjene"/>
      <w:jc w:val="right"/>
    </w:pPr>
  </w:p>
  <w:p w14:paraId="4A25AF70" w14:textId="77777777" w:rsidR="00BC1E6B" w:rsidRDefault="00BC1E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01E77" w14:textId="77777777" w:rsidR="00EB7716" w:rsidRDefault="00EB7716" w:rsidP="00437C2F">
      <w:r>
        <w:separator/>
      </w:r>
    </w:p>
  </w:footnote>
  <w:footnote w:type="continuationSeparator" w:id="0">
    <w:p w14:paraId="40BEA748" w14:textId="77777777" w:rsidR="00EB7716" w:rsidRDefault="00EB7716" w:rsidP="00437C2F">
      <w:r>
        <w:continuationSeparator/>
      </w:r>
    </w:p>
  </w:footnote>
  <w:footnote w:id="1">
    <w:p w14:paraId="72C63D60" w14:textId="77777777" w:rsidR="00221B8D" w:rsidRPr="004640E1" w:rsidRDefault="00221B8D" w:rsidP="00221B8D">
      <w:pPr>
        <w:pStyle w:val="Vresteksts"/>
        <w:rPr>
          <w:sz w:val="18"/>
          <w:szCs w:val="18"/>
        </w:rPr>
      </w:pPr>
      <w:r w:rsidRPr="004640E1">
        <w:rPr>
          <w:rStyle w:val="Vresatsauce"/>
          <w:sz w:val="18"/>
          <w:szCs w:val="18"/>
        </w:rPr>
        <w:footnoteRef/>
      </w:r>
      <w:r w:rsidRPr="004640E1">
        <w:rPr>
          <w:sz w:val="18"/>
          <w:szCs w:val="18"/>
        </w:rPr>
        <w:t xml:space="preserve"> Pasūtītāja atbildēs lietotajiem apzīmējumiem ar lielo sākuma burtu piemīt tāda pati nozīme un saturs, kāds tiem piešķirts Iepirkuma </w:t>
      </w:r>
      <w:r>
        <w:rPr>
          <w:sz w:val="18"/>
          <w:szCs w:val="18"/>
        </w:rPr>
        <w:t>K</w:t>
      </w:r>
      <w:r w:rsidRPr="004640E1">
        <w:rPr>
          <w:sz w:val="18"/>
          <w:szCs w:val="18"/>
        </w:rPr>
        <w:t xml:space="preserve">valifikācijas </w:t>
      </w:r>
      <w:r>
        <w:rPr>
          <w:sz w:val="18"/>
          <w:szCs w:val="18"/>
        </w:rPr>
        <w:t>N</w:t>
      </w:r>
      <w:r w:rsidRPr="004640E1">
        <w:rPr>
          <w:sz w:val="18"/>
          <w:szCs w:val="18"/>
        </w:rPr>
        <w:t>olikumā</w:t>
      </w:r>
      <w:r>
        <w:rPr>
          <w:sz w:val="18"/>
          <w:szCs w:val="18"/>
        </w:rPr>
        <w:t xml:space="preserve"> (IKN)</w:t>
      </w:r>
      <w:r w:rsidRPr="004640E1">
        <w:rPr>
          <w:sz w:val="18"/>
          <w:szCs w:val="18"/>
        </w:rPr>
        <w:t>, izņemot, ja šajā atbildes vēstulē konkrēti norādīts citādi.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BEAE" w14:textId="0EC4B220" w:rsidR="00437C2F" w:rsidRDefault="00437C2F" w:rsidP="00CC3F7F">
    <w:pPr>
      <w:pStyle w:val="Galvene"/>
      <w:ind w:left="-1134" w:righ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526D" w14:textId="77DBB206" w:rsidR="00CC3F7F" w:rsidRDefault="00E55D3B" w:rsidP="00815A2F">
    <w:pPr>
      <w:pStyle w:val="Galvene"/>
      <w:ind w:left="-1134"/>
    </w:pPr>
    <w:r>
      <w:rPr>
        <w:noProof/>
      </w:rPr>
      <w:drawing>
        <wp:inline distT="0" distB="0" distL="0" distR="0" wp14:anchorId="7C788BFD" wp14:editId="52C8AE83">
          <wp:extent cx="7559675" cy="1475105"/>
          <wp:effectExtent l="0" t="0" r="3175" b="0"/>
          <wp:docPr id="9721941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751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2F"/>
    <w:rsid w:val="00016571"/>
    <w:rsid w:val="00026C96"/>
    <w:rsid w:val="00031D93"/>
    <w:rsid w:val="00047A33"/>
    <w:rsid w:val="0007000E"/>
    <w:rsid w:val="00086691"/>
    <w:rsid w:val="00095A94"/>
    <w:rsid w:val="000A4077"/>
    <w:rsid w:val="000A6AB9"/>
    <w:rsid w:val="000D537B"/>
    <w:rsid w:val="001051C7"/>
    <w:rsid w:val="001065FA"/>
    <w:rsid w:val="00124701"/>
    <w:rsid w:val="001468EE"/>
    <w:rsid w:val="001475CD"/>
    <w:rsid w:val="00150BB8"/>
    <w:rsid w:val="00161499"/>
    <w:rsid w:val="001822F4"/>
    <w:rsid w:val="00191755"/>
    <w:rsid w:val="001B5274"/>
    <w:rsid w:val="001D25F7"/>
    <w:rsid w:val="001D744F"/>
    <w:rsid w:val="001E15F7"/>
    <w:rsid w:val="001E790A"/>
    <w:rsid w:val="001F21F8"/>
    <w:rsid w:val="001F266D"/>
    <w:rsid w:val="00211DCE"/>
    <w:rsid w:val="002214AB"/>
    <w:rsid w:val="00221B8D"/>
    <w:rsid w:val="002331A0"/>
    <w:rsid w:val="002338A3"/>
    <w:rsid w:val="00244221"/>
    <w:rsid w:val="002E11E2"/>
    <w:rsid w:val="002E3DBC"/>
    <w:rsid w:val="00312E49"/>
    <w:rsid w:val="00374261"/>
    <w:rsid w:val="003A1C1B"/>
    <w:rsid w:val="003F5036"/>
    <w:rsid w:val="00431A24"/>
    <w:rsid w:val="00437C2F"/>
    <w:rsid w:val="004439F3"/>
    <w:rsid w:val="004D3969"/>
    <w:rsid w:val="004D54A9"/>
    <w:rsid w:val="00514BCD"/>
    <w:rsid w:val="005205A8"/>
    <w:rsid w:val="00520FA7"/>
    <w:rsid w:val="005451A0"/>
    <w:rsid w:val="00563786"/>
    <w:rsid w:val="00593BBD"/>
    <w:rsid w:val="005C1EA3"/>
    <w:rsid w:val="00614B77"/>
    <w:rsid w:val="0061723D"/>
    <w:rsid w:val="006264BA"/>
    <w:rsid w:val="0064618A"/>
    <w:rsid w:val="00651563"/>
    <w:rsid w:val="00671CE0"/>
    <w:rsid w:val="006761FF"/>
    <w:rsid w:val="006A34ED"/>
    <w:rsid w:val="006E058A"/>
    <w:rsid w:val="00711AA6"/>
    <w:rsid w:val="00742B86"/>
    <w:rsid w:val="007669DD"/>
    <w:rsid w:val="007D2F59"/>
    <w:rsid w:val="007D4528"/>
    <w:rsid w:val="007E2799"/>
    <w:rsid w:val="007F212D"/>
    <w:rsid w:val="007F22B5"/>
    <w:rsid w:val="00815A2F"/>
    <w:rsid w:val="008162AD"/>
    <w:rsid w:val="00821A5C"/>
    <w:rsid w:val="00857D41"/>
    <w:rsid w:val="00863A97"/>
    <w:rsid w:val="008721C8"/>
    <w:rsid w:val="00872E86"/>
    <w:rsid w:val="00884089"/>
    <w:rsid w:val="00887574"/>
    <w:rsid w:val="00897E31"/>
    <w:rsid w:val="008C28C5"/>
    <w:rsid w:val="008C7C38"/>
    <w:rsid w:val="008D240A"/>
    <w:rsid w:val="00920C5F"/>
    <w:rsid w:val="00980435"/>
    <w:rsid w:val="00983E99"/>
    <w:rsid w:val="00991C7E"/>
    <w:rsid w:val="009D74F0"/>
    <w:rsid w:val="009F0FA8"/>
    <w:rsid w:val="009F169E"/>
    <w:rsid w:val="00A1598E"/>
    <w:rsid w:val="00A455B1"/>
    <w:rsid w:val="00A53603"/>
    <w:rsid w:val="00A56411"/>
    <w:rsid w:val="00A9360A"/>
    <w:rsid w:val="00AA1D4B"/>
    <w:rsid w:val="00AB00A4"/>
    <w:rsid w:val="00AD6BDE"/>
    <w:rsid w:val="00B03901"/>
    <w:rsid w:val="00B52191"/>
    <w:rsid w:val="00B52935"/>
    <w:rsid w:val="00B74F40"/>
    <w:rsid w:val="00B752E3"/>
    <w:rsid w:val="00B77B35"/>
    <w:rsid w:val="00B84247"/>
    <w:rsid w:val="00B92989"/>
    <w:rsid w:val="00BA29A4"/>
    <w:rsid w:val="00BB0A98"/>
    <w:rsid w:val="00BB43FC"/>
    <w:rsid w:val="00BC1E6B"/>
    <w:rsid w:val="00BF2254"/>
    <w:rsid w:val="00C1243D"/>
    <w:rsid w:val="00C61314"/>
    <w:rsid w:val="00C67520"/>
    <w:rsid w:val="00C808BF"/>
    <w:rsid w:val="00C860B6"/>
    <w:rsid w:val="00CA6ADE"/>
    <w:rsid w:val="00CC3F7F"/>
    <w:rsid w:val="00CD40C5"/>
    <w:rsid w:val="00CD5037"/>
    <w:rsid w:val="00D27145"/>
    <w:rsid w:val="00D445A2"/>
    <w:rsid w:val="00D570AB"/>
    <w:rsid w:val="00D6295E"/>
    <w:rsid w:val="00D76333"/>
    <w:rsid w:val="00DD4E6F"/>
    <w:rsid w:val="00DE13FB"/>
    <w:rsid w:val="00E12A29"/>
    <w:rsid w:val="00E26079"/>
    <w:rsid w:val="00E344D6"/>
    <w:rsid w:val="00E3516F"/>
    <w:rsid w:val="00E359F5"/>
    <w:rsid w:val="00E40EE9"/>
    <w:rsid w:val="00E55D3B"/>
    <w:rsid w:val="00E62B1C"/>
    <w:rsid w:val="00E90182"/>
    <w:rsid w:val="00EB7716"/>
    <w:rsid w:val="00EC2A1B"/>
    <w:rsid w:val="00F17096"/>
    <w:rsid w:val="00F27EB8"/>
    <w:rsid w:val="00F3428C"/>
    <w:rsid w:val="00F57F85"/>
    <w:rsid w:val="00F6127E"/>
    <w:rsid w:val="00F82864"/>
    <w:rsid w:val="00FD5BA4"/>
    <w:rsid w:val="00FD682F"/>
    <w:rsid w:val="00FE6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D0908"/>
  <w15:chartTrackingRefBased/>
  <w15:docId w15:val="{1910BC6F-17F8-4407-B598-72FC19A3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14AB"/>
  </w:style>
  <w:style w:type="paragraph" w:styleId="Virsraksts1">
    <w:name w:val="heading 1"/>
    <w:basedOn w:val="Parasts"/>
    <w:next w:val="Parasts"/>
    <w:link w:val="Virsraksts1Rakstz"/>
    <w:qFormat/>
    <w:rsid w:val="009F0FA8"/>
    <w:pPr>
      <w:keepNext/>
      <w:ind w:right="4156" w:firstLine="567"/>
      <w:jc w:val="left"/>
      <w:outlineLvl w:val="0"/>
    </w:pPr>
    <w:rPr>
      <w:rFonts w:ascii="Times New Roman BaltRim" w:eastAsia="Times New Roman" w:hAnsi="Times New Roman BaltRim" w:cs="Times New Roman"/>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37C2F"/>
    <w:pPr>
      <w:tabs>
        <w:tab w:val="center" w:pos="4513"/>
        <w:tab w:val="right" w:pos="9026"/>
      </w:tabs>
    </w:pPr>
  </w:style>
  <w:style w:type="character" w:customStyle="1" w:styleId="GalveneRakstz">
    <w:name w:val="Galvene Rakstz."/>
    <w:basedOn w:val="Noklusjumarindkopasfonts"/>
    <w:link w:val="Galvene"/>
    <w:uiPriority w:val="99"/>
    <w:rsid w:val="00437C2F"/>
  </w:style>
  <w:style w:type="paragraph" w:styleId="Kjene">
    <w:name w:val="footer"/>
    <w:basedOn w:val="Parasts"/>
    <w:link w:val="KjeneRakstz"/>
    <w:uiPriority w:val="99"/>
    <w:unhideWhenUsed/>
    <w:rsid w:val="00437C2F"/>
    <w:pPr>
      <w:tabs>
        <w:tab w:val="center" w:pos="4513"/>
        <w:tab w:val="right" w:pos="9026"/>
      </w:tabs>
    </w:pPr>
  </w:style>
  <w:style w:type="character" w:customStyle="1" w:styleId="KjeneRakstz">
    <w:name w:val="Kājene Rakstz."/>
    <w:basedOn w:val="Noklusjumarindkopasfonts"/>
    <w:link w:val="Kjene"/>
    <w:uiPriority w:val="99"/>
    <w:rsid w:val="00437C2F"/>
  </w:style>
  <w:style w:type="table" w:styleId="Reatabula">
    <w:name w:val="Table Grid"/>
    <w:basedOn w:val="Parastatabula"/>
    <w:uiPriority w:val="59"/>
    <w:rsid w:val="00437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37C2F"/>
    <w:rPr>
      <w:color w:val="0563C1" w:themeColor="hyperlink"/>
      <w:u w:val="single"/>
    </w:rPr>
  </w:style>
  <w:style w:type="character" w:styleId="Neatrisintapieminana">
    <w:name w:val="Unresolved Mention"/>
    <w:basedOn w:val="Noklusjumarindkopasfonts"/>
    <w:uiPriority w:val="99"/>
    <w:semiHidden/>
    <w:unhideWhenUsed/>
    <w:rsid w:val="00437C2F"/>
    <w:rPr>
      <w:color w:val="605E5C"/>
      <w:shd w:val="clear" w:color="auto" w:fill="E1DFDD"/>
    </w:rPr>
  </w:style>
  <w:style w:type="paragraph" w:styleId="Atpakaadreseuzaploksnes">
    <w:name w:val="envelope return"/>
    <w:basedOn w:val="Parasts"/>
    <w:rsid w:val="002214AB"/>
    <w:pPr>
      <w:keepLines/>
      <w:widowControl w:val="0"/>
      <w:spacing w:before="600"/>
    </w:pPr>
    <w:rPr>
      <w:rFonts w:eastAsia="Times New Roman" w:cs="Times New Roman"/>
      <w:i/>
      <w:sz w:val="26"/>
      <w:szCs w:val="20"/>
      <w:lang w:val="en-AU"/>
    </w:rPr>
  </w:style>
  <w:style w:type="paragraph" w:styleId="Pamattekstsaratkpi">
    <w:name w:val="Body Text Indent"/>
    <w:basedOn w:val="Parasts"/>
    <w:link w:val="PamattekstsaratkpiRakstz"/>
    <w:rsid w:val="002214AB"/>
    <w:pPr>
      <w:widowControl w:val="0"/>
      <w:spacing w:before="60" w:after="60" w:line="360" w:lineRule="auto"/>
    </w:pPr>
    <w:rPr>
      <w:rFonts w:eastAsia="Times New Roman" w:cs="Times New Roman"/>
      <w:i/>
      <w:szCs w:val="20"/>
      <w:lang w:eastAsia="lv-LV"/>
    </w:rPr>
  </w:style>
  <w:style w:type="character" w:customStyle="1" w:styleId="PamattekstsaratkpiRakstz">
    <w:name w:val="Pamatteksts ar atkāpi Rakstz."/>
    <w:basedOn w:val="Noklusjumarindkopasfonts"/>
    <w:link w:val="Pamattekstsaratkpi"/>
    <w:rsid w:val="002214AB"/>
    <w:rPr>
      <w:rFonts w:ascii="Times New Roman" w:eastAsia="Times New Roman" w:hAnsi="Times New Roman" w:cs="Times New Roman"/>
      <w:i/>
      <w:sz w:val="24"/>
      <w:szCs w:val="20"/>
      <w:lang w:eastAsia="lv-LV"/>
    </w:rPr>
  </w:style>
  <w:style w:type="paragraph" w:styleId="Bezatstarpm">
    <w:name w:val="No Spacing"/>
    <w:uiPriority w:val="1"/>
    <w:qFormat/>
    <w:rsid w:val="002214AB"/>
    <w:rPr>
      <w:rFonts w:ascii="Montserrat" w:hAnsi="Montserrat"/>
    </w:rPr>
  </w:style>
  <w:style w:type="paragraph" w:customStyle="1" w:styleId="Veidlapam">
    <w:name w:val="Veidlapam"/>
    <w:basedOn w:val="Parasts"/>
    <w:qFormat/>
    <w:rsid w:val="00651563"/>
  </w:style>
  <w:style w:type="table" w:customStyle="1" w:styleId="Reatabula1">
    <w:name w:val="Režģa tabula1"/>
    <w:basedOn w:val="Parastatabula"/>
    <w:next w:val="Reatabula"/>
    <w:uiPriority w:val="59"/>
    <w:rsid w:val="000A4077"/>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9F0FA8"/>
    <w:rPr>
      <w:rFonts w:ascii="Times New Roman BaltRim" w:eastAsia="Times New Roman" w:hAnsi="Times New Roman BaltRim" w:cs="Times New Roman"/>
      <w:szCs w:val="20"/>
      <w:lang w:eastAsia="lv-LV"/>
    </w:rPr>
  </w:style>
  <w:style w:type="paragraph" w:styleId="Balonteksts">
    <w:name w:val="Balloon Text"/>
    <w:basedOn w:val="Parasts"/>
    <w:link w:val="BalontekstsRakstz"/>
    <w:uiPriority w:val="99"/>
    <w:semiHidden/>
    <w:unhideWhenUsed/>
    <w:rsid w:val="00815A2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15A2F"/>
    <w:rPr>
      <w:rFonts w:ascii="Segoe UI" w:hAnsi="Segoe UI" w:cs="Segoe UI"/>
      <w:sz w:val="18"/>
      <w:szCs w:val="18"/>
    </w:rPr>
  </w:style>
  <w:style w:type="paragraph" w:styleId="Vresteksts">
    <w:name w:val="footnote text"/>
    <w:basedOn w:val="Parasts"/>
    <w:link w:val="VrestekstsRakstz"/>
    <w:uiPriority w:val="99"/>
    <w:unhideWhenUsed/>
    <w:rsid w:val="00221B8D"/>
    <w:pPr>
      <w:jc w:val="left"/>
    </w:pPr>
    <w:rPr>
      <w:rFonts w:eastAsia="Calibri" w:cs="Times New Roman"/>
      <w:sz w:val="20"/>
      <w:szCs w:val="20"/>
    </w:rPr>
  </w:style>
  <w:style w:type="character" w:customStyle="1" w:styleId="VrestekstsRakstz">
    <w:name w:val="Vēres teksts Rakstz."/>
    <w:basedOn w:val="Noklusjumarindkopasfonts"/>
    <w:link w:val="Vresteksts"/>
    <w:uiPriority w:val="99"/>
    <w:rsid w:val="00221B8D"/>
    <w:rPr>
      <w:rFonts w:eastAsia="Calibri" w:cs="Times New Roman"/>
      <w:sz w:val="20"/>
      <w:szCs w:val="20"/>
    </w:rPr>
  </w:style>
  <w:style w:type="character" w:styleId="Vresatsauce">
    <w:name w:val="footnote reference"/>
    <w:uiPriority w:val="99"/>
    <w:unhideWhenUsed/>
    <w:rsid w:val="00221B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5024">
      <w:bodyDiv w:val="1"/>
      <w:marLeft w:val="0"/>
      <w:marRight w:val="0"/>
      <w:marTop w:val="0"/>
      <w:marBottom w:val="0"/>
      <w:divBdr>
        <w:top w:val="none" w:sz="0" w:space="0" w:color="auto"/>
        <w:left w:val="none" w:sz="0" w:space="0" w:color="auto"/>
        <w:bottom w:val="none" w:sz="0" w:space="0" w:color="auto"/>
        <w:right w:val="none" w:sz="0" w:space="0" w:color="auto"/>
      </w:divBdr>
    </w:div>
    <w:div w:id="196230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86150-FFD2-4778-8AA2-5EBA4125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408</Words>
  <Characters>2327</Characters>
  <Application>Microsoft Office Word</Application>
  <DocSecurity>0</DocSecurity>
  <Lines>19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LVC</dc:creator>
  <cp:keywords/>
  <dc:description/>
  <cp:lastModifiedBy>Ilze Kazule</cp:lastModifiedBy>
  <cp:revision>10</cp:revision>
  <dcterms:created xsi:type="dcterms:W3CDTF">2021-03-12T09:23:00Z</dcterms:created>
  <dcterms:modified xsi:type="dcterms:W3CDTF">2026-07-08T07:20:00Z</dcterms:modified>
  <cp:contentStatus>Pēdējais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