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9638" w14:textId="77777777" w:rsidR="000F02E3" w:rsidRPr="000F02E3" w:rsidRDefault="000F02E3" w:rsidP="000F02E3">
      <w:pPr>
        <w:spacing w:after="0" w:line="240" w:lineRule="auto"/>
        <w:ind w:left="357"/>
        <w:jc w:val="right"/>
        <w:rPr>
          <w:rFonts w:ascii="Times New Roman" w:hAnsi="Times New Roman" w:cs="Times New Roman"/>
          <w:lang w:val="en-GB"/>
        </w:rPr>
      </w:pPr>
      <w:r w:rsidRPr="000F02E3">
        <w:rPr>
          <w:rFonts w:ascii="Times New Roman" w:hAnsi="Times New Roman" w:cs="Times New Roman"/>
          <w:lang w:val="en-GB"/>
        </w:rPr>
        <w:t>Annex 1</w:t>
      </w:r>
    </w:p>
    <w:p w14:paraId="2AF2B07F" w14:textId="77777777" w:rsidR="000F02E3" w:rsidRPr="000F02E3" w:rsidRDefault="000F02E3" w:rsidP="000F02E3">
      <w:pPr>
        <w:spacing w:after="0" w:line="240" w:lineRule="auto"/>
        <w:ind w:left="357"/>
        <w:jc w:val="right"/>
        <w:rPr>
          <w:rFonts w:ascii="Times New Roman" w:hAnsi="Times New Roman" w:cs="Times New Roman"/>
          <w:lang w:val="en-GB"/>
        </w:rPr>
      </w:pPr>
      <w:r w:rsidRPr="000F02E3">
        <w:rPr>
          <w:rFonts w:ascii="Times New Roman" w:hAnsi="Times New Roman" w:cs="Times New Roman"/>
          <w:lang w:val="en-GB"/>
        </w:rPr>
        <w:t>2 July 2026</w:t>
      </w:r>
    </w:p>
    <w:p w14:paraId="54AF4420" w14:textId="3B69BCEC" w:rsidR="000F02E3" w:rsidRPr="000F02E3" w:rsidRDefault="000F02E3" w:rsidP="000F02E3">
      <w:pPr>
        <w:spacing w:after="0" w:line="240" w:lineRule="auto"/>
        <w:ind w:left="357"/>
        <w:jc w:val="right"/>
        <w:rPr>
          <w:rFonts w:ascii="Times New Roman" w:hAnsi="Times New Roman" w:cs="Times New Roman"/>
          <w:lang w:val="en-GB"/>
        </w:rPr>
      </w:pPr>
      <w:r w:rsidRPr="000F02E3">
        <w:rPr>
          <w:rFonts w:ascii="Times New Roman" w:hAnsi="Times New Roman" w:cs="Times New Roman"/>
          <w:lang w:val="en-GB"/>
        </w:rPr>
        <w:t>Minutes No. 3 of the Procurement Commission Meeting</w:t>
      </w:r>
    </w:p>
    <w:p w14:paraId="1C2BC0E4" w14:textId="77777777" w:rsidR="000F02E3" w:rsidRDefault="000F02E3" w:rsidP="000F02E3">
      <w:pPr>
        <w:ind w:left="360"/>
        <w:jc w:val="right"/>
        <w:rPr>
          <w:rFonts w:ascii="Times New Roman" w:hAnsi="Times New Roman" w:cs="Times New Roman"/>
          <w:b/>
          <w:bCs/>
          <w:lang w:val="en-GB"/>
        </w:rPr>
      </w:pPr>
    </w:p>
    <w:p w14:paraId="3331999C" w14:textId="0B1566D1" w:rsidR="00AC4349" w:rsidRPr="000F02E3" w:rsidRDefault="00AC4349" w:rsidP="000F02E3">
      <w:pPr>
        <w:pStyle w:val="ListParagraph"/>
        <w:numPr>
          <w:ilvl w:val="0"/>
          <w:numId w:val="19"/>
        </w:numPr>
        <w:rPr>
          <w:rFonts w:ascii="Times New Roman" w:hAnsi="Times New Roman" w:cs="Times New Roman"/>
          <w:b/>
          <w:bCs/>
          <w:lang w:val="en-GB"/>
        </w:rPr>
      </w:pPr>
      <w:r w:rsidRPr="000F02E3">
        <w:rPr>
          <w:rFonts w:ascii="Times New Roman" w:hAnsi="Times New Roman" w:cs="Times New Roman"/>
          <w:b/>
          <w:bCs/>
          <w:lang w:val="en-GB"/>
        </w:rPr>
        <w:t>Could the Contracting Authority clarify what is meant by an “incident” in the technical specification? </w:t>
      </w:r>
    </w:p>
    <w:p w14:paraId="3DCF3C11" w14:textId="77777777" w:rsidR="00364888" w:rsidRPr="00066263" w:rsidRDefault="00364888" w:rsidP="00364888">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066263">
        <w:rPr>
          <w:rFonts w:ascii="Times New Roman" w:eastAsia="Times New Roman" w:hAnsi="Times New Roman" w:cs="Times New Roman"/>
          <w:b/>
          <w:bCs/>
          <w:kern w:val="0"/>
          <w:lang w:val="en-GB" w:eastAsia="en-GB"/>
          <w14:ligatures w14:val="none"/>
        </w:rPr>
        <w:t>Answer:</w:t>
      </w:r>
      <w:r w:rsidRPr="00066263">
        <w:rPr>
          <w:rFonts w:ascii="Times New Roman" w:eastAsia="Times New Roman" w:hAnsi="Times New Roman" w:cs="Times New Roman"/>
          <w:kern w:val="0"/>
          <w:lang w:val="en-GB" w:eastAsia="en-GB"/>
          <w14:ligatures w14:val="none"/>
        </w:rPr>
        <w:t xml:space="preserve"> The Procurement Commission provides the following clarification:</w:t>
      </w:r>
    </w:p>
    <w:p w14:paraId="5240237A" w14:textId="77777777" w:rsidR="00364888" w:rsidRPr="00066263" w:rsidRDefault="00364888" w:rsidP="00364888">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066263">
        <w:rPr>
          <w:rFonts w:ascii="Times New Roman" w:eastAsia="Times New Roman" w:hAnsi="Times New Roman" w:cs="Times New Roman"/>
          <w:kern w:val="0"/>
          <w:lang w:val="en-GB" w:eastAsia="en-GB"/>
          <w14:ligatures w14:val="none"/>
        </w:rPr>
        <w:t xml:space="preserve">For the purposes of the Technical Specification, the term </w:t>
      </w:r>
      <w:r w:rsidRPr="00066263">
        <w:rPr>
          <w:rFonts w:ascii="Times New Roman" w:eastAsia="Times New Roman" w:hAnsi="Times New Roman" w:cs="Times New Roman"/>
          <w:b/>
          <w:bCs/>
          <w:kern w:val="0"/>
          <w:lang w:val="en-GB" w:eastAsia="en-GB"/>
          <w14:ligatures w14:val="none"/>
        </w:rPr>
        <w:t>"incident"</w:t>
      </w:r>
      <w:r w:rsidRPr="00066263">
        <w:rPr>
          <w:rFonts w:ascii="Times New Roman" w:eastAsia="Times New Roman" w:hAnsi="Times New Roman" w:cs="Times New Roman"/>
          <w:kern w:val="0"/>
          <w:lang w:val="en-GB" w:eastAsia="en-GB"/>
          <w14:ligatures w14:val="none"/>
        </w:rPr>
        <w:t xml:space="preserve"> refers to a specific occurrence identified in the information space that is associated with potential disinformation, coordinated inauthentic activity, or a strategic communication risk, and in respect of which the solution, based on the analysis performed, has determined that it requires the Contracting Authority's attention or further analytical assessment.</w:t>
      </w:r>
    </w:p>
    <w:p w14:paraId="019DEE38" w14:textId="77777777" w:rsidR="00364888" w:rsidRPr="00066263" w:rsidRDefault="00364888" w:rsidP="00364888">
      <w:pPr>
        <w:spacing w:after="0" w:line="240" w:lineRule="auto"/>
        <w:jc w:val="both"/>
        <w:rPr>
          <w:rFonts w:ascii="Times New Roman" w:eastAsia="Times New Roman" w:hAnsi="Times New Roman" w:cs="Times New Roman"/>
          <w:kern w:val="0"/>
          <w:lang w:val="en-GB" w:eastAsia="en-GB"/>
          <w14:ligatures w14:val="none"/>
        </w:rPr>
      </w:pPr>
      <w:r w:rsidRPr="00066263">
        <w:rPr>
          <w:rFonts w:ascii="Times New Roman" w:eastAsia="Times New Roman" w:hAnsi="Times New Roman" w:cs="Times New Roman"/>
          <w:kern w:val="0"/>
          <w:lang w:val="en-GB" w:eastAsia="en-GB"/>
          <w14:ligatures w14:val="none"/>
        </w:rPr>
        <w:t>An incident may manifest itself, for example, as:</w:t>
      </w:r>
    </w:p>
    <w:p w14:paraId="22C8873A" w14:textId="77777777" w:rsidR="00364888" w:rsidRPr="00066263" w:rsidRDefault="00364888" w:rsidP="00364888">
      <w:pPr>
        <w:pStyle w:val="ListParagraph"/>
        <w:numPr>
          <w:ilvl w:val="0"/>
          <w:numId w:val="15"/>
        </w:numPr>
        <w:spacing w:after="0" w:line="240" w:lineRule="auto"/>
        <w:jc w:val="both"/>
        <w:rPr>
          <w:rFonts w:ascii="Times New Roman" w:eastAsia="Times New Roman" w:hAnsi="Times New Roman" w:cs="Times New Roman"/>
          <w:kern w:val="0"/>
          <w:lang w:val="en-GB" w:eastAsia="en-GB"/>
          <w14:ligatures w14:val="none"/>
        </w:rPr>
      </w:pPr>
      <w:r w:rsidRPr="00066263">
        <w:rPr>
          <w:rFonts w:ascii="Times New Roman" w:eastAsia="Times New Roman" w:hAnsi="Times New Roman" w:cs="Times New Roman"/>
          <w:kern w:val="0"/>
          <w:lang w:val="en-GB" w:eastAsia="en-GB"/>
          <w14:ligatures w14:val="none"/>
        </w:rPr>
        <w:t>an identified narrative or a set of interrelated narratives exhibiting signs of disinformation;</w:t>
      </w:r>
    </w:p>
    <w:p w14:paraId="01F88E59" w14:textId="77777777" w:rsidR="00364888" w:rsidRPr="00066263" w:rsidRDefault="00364888" w:rsidP="00364888">
      <w:pPr>
        <w:pStyle w:val="ListParagraph"/>
        <w:numPr>
          <w:ilvl w:val="0"/>
          <w:numId w:val="15"/>
        </w:numPr>
        <w:spacing w:after="0" w:line="240" w:lineRule="auto"/>
        <w:jc w:val="both"/>
        <w:rPr>
          <w:rFonts w:ascii="Times New Roman" w:eastAsia="Times New Roman" w:hAnsi="Times New Roman" w:cs="Times New Roman"/>
          <w:kern w:val="0"/>
          <w:lang w:val="en-GB" w:eastAsia="en-GB"/>
          <w14:ligatures w14:val="none"/>
        </w:rPr>
      </w:pPr>
      <w:r w:rsidRPr="00066263">
        <w:rPr>
          <w:rFonts w:ascii="Times New Roman" w:eastAsia="Times New Roman" w:hAnsi="Times New Roman" w:cs="Times New Roman"/>
          <w:kern w:val="0"/>
          <w:lang w:val="en-GB" w:eastAsia="en-GB"/>
          <w14:ligatures w14:val="none"/>
        </w:rPr>
        <w:t>a disinformation campaign or a specific phase thereof;</w:t>
      </w:r>
    </w:p>
    <w:p w14:paraId="5EC2CEFE" w14:textId="7C0D51EC" w:rsidR="00364888" w:rsidRPr="00066263" w:rsidRDefault="00364888" w:rsidP="00364888">
      <w:pPr>
        <w:pStyle w:val="ListParagraph"/>
        <w:numPr>
          <w:ilvl w:val="0"/>
          <w:numId w:val="15"/>
        </w:numPr>
        <w:spacing w:after="0" w:line="240" w:lineRule="auto"/>
        <w:jc w:val="both"/>
        <w:rPr>
          <w:rFonts w:ascii="Times New Roman" w:eastAsia="Times New Roman" w:hAnsi="Times New Roman" w:cs="Times New Roman"/>
          <w:kern w:val="0"/>
          <w:lang w:val="en-GB" w:eastAsia="en-GB"/>
          <w14:ligatures w14:val="none"/>
        </w:rPr>
      </w:pPr>
      <w:r w:rsidRPr="00066263">
        <w:rPr>
          <w:rFonts w:ascii="Times New Roman" w:eastAsia="Times New Roman" w:hAnsi="Times New Roman" w:cs="Times New Roman"/>
          <w:kern w:val="0"/>
          <w:lang w:val="en-GB" w:eastAsia="en-GB"/>
          <w14:ligatures w14:val="none"/>
        </w:rPr>
        <w:t>an unusual increase in activity indicating a possible coordinated influence operation.</w:t>
      </w:r>
    </w:p>
    <w:p w14:paraId="509EEFDE" w14:textId="77777777" w:rsidR="00364888" w:rsidRPr="00364888" w:rsidRDefault="00364888" w:rsidP="00364888">
      <w:pPr>
        <w:pStyle w:val="ListParagraph"/>
        <w:spacing w:after="0" w:line="240" w:lineRule="auto"/>
        <w:ind w:left="1440"/>
        <w:rPr>
          <w:rFonts w:ascii="Times New Roman" w:eastAsia="Times New Roman" w:hAnsi="Times New Roman" w:cs="Times New Roman"/>
          <w:kern w:val="0"/>
          <w:lang w:val="en-GB" w:eastAsia="en-GB"/>
          <w14:ligatures w14:val="none"/>
        </w:rPr>
      </w:pPr>
    </w:p>
    <w:p w14:paraId="2B207B17" w14:textId="3D71BE2D" w:rsidR="00AC4349" w:rsidRPr="00066263" w:rsidRDefault="00AC4349" w:rsidP="00066263">
      <w:pPr>
        <w:pStyle w:val="ListParagraph"/>
        <w:numPr>
          <w:ilvl w:val="0"/>
          <w:numId w:val="13"/>
        </w:numPr>
        <w:jc w:val="both"/>
        <w:rPr>
          <w:rFonts w:ascii="Times New Roman" w:hAnsi="Times New Roman" w:cs="Times New Roman"/>
          <w:b/>
          <w:bCs/>
          <w:lang w:val="en-GB"/>
        </w:rPr>
      </w:pPr>
      <w:r w:rsidRPr="00066263">
        <w:rPr>
          <w:rFonts w:ascii="Times New Roman" w:hAnsi="Times New Roman" w:cs="Times New Roman"/>
          <w:b/>
          <w:bCs/>
          <w:lang w:val="en-GB"/>
        </w:rPr>
        <w:t>Could the Contracting Authority provide an example of an incident record or incident report that would be considered compliant, including the expected level of detail for the summary, source links, actors involved, tactics, prevalence rates and assessment of possible origin?</w:t>
      </w:r>
    </w:p>
    <w:p w14:paraId="0A963F6D" w14:textId="77777777" w:rsidR="00066263" w:rsidRPr="00066263" w:rsidRDefault="00066263" w:rsidP="00066263">
      <w:pPr>
        <w:pStyle w:val="isselectedend"/>
        <w:ind w:left="142"/>
        <w:jc w:val="both"/>
      </w:pPr>
      <w:r w:rsidRPr="00066263">
        <w:rPr>
          <w:rStyle w:val="Strong"/>
        </w:rPr>
        <w:t>Answer:</w:t>
      </w:r>
      <w:r w:rsidRPr="00066263">
        <w:t xml:space="preserve"> The Procurement Commission provides the following clarification:</w:t>
      </w:r>
    </w:p>
    <w:p w14:paraId="410BF763" w14:textId="77777777" w:rsidR="00066263" w:rsidRPr="00066263" w:rsidRDefault="00066263" w:rsidP="00066263">
      <w:pPr>
        <w:pStyle w:val="NormalWeb"/>
        <w:ind w:left="142"/>
        <w:jc w:val="both"/>
      </w:pPr>
      <w:r w:rsidRPr="00066263">
        <w:t>The Contracting Authority does not have a sample incident report available. Section 1.12 of the Technical Specification sets out the requirements regarding the information to be included in an incident report.</w:t>
      </w:r>
    </w:p>
    <w:p w14:paraId="6F79B3E8" w14:textId="2E3D171E" w:rsidR="00AC4349" w:rsidRPr="00066263" w:rsidRDefault="00AC4349" w:rsidP="00364888">
      <w:pPr>
        <w:pStyle w:val="ListParagraph"/>
        <w:numPr>
          <w:ilvl w:val="0"/>
          <w:numId w:val="13"/>
        </w:numPr>
        <w:rPr>
          <w:rFonts w:ascii="Times New Roman" w:hAnsi="Times New Roman" w:cs="Times New Roman"/>
          <w:b/>
          <w:bCs/>
          <w:lang w:val="en-GB"/>
        </w:rPr>
      </w:pPr>
      <w:r w:rsidRPr="00066263">
        <w:rPr>
          <w:rFonts w:ascii="Times New Roman" w:hAnsi="Times New Roman" w:cs="Times New Roman"/>
          <w:b/>
          <w:bCs/>
          <w:lang w:val="en-GB"/>
        </w:rPr>
        <w:t>Could the Contracting Authority clarify how it defines “disinformation” for the purposes of this procurement?</w:t>
      </w:r>
    </w:p>
    <w:p w14:paraId="0CF04838" w14:textId="77777777" w:rsidR="00066263" w:rsidRPr="00066263" w:rsidRDefault="00066263" w:rsidP="00066263">
      <w:pPr>
        <w:pStyle w:val="isselectedend"/>
        <w:jc w:val="both"/>
      </w:pPr>
      <w:r w:rsidRPr="00066263">
        <w:rPr>
          <w:rStyle w:val="Strong"/>
        </w:rPr>
        <w:t>Answer:</w:t>
      </w:r>
      <w:r w:rsidRPr="00066263">
        <w:t xml:space="preserve"> In response to the question, the Procurement Commission provides the following clarification:</w:t>
      </w:r>
    </w:p>
    <w:p w14:paraId="06876070" w14:textId="61FEB376" w:rsidR="00066263" w:rsidRDefault="00066263" w:rsidP="001D5402">
      <w:pPr>
        <w:pStyle w:val="NormalWeb"/>
        <w:jc w:val="both"/>
      </w:pPr>
      <w:r w:rsidRPr="00066263">
        <w:t xml:space="preserve">For the purposes of this procurement, the term </w:t>
      </w:r>
      <w:r w:rsidRPr="00066263">
        <w:rPr>
          <w:rStyle w:val="Strong"/>
        </w:rPr>
        <w:t>"disinformation"</w:t>
      </w:r>
      <w:r w:rsidRPr="00066263">
        <w:t xml:space="preserve"> refers to false, misleading, or manipulatively presented information that is created, disseminated, or amplified with the intention of deceiving the public, influencing public opinion, or causing harm, and which is often </w:t>
      </w:r>
      <w:proofErr w:type="spellStart"/>
      <w:r w:rsidRPr="00066263">
        <w:t>dsseminated</w:t>
      </w:r>
      <w:proofErr w:type="spellEnd"/>
      <w:r w:rsidRPr="00066263">
        <w:t xml:space="preserve"> in a coordinated manner.</w:t>
      </w:r>
    </w:p>
    <w:p w14:paraId="5C5BCF42" w14:textId="41482111" w:rsidR="00AC4349" w:rsidRPr="001D5402" w:rsidRDefault="00AC4349" w:rsidP="001D5402">
      <w:pPr>
        <w:pStyle w:val="ListParagraph"/>
        <w:numPr>
          <w:ilvl w:val="0"/>
          <w:numId w:val="13"/>
        </w:numPr>
        <w:spacing w:after="0" w:line="240" w:lineRule="auto"/>
        <w:ind w:left="714" w:hanging="357"/>
        <w:jc w:val="both"/>
        <w:rPr>
          <w:rFonts w:ascii="Times New Roman" w:hAnsi="Times New Roman" w:cs="Times New Roman"/>
          <w:b/>
          <w:bCs/>
          <w:lang w:val="en-GB"/>
        </w:rPr>
      </w:pPr>
      <w:r w:rsidRPr="001D5402">
        <w:rPr>
          <w:rFonts w:ascii="Times New Roman" w:hAnsi="Times New Roman" w:cs="Times New Roman"/>
          <w:b/>
          <w:bCs/>
          <w:lang w:val="en-GB"/>
        </w:rPr>
        <w:t xml:space="preserve">Is the Supplier expected to prove intent to deceive when identifying disinformation, or is it sufficient to identify indicators of possible disinformation, such as misleading claims, known narratives, coordinated amplification, </w:t>
      </w:r>
      <w:r w:rsidRPr="001D5402">
        <w:rPr>
          <w:rFonts w:ascii="Times New Roman" w:hAnsi="Times New Roman" w:cs="Times New Roman"/>
          <w:b/>
          <w:bCs/>
          <w:lang w:val="en-GB"/>
        </w:rPr>
        <w:lastRenderedPageBreak/>
        <w:t>suspicious propagation patterns, or links to previously identified disinformation sources?</w:t>
      </w:r>
    </w:p>
    <w:p w14:paraId="19A7FC5F" w14:textId="77777777" w:rsidR="001D5402" w:rsidRPr="001D5402" w:rsidRDefault="001D5402" w:rsidP="001D5402">
      <w:pPr>
        <w:spacing w:before="100" w:beforeAutospacing="1" w:after="100" w:afterAutospacing="1" w:line="240" w:lineRule="auto"/>
        <w:rPr>
          <w:rFonts w:ascii="Times New Roman" w:eastAsia="Times New Roman" w:hAnsi="Times New Roman" w:cs="Times New Roman"/>
          <w:kern w:val="0"/>
          <w:lang w:val="en-GB" w:eastAsia="en-GB"/>
          <w14:ligatures w14:val="none"/>
        </w:rPr>
      </w:pPr>
      <w:r w:rsidRPr="001D5402">
        <w:rPr>
          <w:rFonts w:ascii="Times New Roman" w:eastAsia="Times New Roman" w:hAnsi="Times New Roman" w:cs="Times New Roman"/>
          <w:b/>
          <w:bCs/>
          <w:kern w:val="0"/>
          <w:lang w:val="en-GB" w:eastAsia="en-GB"/>
          <w14:ligatures w14:val="none"/>
        </w:rPr>
        <w:t>Answer:</w:t>
      </w:r>
      <w:r w:rsidRPr="001D5402">
        <w:rPr>
          <w:rFonts w:ascii="Times New Roman" w:eastAsia="Times New Roman" w:hAnsi="Times New Roman" w:cs="Times New Roman"/>
          <w:kern w:val="0"/>
          <w:lang w:val="en-GB" w:eastAsia="en-GB"/>
          <w14:ligatures w14:val="none"/>
        </w:rPr>
        <w:t xml:space="preserve"> In response to the question, the Procurement Commission provides the following clarification:</w:t>
      </w:r>
    </w:p>
    <w:p w14:paraId="5C899649" w14:textId="77777777" w:rsidR="001D5402" w:rsidRPr="001D5402" w:rsidRDefault="001D5402" w:rsidP="001D5402">
      <w:pPr>
        <w:spacing w:before="100" w:beforeAutospacing="1" w:after="100" w:afterAutospacing="1" w:line="240" w:lineRule="auto"/>
        <w:rPr>
          <w:rFonts w:ascii="Times New Roman" w:eastAsia="Times New Roman" w:hAnsi="Times New Roman" w:cs="Times New Roman"/>
          <w:kern w:val="0"/>
          <w:lang w:val="en-GB" w:eastAsia="en-GB"/>
          <w14:ligatures w14:val="none"/>
        </w:rPr>
      </w:pPr>
      <w:r w:rsidRPr="001D5402">
        <w:rPr>
          <w:rFonts w:ascii="Times New Roman" w:eastAsia="Times New Roman" w:hAnsi="Times New Roman" w:cs="Times New Roman"/>
          <w:kern w:val="0"/>
          <w:lang w:val="en-GB" w:eastAsia="en-GB"/>
          <w14:ligatures w14:val="none"/>
        </w:rPr>
        <w:t>The Contracting Authority recognises that intent to deceive is an analytical conclusion that cannot be directly or definitively established by an automated monitoring solution. Accordingly, the solution is expected to identify and present indicators of possible disinformation and coordinated information manipulation, thereby enabling the Contracting Authority's analysts to carry out the final assessment.</w:t>
      </w:r>
    </w:p>
    <w:p w14:paraId="25575D31" w14:textId="77777777" w:rsidR="001D5402" w:rsidRPr="001D5402" w:rsidRDefault="001D5402" w:rsidP="001D5402">
      <w:pPr>
        <w:spacing w:before="100" w:beforeAutospacing="1" w:after="100" w:afterAutospacing="1" w:line="240" w:lineRule="auto"/>
        <w:rPr>
          <w:rFonts w:ascii="Times New Roman" w:eastAsia="Times New Roman" w:hAnsi="Times New Roman" w:cs="Times New Roman"/>
          <w:kern w:val="0"/>
          <w:lang w:val="en-GB" w:eastAsia="en-GB"/>
          <w14:ligatures w14:val="none"/>
        </w:rPr>
      </w:pPr>
      <w:r w:rsidRPr="001D5402">
        <w:rPr>
          <w:rFonts w:ascii="Times New Roman" w:eastAsia="Times New Roman" w:hAnsi="Times New Roman" w:cs="Times New Roman"/>
          <w:kern w:val="0"/>
          <w:lang w:val="en-GB" w:eastAsia="en-GB"/>
          <w14:ligatures w14:val="none"/>
        </w:rPr>
        <w:t>For the purposes of this procurement, it is sufficient for the solution to identify and present indicators such as:</w:t>
      </w:r>
    </w:p>
    <w:p w14:paraId="239EDF25" w14:textId="77777777" w:rsidR="001D5402" w:rsidRPr="001D5402" w:rsidRDefault="001D5402" w:rsidP="001D5402">
      <w:pPr>
        <w:pStyle w:val="ListParagraph"/>
        <w:numPr>
          <w:ilvl w:val="0"/>
          <w:numId w:val="17"/>
        </w:numPr>
        <w:spacing w:before="100" w:beforeAutospacing="1" w:after="100" w:afterAutospacing="1" w:line="240" w:lineRule="auto"/>
        <w:rPr>
          <w:rFonts w:ascii="Times New Roman" w:eastAsia="Times New Roman" w:hAnsi="Times New Roman" w:cs="Times New Roman"/>
          <w:kern w:val="0"/>
          <w:lang w:val="en-GB" w:eastAsia="en-GB"/>
          <w14:ligatures w14:val="none"/>
        </w:rPr>
      </w:pPr>
      <w:r w:rsidRPr="001D5402">
        <w:rPr>
          <w:rFonts w:ascii="Times New Roman" w:eastAsia="Times New Roman" w:hAnsi="Times New Roman" w:cs="Times New Roman"/>
          <w:kern w:val="0"/>
          <w:lang w:val="en-GB" w:eastAsia="en-GB"/>
          <w14:ligatures w14:val="none"/>
        </w:rPr>
        <w:t>misleading, false, or manipulatively framed claims;</w:t>
      </w:r>
    </w:p>
    <w:p w14:paraId="20E346B7" w14:textId="77777777" w:rsidR="001D5402" w:rsidRPr="001D5402" w:rsidRDefault="001D5402" w:rsidP="001D5402">
      <w:pPr>
        <w:pStyle w:val="ListParagraph"/>
        <w:numPr>
          <w:ilvl w:val="0"/>
          <w:numId w:val="17"/>
        </w:numPr>
        <w:spacing w:before="100" w:beforeAutospacing="1" w:after="100" w:afterAutospacing="1" w:line="240" w:lineRule="auto"/>
        <w:rPr>
          <w:rFonts w:ascii="Times New Roman" w:eastAsia="Times New Roman" w:hAnsi="Times New Roman" w:cs="Times New Roman"/>
          <w:kern w:val="0"/>
          <w:lang w:val="en-GB" w:eastAsia="en-GB"/>
          <w14:ligatures w14:val="none"/>
        </w:rPr>
      </w:pPr>
      <w:r w:rsidRPr="001D5402">
        <w:rPr>
          <w:rFonts w:ascii="Times New Roman" w:eastAsia="Times New Roman" w:hAnsi="Times New Roman" w:cs="Times New Roman"/>
          <w:kern w:val="0"/>
          <w:lang w:val="en-GB" w:eastAsia="en-GB"/>
          <w14:ligatures w14:val="none"/>
        </w:rPr>
        <w:t>known or previously identified narratives;</w:t>
      </w:r>
    </w:p>
    <w:p w14:paraId="4A1C9DC4" w14:textId="77777777" w:rsidR="001D5402" w:rsidRPr="001D5402" w:rsidRDefault="001D5402" w:rsidP="001D5402">
      <w:pPr>
        <w:pStyle w:val="ListParagraph"/>
        <w:numPr>
          <w:ilvl w:val="0"/>
          <w:numId w:val="17"/>
        </w:numPr>
        <w:spacing w:before="100" w:beforeAutospacing="1" w:after="100" w:afterAutospacing="1" w:line="240" w:lineRule="auto"/>
        <w:rPr>
          <w:rFonts w:ascii="Times New Roman" w:eastAsia="Times New Roman" w:hAnsi="Times New Roman" w:cs="Times New Roman"/>
          <w:kern w:val="0"/>
          <w:lang w:val="en-GB" w:eastAsia="en-GB"/>
          <w14:ligatures w14:val="none"/>
        </w:rPr>
      </w:pPr>
      <w:r w:rsidRPr="001D5402">
        <w:rPr>
          <w:rFonts w:ascii="Times New Roman" w:eastAsia="Times New Roman" w:hAnsi="Times New Roman" w:cs="Times New Roman"/>
          <w:kern w:val="0"/>
          <w:lang w:val="en-GB" w:eastAsia="en-GB"/>
          <w14:ligatures w14:val="none"/>
        </w:rPr>
        <w:t>coordinated or inauthentic amplification (e.g. synchronised dissemination or amplification networks);</w:t>
      </w:r>
    </w:p>
    <w:p w14:paraId="46DD4663" w14:textId="77777777" w:rsidR="001D5402" w:rsidRPr="001D5402" w:rsidRDefault="001D5402" w:rsidP="001D5402">
      <w:pPr>
        <w:pStyle w:val="ListParagraph"/>
        <w:numPr>
          <w:ilvl w:val="0"/>
          <w:numId w:val="17"/>
        </w:numPr>
        <w:spacing w:before="100" w:beforeAutospacing="1" w:after="100" w:afterAutospacing="1" w:line="240" w:lineRule="auto"/>
        <w:rPr>
          <w:rFonts w:ascii="Times New Roman" w:eastAsia="Times New Roman" w:hAnsi="Times New Roman" w:cs="Times New Roman"/>
          <w:kern w:val="0"/>
          <w:lang w:val="en-GB" w:eastAsia="en-GB"/>
          <w14:ligatures w14:val="none"/>
        </w:rPr>
      </w:pPr>
      <w:r w:rsidRPr="001D5402">
        <w:rPr>
          <w:rFonts w:ascii="Times New Roman" w:eastAsia="Times New Roman" w:hAnsi="Times New Roman" w:cs="Times New Roman"/>
          <w:kern w:val="0"/>
          <w:lang w:val="en-GB" w:eastAsia="en-GB"/>
          <w14:ligatures w14:val="none"/>
        </w:rPr>
        <w:t>suspicious or anomalous propagation patterns (e.g. unusual spikes in activity);</w:t>
      </w:r>
    </w:p>
    <w:p w14:paraId="2DD2BB51" w14:textId="217404A6" w:rsidR="001D5402" w:rsidRDefault="001D5402" w:rsidP="001D5402">
      <w:pPr>
        <w:pStyle w:val="ListParagraph"/>
        <w:numPr>
          <w:ilvl w:val="0"/>
          <w:numId w:val="17"/>
        </w:numPr>
        <w:spacing w:before="100" w:beforeAutospacing="1" w:after="100" w:afterAutospacing="1" w:line="240" w:lineRule="auto"/>
        <w:rPr>
          <w:rFonts w:ascii="Times New Roman" w:eastAsia="Times New Roman" w:hAnsi="Times New Roman" w:cs="Times New Roman"/>
          <w:kern w:val="0"/>
          <w:lang w:val="en-GB" w:eastAsia="en-GB"/>
          <w14:ligatures w14:val="none"/>
        </w:rPr>
      </w:pPr>
      <w:r w:rsidRPr="001D5402">
        <w:rPr>
          <w:rFonts w:ascii="Times New Roman" w:eastAsia="Times New Roman" w:hAnsi="Times New Roman" w:cs="Times New Roman"/>
          <w:kern w:val="0"/>
          <w:lang w:val="en-GB" w:eastAsia="en-GB"/>
          <w14:ligatures w14:val="none"/>
        </w:rPr>
        <w:t>links or similarities to previously identified disinformation sources or actors.</w:t>
      </w:r>
    </w:p>
    <w:p w14:paraId="771AE25F" w14:textId="77777777" w:rsidR="001D5402" w:rsidRPr="001D5402" w:rsidRDefault="001D5402" w:rsidP="001D5402">
      <w:pPr>
        <w:pStyle w:val="ListParagraph"/>
        <w:spacing w:before="100" w:beforeAutospacing="1" w:after="100" w:afterAutospacing="1" w:line="240" w:lineRule="auto"/>
        <w:ind w:left="1440"/>
        <w:rPr>
          <w:rFonts w:ascii="Times New Roman" w:eastAsia="Times New Roman" w:hAnsi="Times New Roman" w:cs="Times New Roman"/>
          <w:kern w:val="0"/>
          <w:lang w:val="en-GB" w:eastAsia="en-GB"/>
          <w14:ligatures w14:val="none"/>
        </w:rPr>
      </w:pPr>
    </w:p>
    <w:p w14:paraId="4D19E071" w14:textId="46264E4A" w:rsidR="00AC4349" w:rsidRPr="00AA0220" w:rsidRDefault="410095C8" w:rsidP="00AA0220">
      <w:pPr>
        <w:pStyle w:val="ListParagraph"/>
        <w:numPr>
          <w:ilvl w:val="0"/>
          <w:numId w:val="13"/>
        </w:numPr>
        <w:spacing w:after="0" w:line="240" w:lineRule="auto"/>
        <w:ind w:left="714" w:hanging="357"/>
        <w:jc w:val="both"/>
        <w:rPr>
          <w:rFonts w:ascii="Times New Roman" w:hAnsi="Times New Roman" w:cs="Times New Roman"/>
          <w:b/>
          <w:bCs/>
          <w:lang w:val="en-GB"/>
        </w:rPr>
      </w:pPr>
      <w:r w:rsidRPr="00AA0220">
        <w:rPr>
          <w:rFonts w:ascii="Times New Roman" w:hAnsi="Times New Roman" w:cs="Times New Roman"/>
          <w:b/>
          <w:bCs/>
          <w:lang w:val="en-GB"/>
        </w:rPr>
        <w:t>Could the Contracting Authority clarify the expected scale of monitoring? Specifically, how many channels, accounts, pages, groups, websites or other sources should the Supplier assume for Facebook, TikTok and X?</w:t>
      </w:r>
    </w:p>
    <w:p w14:paraId="64F83EA2" w14:textId="77777777" w:rsidR="00803AA1" w:rsidRDefault="00803AA1" w:rsidP="00803AA1">
      <w:pPr>
        <w:pStyle w:val="isselectedend"/>
        <w:ind w:left="142"/>
        <w:jc w:val="both"/>
      </w:pPr>
      <w:r>
        <w:rPr>
          <w:rStyle w:val="Strong"/>
        </w:rPr>
        <w:t>Answer:</w:t>
      </w:r>
      <w:r>
        <w:t xml:space="preserve"> The Procurement Commission provides the following clarification:</w:t>
      </w:r>
    </w:p>
    <w:p w14:paraId="2287ACE9" w14:textId="77777777" w:rsidR="00803AA1" w:rsidRDefault="00803AA1" w:rsidP="00803AA1">
      <w:pPr>
        <w:pStyle w:val="isselectedend"/>
        <w:ind w:left="142"/>
        <w:jc w:val="both"/>
      </w:pPr>
      <w:r>
        <w:t>The Contracting Authority is unable to define a precise scale of monitoring (i.e. the number of channels, accounts, pages, groups, websites, or other sources). The solution is intended to scan and analyse all content on Facebook, TikTok, and X that is related to the Latvian information space and falls within the scope defined in the Technical Specification.</w:t>
      </w:r>
    </w:p>
    <w:p w14:paraId="4A013B3D" w14:textId="77777777" w:rsidR="00803AA1" w:rsidRDefault="00803AA1" w:rsidP="00803AA1">
      <w:pPr>
        <w:pStyle w:val="NormalWeb"/>
        <w:ind w:left="142"/>
        <w:jc w:val="both"/>
      </w:pPr>
      <w:r>
        <w:t>The detailed scope and requirements are set out in the Technical Specification.</w:t>
      </w:r>
    </w:p>
    <w:p w14:paraId="09345012" w14:textId="7E770532" w:rsidR="00AA0220" w:rsidRPr="00AA0220" w:rsidRDefault="00AC4349" w:rsidP="00AA0220">
      <w:pPr>
        <w:pStyle w:val="ListParagraph"/>
        <w:numPr>
          <w:ilvl w:val="0"/>
          <w:numId w:val="13"/>
        </w:numPr>
        <w:jc w:val="both"/>
        <w:rPr>
          <w:rFonts w:ascii="Times New Roman" w:hAnsi="Times New Roman" w:cs="Times New Roman"/>
          <w:b/>
          <w:bCs/>
          <w:lang w:val="en-GB"/>
        </w:rPr>
      </w:pPr>
      <w:r w:rsidRPr="00AA0220">
        <w:rPr>
          <w:rFonts w:ascii="Times New Roman" w:hAnsi="Times New Roman" w:cs="Times New Roman"/>
          <w:b/>
          <w:bCs/>
          <w:lang w:val="en-GB"/>
        </w:rPr>
        <w:t>Does the Contracting Authority already have a list of channels, accounts, pages, websites or sources to be monitored? If so, could this list be provided to tenderers, at least in indicative form, so that the technical scope, monitoring frequency and pricing can be assessed more accurately?</w:t>
      </w:r>
    </w:p>
    <w:p w14:paraId="22BF86C5" w14:textId="77777777" w:rsidR="00AA0220" w:rsidRDefault="00AA0220" w:rsidP="00AA0220">
      <w:pPr>
        <w:pStyle w:val="isselectedend"/>
        <w:jc w:val="both"/>
      </w:pPr>
      <w:r>
        <w:rPr>
          <w:rStyle w:val="Strong"/>
        </w:rPr>
        <w:t>Answer:</w:t>
      </w:r>
      <w:r>
        <w:t xml:space="preserve"> The Procurement Commission provides the following clarification:</w:t>
      </w:r>
    </w:p>
    <w:p w14:paraId="28A1FB20" w14:textId="77777777" w:rsidR="00AA0220" w:rsidRDefault="00AA0220" w:rsidP="00AA0220">
      <w:pPr>
        <w:pStyle w:val="NormalWeb"/>
        <w:jc w:val="both"/>
      </w:pPr>
      <w:r>
        <w:t>The list of channels, accounts, pages, websites, or other sources to be monitored will be discussed and agreed with the successful tenderer after the conclusion of the procurement contract.</w:t>
      </w:r>
    </w:p>
    <w:p w14:paraId="6D1D55B4" w14:textId="41AE3674" w:rsidR="00AC4349" w:rsidRPr="00F95272" w:rsidRDefault="00AC4349" w:rsidP="00364888">
      <w:pPr>
        <w:pStyle w:val="ListParagraph"/>
        <w:numPr>
          <w:ilvl w:val="0"/>
          <w:numId w:val="13"/>
        </w:numPr>
        <w:rPr>
          <w:rFonts w:ascii="Times New Roman" w:hAnsi="Times New Roman" w:cs="Times New Roman"/>
          <w:b/>
          <w:bCs/>
          <w:lang w:val="en-GB"/>
        </w:rPr>
      </w:pPr>
      <w:r w:rsidRPr="00F95272">
        <w:rPr>
          <w:rFonts w:ascii="Times New Roman" w:hAnsi="Times New Roman" w:cs="Times New Roman"/>
          <w:b/>
          <w:bCs/>
          <w:lang w:val="en-GB"/>
        </w:rPr>
        <w:t>Could the Contracting Authority clarify what functionality is expected under the requirement to analyse memes? Should this include OCR of text in images, visual similarity detection, repeated meme-template detection?</w:t>
      </w:r>
    </w:p>
    <w:p w14:paraId="4E601A13" w14:textId="77777777" w:rsidR="00F95272" w:rsidRDefault="00F95272" w:rsidP="00F95272">
      <w:pPr>
        <w:pStyle w:val="isselectedend"/>
        <w:ind w:firstLine="142"/>
        <w:jc w:val="both"/>
      </w:pPr>
      <w:r>
        <w:rPr>
          <w:rStyle w:val="Strong"/>
        </w:rPr>
        <w:lastRenderedPageBreak/>
        <w:t>Answer:</w:t>
      </w:r>
      <w:r>
        <w:t xml:space="preserve"> The Procurement Commission provides the following clarification:</w:t>
      </w:r>
    </w:p>
    <w:p w14:paraId="57D522A4" w14:textId="77777777" w:rsidR="00F95272" w:rsidRDefault="00F95272" w:rsidP="00F95272">
      <w:pPr>
        <w:pStyle w:val="NormalWeb"/>
        <w:ind w:firstLine="142"/>
        <w:jc w:val="both"/>
      </w:pPr>
      <w:r>
        <w:t>The Contracting Authority does not prescribe or restrict the specific technical methods by which the Supplier achieves compliance with this requirement. The choice of approach is left to the Tenderer. The decisive requirement is that the solution is capable of linking image-based content (including memes) to the narratives, campaigns, and coordinated dissemination patterns defined in the Technical Specification.</w:t>
      </w:r>
    </w:p>
    <w:p w14:paraId="6CBFB3E9" w14:textId="148530E7" w:rsidR="00AC4349" w:rsidRDefault="00AC4349" w:rsidP="00D02A30">
      <w:pPr>
        <w:pStyle w:val="ListParagraph"/>
        <w:numPr>
          <w:ilvl w:val="0"/>
          <w:numId w:val="13"/>
        </w:numPr>
        <w:spacing w:after="0" w:line="240" w:lineRule="auto"/>
        <w:jc w:val="both"/>
        <w:rPr>
          <w:rFonts w:ascii="Times New Roman" w:hAnsi="Times New Roman" w:cs="Times New Roman"/>
          <w:b/>
          <w:bCs/>
          <w:lang w:val="en-GB"/>
        </w:rPr>
      </w:pPr>
      <w:r w:rsidRPr="00D02A30">
        <w:rPr>
          <w:rFonts w:ascii="Times New Roman" w:hAnsi="Times New Roman" w:cs="Times New Roman"/>
          <w:b/>
          <w:bCs/>
          <w:lang w:val="en-GB"/>
        </w:rPr>
        <w:t>Could the Contracting Authority clarify what is expected under the requirement to analyse deepfakes? Should this cover still images only, or must the solution also analyse videos and audio?</w:t>
      </w:r>
    </w:p>
    <w:p w14:paraId="7FDA4940" w14:textId="77777777" w:rsidR="00D02A30" w:rsidRPr="00D02A30" w:rsidRDefault="00D02A30" w:rsidP="00D02A30">
      <w:pPr>
        <w:pStyle w:val="ListParagraph"/>
        <w:spacing w:after="0" w:line="240" w:lineRule="auto"/>
        <w:jc w:val="both"/>
        <w:rPr>
          <w:rFonts w:ascii="Times New Roman" w:hAnsi="Times New Roman" w:cs="Times New Roman"/>
          <w:b/>
          <w:bCs/>
          <w:lang w:val="en-GB"/>
        </w:rPr>
      </w:pPr>
    </w:p>
    <w:p w14:paraId="7D9E4D66" w14:textId="77777777" w:rsidR="00D02A30" w:rsidRPr="00D02A30" w:rsidRDefault="00D02A30" w:rsidP="00D02A30">
      <w:pPr>
        <w:pStyle w:val="isselectedend"/>
        <w:spacing w:before="0" w:beforeAutospacing="0" w:after="0" w:afterAutospacing="0"/>
        <w:jc w:val="both"/>
      </w:pPr>
      <w:r w:rsidRPr="00D02A30">
        <w:rPr>
          <w:rStyle w:val="Strong"/>
        </w:rPr>
        <w:t>Answer:</w:t>
      </w:r>
      <w:r w:rsidRPr="00D02A30">
        <w:t xml:space="preserve"> The Procurement Commission provides the following clarification:</w:t>
      </w:r>
    </w:p>
    <w:p w14:paraId="3D0C2CFA" w14:textId="77777777" w:rsidR="00D02A30" w:rsidRPr="00D02A30" w:rsidRDefault="00D02A30" w:rsidP="00D02A30">
      <w:pPr>
        <w:pStyle w:val="isselectedend"/>
        <w:spacing w:before="0" w:beforeAutospacing="0" w:after="0" w:afterAutospacing="0"/>
        <w:jc w:val="both"/>
      </w:pPr>
      <w:r w:rsidRPr="00D02A30">
        <w:t>Consistent with the Contracting Authority’s general approach, the specific technical methods are left to the Tenderer. The decisive requirement is that the solution is capable of identifying indicators of potentially synthetic or manipulated media and associating such content with the relevant narratives, campaigns, and dissemination patterns defined in the Technical Specification, thereby enabling the Contracting Authority’s analysts to carry out the assessment. The solution is not required to provide a definitive, standalone determination as to whether a given item is or is not a deepfake.</w:t>
      </w:r>
    </w:p>
    <w:p w14:paraId="17265474" w14:textId="77777777" w:rsidR="00D02A30" w:rsidRDefault="00D02A30" w:rsidP="00D02A30">
      <w:pPr>
        <w:pStyle w:val="NormalWeb"/>
        <w:spacing w:before="0" w:beforeAutospacing="0" w:after="0" w:afterAutospacing="0"/>
        <w:jc w:val="both"/>
      </w:pPr>
      <w:r w:rsidRPr="00D02A30">
        <w:t>For the avoidance of doubt, this requirement applies to visual content (still images and video frames); standalone audio deepfake detection is not required under this procurement.</w:t>
      </w:r>
    </w:p>
    <w:p w14:paraId="4FB76C6F" w14:textId="77777777" w:rsidR="00D02A30" w:rsidRPr="00D02A30" w:rsidRDefault="00D02A30" w:rsidP="00D02A30">
      <w:pPr>
        <w:pStyle w:val="NormalWeb"/>
        <w:spacing w:before="0" w:beforeAutospacing="0" w:after="0" w:afterAutospacing="0"/>
        <w:jc w:val="both"/>
      </w:pPr>
    </w:p>
    <w:p w14:paraId="2683BF96" w14:textId="297A224B" w:rsidR="00AC4349" w:rsidRDefault="00AC4349" w:rsidP="00D20B9B">
      <w:pPr>
        <w:pStyle w:val="ListParagraph"/>
        <w:numPr>
          <w:ilvl w:val="0"/>
          <w:numId w:val="13"/>
        </w:numPr>
        <w:spacing w:after="0" w:line="240" w:lineRule="auto"/>
        <w:jc w:val="both"/>
        <w:rPr>
          <w:rFonts w:ascii="Times New Roman" w:hAnsi="Times New Roman" w:cs="Times New Roman"/>
          <w:b/>
          <w:bCs/>
          <w:lang w:val="en-GB"/>
        </w:rPr>
      </w:pPr>
      <w:r w:rsidRPr="00D20B9B">
        <w:rPr>
          <w:rFonts w:ascii="Times New Roman" w:hAnsi="Times New Roman" w:cs="Times New Roman"/>
          <w:b/>
          <w:bCs/>
          <w:lang w:val="en-GB"/>
        </w:rPr>
        <w:t>The technical specification explicitly mentions Facebook, TikTok and X. If the Supplier provides coverage of additional platforms relevant to Latvian and Russian-language information spaces, such as Telegram, VKontakte, YouTube, Instagram, websites, will this be considered positively in the evaluation, or will only the explicitly listed platforms be assessed?</w:t>
      </w:r>
    </w:p>
    <w:p w14:paraId="7A5D35A2" w14:textId="77777777" w:rsidR="00D20B9B" w:rsidRPr="00D20B9B" w:rsidRDefault="00D20B9B" w:rsidP="00D20B9B">
      <w:pPr>
        <w:pStyle w:val="ListParagraph"/>
        <w:spacing w:after="0" w:line="240" w:lineRule="auto"/>
        <w:jc w:val="both"/>
        <w:rPr>
          <w:rFonts w:ascii="Times New Roman" w:hAnsi="Times New Roman" w:cs="Times New Roman"/>
          <w:b/>
          <w:bCs/>
          <w:lang w:val="en-GB"/>
        </w:rPr>
      </w:pPr>
    </w:p>
    <w:p w14:paraId="250B2E13" w14:textId="64DF73D2" w:rsidR="00D20B9B" w:rsidRDefault="00D20B9B" w:rsidP="00D20B9B">
      <w:pPr>
        <w:pStyle w:val="isselectedend"/>
        <w:spacing w:before="0" w:beforeAutospacing="0" w:after="0" w:afterAutospacing="0"/>
        <w:ind w:left="360"/>
        <w:jc w:val="both"/>
      </w:pPr>
      <w:r w:rsidRPr="00D20B9B">
        <w:rPr>
          <w:rStyle w:val="Strong"/>
        </w:rPr>
        <w:t>Answer:</w:t>
      </w:r>
      <w:r w:rsidRPr="00D20B9B">
        <w:t xml:space="preserve"> The Procurement Commission provides the following clarification</w:t>
      </w:r>
    </w:p>
    <w:p w14:paraId="0AF9E743" w14:textId="77777777" w:rsidR="00D20B9B" w:rsidRPr="00D20B9B" w:rsidRDefault="00D20B9B" w:rsidP="00D20B9B">
      <w:pPr>
        <w:pStyle w:val="isselectedend"/>
        <w:spacing w:before="0" w:beforeAutospacing="0" w:after="0" w:afterAutospacing="0"/>
        <w:ind w:left="360"/>
        <w:jc w:val="both"/>
      </w:pPr>
    </w:p>
    <w:p w14:paraId="38F343F4" w14:textId="77777777" w:rsidR="00D20B9B" w:rsidRDefault="00D20B9B" w:rsidP="00D20B9B">
      <w:pPr>
        <w:pStyle w:val="NormalWeb"/>
        <w:spacing w:before="0" w:beforeAutospacing="0" w:after="0" w:afterAutospacing="0"/>
        <w:jc w:val="both"/>
      </w:pPr>
      <w:r w:rsidRPr="00D20B9B">
        <w:t>Only the platforms explicitly specified in the Technical Specification (Facebook, TikTok, and X) will be evaluated. Coverage of additional platforms will not be taken into account in the evaluation.</w:t>
      </w:r>
    </w:p>
    <w:p w14:paraId="48F92EB4" w14:textId="77777777" w:rsidR="00D20B9B" w:rsidRPr="007763C6" w:rsidRDefault="00D20B9B" w:rsidP="007763C6">
      <w:pPr>
        <w:pStyle w:val="NormalWeb"/>
        <w:spacing w:before="0" w:beforeAutospacing="0" w:after="0" w:afterAutospacing="0"/>
        <w:jc w:val="both"/>
      </w:pPr>
    </w:p>
    <w:p w14:paraId="79D06896" w14:textId="76E35895" w:rsidR="00AC4349" w:rsidRDefault="410095C8" w:rsidP="007763C6">
      <w:pPr>
        <w:pStyle w:val="ListParagraph"/>
        <w:numPr>
          <w:ilvl w:val="0"/>
          <w:numId w:val="13"/>
        </w:numPr>
        <w:spacing w:after="0" w:line="240" w:lineRule="auto"/>
        <w:jc w:val="both"/>
        <w:rPr>
          <w:rFonts w:ascii="Times New Roman" w:hAnsi="Times New Roman" w:cs="Times New Roman"/>
          <w:b/>
          <w:bCs/>
          <w:lang w:val="en-GB"/>
        </w:rPr>
      </w:pPr>
      <w:r w:rsidRPr="007763C6">
        <w:rPr>
          <w:rFonts w:ascii="Times New Roman" w:hAnsi="Times New Roman" w:cs="Times New Roman"/>
          <w:b/>
          <w:bCs/>
          <w:lang w:val="en-GB"/>
        </w:rPr>
        <w:t>The requested service period ends on 17 October 2026. Could the Contracting Authority clarify why this date was selected and whether there is any possibility of extending the agreement beyond this period?</w:t>
      </w:r>
    </w:p>
    <w:p w14:paraId="1BB1F5C6" w14:textId="77777777" w:rsidR="007763C6" w:rsidRPr="007763C6" w:rsidRDefault="007763C6" w:rsidP="007763C6">
      <w:pPr>
        <w:pStyle w:val="ListParagraph"/>
        <w:spacing w:after="0" w:line="240" w:lineRule="auto"/>
        <w:jc w:val="both"/>
        <w:rPr>
          <w:rFonts w:ascii="Times New Roman" w:hAnsi="Times New Roman" w:cs="Times New Roman"/>
          <w:b/>
          <w:bCs/>
          <w:lang w:val="en-GB"/>
        </w:rPr>
      </w:pPr>
    </w:p>
    <w:p w14:paraId="36DED820" w14:textId="77777777" w:rsidR="007763C6" w:rsidRDefault="007763C6" w:rsidP="007763C6">
      <w:pPr>
        <w:pStyle w:val="isselectedend"/>
        <w:spacing w:before="0" w:beforeAutospacing="0" w:after="0" w:afterAutospacing="0"/>
        <w:ind w:left="360"/>
        <w:jc w:val="both"/>
      </w:pPr>
      <w:r w:rsidRPr="007763C6">
        <w:rPr>
          <w:rStyle w:val="Strong"/>
        </w:rPr>
        <w:t>Answer:</w:t>
      </w:r>
      <w:r w:rsidRPr="007763C6">
        <w:t xml:space="preserve"> The Procurement Commission provides the following clarification:</w:t>
      </w:r>
    </w:p>
    <w:p w14:paraId="32E6FCE8" w14:textId="77777777" w:rsidR="007763C6" w:rsidRPr="007763C6" w:rsidRDefault="007763C6" w:rsidP="007763C6">
      <w:pPr>
        <w:pStyle w:val="isselectedend"/>
        <w:spacing w:before="0" w:beforeAutospacing="0" w:after="0" w:afterAutospacing="0"/>
        <w:ind w:left="360"/>
        <w:jc w:val="both"/>
      </w:pPr>
    </w:p>
    <w:p w14:paraId="1E161DFE" w14:textId="77777777" w:rsidR="007763C6" w:rsidRPr="007763C6" w:rsidRDefault="007763C6" w:rsidP="007763C6">
      <w:pPr>
        <w:pStyle w:val="isselectedend"/>
        <w:spacing w:before="0" w:beforeAutospacing="0" w:after="0" w:afterAutospacing="0"/>
        <w:jc w:val="both"/>
      </w:pPr>
      <w:r w:rsidRPr="007763C6">
        <w:t>Parliamentary elections will be held on 3 October 2026. The monitoring period is extended until 17 October 2026 in order to capture post-election developments in the information space, in particular the emergence and dissemination of disinformation narratives, including claims of “stolen elections” and other narratives aimed at delegitimising the election results.</w:t>
      </w:r>
    </w:p>
    <w:p w14:paraId="51895A76" w14:textId="77777777" w:rsidR="007763C6" w:rsidRPr="007763C6" w:rsidRDefault="007763C6" w:rsidP="007763C6">
      <w:pPr>
        <w:pStyle w:val="NormalWeb"/>
        <w:spacing w:before="0" w:beforeAutospacing="0" w:after="0" w:afterAutospacing="0"/>
        <w:jc w:val="both"/>
      </w:pPr>
      <w:r w:rsidRPr="007763C6">
        <w:t>As the tool is intended specifically for monitoring the 2026 parliamentary elections, no extension of the contract beyond this period is envisaged.</w:t>
      </w:r>
    </w:p>
    <w:p w14:paraId="50696CA2" w14:textId="00A78D28" w:rsidR="3AC5EBA1" w:rsidRDefault="3AC5EBA1" w:rsidP="007763C6">
      <w:pPr>
        <w:spacing w:after="0" w:line="240" w:lineRule="auto"/>
        <w:jc w:val="both"/>
        <w:rPr>
          <w:rFonts w:ascii="Times New Roman" w:hAnsi="Times New Roman" w:cs="Times New Roman"/>
          <w:lang w:val="en-GB"/>
        </w:rPr>
      </w:pPr>
      <w:r w:rsidRPr="007763C6">
        <w:rPr>
          <w:rFonts w:ascii="Times New Roman" w:hAnsi="Times New Roman" w:cs="Times New Roman"/>
          <w:lang w:val="en-GB"/>
        </w:rPr>
        <w:t>monitoring the 2026 parliamentary elections, no extension is considered.</w:t>
      </w:r>
    </w:p>
    <w:p w14:paraId="0E317058" w14:textId="77777777" w:rsidR="007763C6" w:rsidRPr="007763C6" w:rsidRDefault="007763C6" w:rsidP="007763C6">
      <w:pPr>
        <w:spacing w:after="0" w:line="240" w:lineRule="auto"/>
        <w:jc w:val="both"/>
        <w:rPr>
          <w:rFonts w:ascii="Times New Roman" w:hAnsi="Times New Roman" w:cs="Times New Roman"/>
          <w:lang w:val="en-GB"/>
        </w:rPr>
      </w:pPr>
    </w:p>
    <w:p w14:paraId="7A849CC5" w14:textId="29C13585" w:rsidR="00AC4349" w:rsidRDefault="00AC4349" w:rsidP="00BF5F72">
      <w:pPr>
        <w:pStyle w:val="ListParagraph"/>
        <w:numPr>
          <w:ilvl w:val="0"/>
          <w:numId w:val="13"/>
        </w:numPr>
        <w:spacing w:after="0" w:line="240" w:lineRule="auto"/>
        <w:jc w:val="both"/>
        <w:rPr>
          <w:rFonts w:ascii="Times New Roman" w:hAnsi="Times New Roman" w:cs="Times New Roman"/>
          <w:b/>
          <w:bCs/>
          <w:lang w:val="en-GB"/>
        </w:rPr>
      </w:pPr>
      <w:r w:rsidRPr="00BF5F72">
        <w:rPr>
          <w:rFonts w:ascii="Times New Roman" w:hAnsi="Times New Roman" w:cs="Times New Roman"/>
          <w:b/>
          <w:bCs/>
          <w:lang w:val="en-GB"/>
        </w:rPr>
        <w:lastRenderedPageBreak/>
        <w:t>Could the Contracting Authority clarify what is meant by monitoring “on the territory of Latvia”? Does this refer to Latvia-based sources (where possible to determine), Latvian and Russian-language content relevant to Latvia or all content concerning Latvia regardless of source location?</w:t>
      </w:r>
    </w:p>
    <w:p w14:paraId="57B5DA0F" w14:textId="77777777" w:rsidR="00BF5F72" w:rsidRPr="00BF5F72" w:rsidRDefault="00BF5F72" w:rsidP="00BF5F72">
      <w:pPr>
        <w:pStyle w:val="ListParagraph"/>
        <w:spacing w:after="0" w:line="240" w:lineRule="auto"/>
        <w:jc w:val="both"/>
        <w:rPr>
          <w:rFonts w:ascii="Times New Roman" w:hAnsi="Times New Roman" w:cs="Times New Roman"/>
          <w:b/>
          <w:bCs/>
          <w:lang w:val="en-GB"/>
        </w:rPr>
      </w:pPr>
    </w:p>
    <w:p w14:paraId="576D25B9" w14:textId="77777777" w:rsidR="00BF5F72" w:rsidRDefault="00BF5F72" w:rsidP="00BF5F72">
      <w:pPr>
        <w:pStyle w:val="isselectedend"/>
        <w:spacing w:before="0" w:beforeAutospacing="0" w:after="0" w:afterAutospacing="0"/>
        <w:ind w:left="360"/>
        <w:jc w:val="both"/>
      </w:pPr>
      <w:r w:rsidRPr="00BF5F72">
        <w:rPr>
          <w:rStyle w:val="Strong"/>
        </w:rPr>
        <w:t>Answer:</w:t>
      </w:r>
      <w:r w:rsidRPr="00BF5F72">
        <w:t xml:space="preserve"> The Procurement Commission provides the following clarification:</w:t>
      </w:r>
    </w:p>
    <w:p w14:paraId="2A1D3DF7" w14:textId="77777777" w:rsidR="00BF5F72" w:rsidRPr="00BF5F72" w:rsidRDefault="00BF5F72" w:rsidP="00BF5F72">
      <w:pPr>
        <w:pStyle w:val="isselectedend"/>
        <w:spacing w:before="0" w:beforeAutospacing="0" w:after="0" w:afterAutospacing="0"/>
        <w:ind w:left="360"/>
        <w:jc w:val="both"/>
      </w:pPr>
    </w:p>
    <w:p w14:paraId="114D0326" w14:textId="77777777" w:rsidR="00BF5F72" w:rsidRPr="00BF5F72" w:rsidRDefault="00BF5F72" w:rsidP="00BF5F72">
      <w:pPr>
        <w:pStyle w:val="isselectedend"/>
        <w:spacing w:before="0" w:beforeAutospacing="0" w:after="0" w:afterAutospacing="0"/>
        <w:jc w:val="both"/>
      </w:pPr>
      <w:r w:rsidRPr="00BF5F72">
        <w:t>The requirement to perform monitoring “on the territory of Latvia” is to be understood as a relevance-based criterion, rather than a restriction related to the physical location of the source.</w:t>
      </w:r>
    </w:p>
    <w:p w14:paraId="527E9395" w14:textId="77777777" w:rsidR="00BF5F72" w:rsidRDefault="00BF5F72" w:rsidP="00BF5F72">
      <w:pPr>
        <w:pStyle w:val="NormalWeb"/>
        <w:spacing w:before="0" w:beforeAutospacing="0" w:after="0" w:afterAutospacing="0"/>
        <w:jc w:val="both"/>
      </w:pPr>
      <w:r w:rsidRPr="00BF5F72">
        <w:t>For the purposes of this procurement, the scope of monitoring is the Latvian information space, i.e. content that concerns or is relevant to Latvia, primarily in the Latvian and Russian languages, regardless of the physical or geographical location of the source.</w:t>
      </w:r>
    </w:p>
    <w:p w14:paraId="75572CC8" w14:textId="77777777" w:rsidR="00BF5F72" w:rsidRPr="00BF5F72" w:rsidRDefault="00BF5F72" w:rsidP="00BF5F72">
      <w:pPr>
        <w:pStyle w:val="NormalWeb"/>
        <w:spacing w:before="0" w:beforeAutospacing="0" w:after="0" w:afterAutospacing="0"/>
        <w:jc w:val="both"/>
      </w:pPr>
    </w:p>
    <w:p w14:paraId="26FCCF0C" w14:textId="7DE2AA59" w:rsidR="00AC4349" w:rsidRPr="00BF5F72" w:rsidRDefault="00AC4349" w:rsidP="00BF5F72">
      <w:pPr>
        <w:pStyle w:val="ListParagraph"/>
        <w:numPr>
          <w:ilvl w:val="0"/>
          <w:numId w:val="13"/>
        </w:numPr>
        <w:spacing w:after="0" w:line="240" w:lineRule="auto"/>
        <w:ind w:left="714" w:hanging="357"/>
        <w:rPr>
          <w:rFonts w:ascii="Times New Roman" w:hAnsi="Times New Roman" w:cs="Times New Roman"/>
          <w:b/>
          <w:bCs/>
          <w:lang w:val="en-GB"/>
        </w:rPr>
      </w:pPr>
      <w:r w:rsidRPr="00BF5F72">
        <w:rPr>
          <w:rFonts w:ascii="Times New Roman" w:hAnsi="Times New Roman" w:cs="Times New Roman"/>
          <w:b/>
          <w:bCs/>
          <w:lang w:val="en-GB"/>
        </w:rPr>
        <w:t>Could the Contracting Authority clarify what indicators it expects the system to use when identifying coordinated activity?</w:t>
      </w:r>
    </w:p>
    <w:p w14:paraId="23391C0C" w14:textId="77777777" w:rsidR="00BF5F72" w:rsidRDefault="00BF5F72" w:rsidP="00BF5F72">
      <w:pPr>
        <w:pStyle w:val="isselectedend"/>
        <w:ind w:left="360"/>
        <w:jc w:val="both"/>
      </w:pPr>
      <w:r>
        <w:rPr>
          <w:rStyle w:val="Strong"/>
        </w:rPr>
        <w:t>Answer:</w:t>
      </w:r>
      <w:r>
        <w:t xml:space="preserve"> The Procurement Commission provides the following clarification:</w:t>
      </w:r>
    </w:p>
    <w:p w14:paraId="60F5B041" w14:textId="77777777" w:rsidR="00BF5F72" w:rsidRPr="00BF5F72" w:rsidRDefault="00BF5F72" w:rsidP="00BF5F72">
      <w:pPr>
        <w:pStyle w:val="NormalWeb"/>
        <w:jc w:val="both"/>
      </w:pPr>
      <w:r>
        <w:t xml:space="preserve">The Contracting Authority does not define or prescribe a fixed or exhaustive list of indicators that the solution must use, nor does it restrict the Tenderer’s choice of analytical methods. The decisive requirement is that the solution is capable of identifying and surfacing signs of coordinated and potentially inauthentic activity and associating them with the relevant </w:t>
      </w:r>
      <w:r w:rsidRPr="00BF5F72">
        <w:t>narratives and campaigns defined in the Technical Specification.</w:t>
      </w:r>
    </w:p>
    <w:p w14:paraId="510ADB6E" w14:textId="22ADC2D7" w:rsidR="00AC4349" w:rsidRPr="00BF5F72" w:rsidRDefault="00AC4349" w:rsidP="00BF5F72">
      <w:pPr>
        <w:pStyle w:val="ListParagraph"/>
        <w:numPr>
          <w:ilvl w:val="0"/>
          <w:numId w:val="13"/>
        </w:numPr>
        <w:jc w:val="both"/>
        <w:rPr>
          <w:rFonts w:ascii="Times New Roman" w:hAnsi="Times New Roman" w:cs="Times New Roman"/>
          <w:b/>
          <w:bCs/>
          <w:lang w:val="en-GB"/>
        </w:rPr>
      </w:pPr>
      <w:r w:rsidRPr="00BF5F72">
        <w:rPr>
          <w:rFonts w:ascii="Times New Roman" w:hAnsi="Times New Roman" w:cs="Times New Roman"/>
          <w:b/>
          <w:bCs/>
          <w:lang w:val="en-GB"/>
        </w:rPr>
        <w:t>At the end of the contract, the Supplier must be able to export all data. Could the Contracting Authority clarify the expected scope and format of this export, including whether it should include raw collected content, metadata, media, OCR/transcripts, reports, dashboards, incident records, monitoring configurations and alerts?</w:t>
      </w:r>
    </w:p>
    <w:p w14:paraId="60B52650" w14:textId="77777777" w:rsidR="00BF5F72" w:rsidRPr="00BF5F72" w:rsidRDefault="00BF5F72" w:rsidP="00BF5F72">
      <w:pPr>
        <w:spacing w:before="100" w:beforeAutospacing="1" w:after="100" w:afterAutospacing="1" w:line="240" w:lineRule="auto"/>
        <w:rPr>
          <w:rFonts w:ascii="Times New Roman" w:eastAsia="Times New Roman" w:hAnsi="Times New Roman" w:cs="Times New Roman"/>
          <w:kern w:val="0"/>
          <w:lang w:val="en-GB" w:eastAsia="en-GB"/>
          <w14:ligatures w14:val="none"/>
        </w:rPr>
      </w:pPr>
      <w:r w:rsidRPr="00BF5F72">
        <w:rPr>
          <w:rFonts w:ascii="Times New Roman" w:eastAsia="Times New Roman" w:hAnsi="Times New Roman" w:cs="Times New Roman"/>
          <w:b/>
          <w:bCs/>
          <w:kern w:val="0"/>
          <w:lang w:val="en-GB" w:eastAsia="en-GB"/>
          <w14:ligatures w14:val="none"/>
        </w:rPr>
        <w:t>Answer:</w:t>
      </w:r>
      <w:r w:rsidRPr="00BF5F72">
        <w:rPr>
          <w:rFonts w:ascii="Times New Roman" w:eastAsia="Times New Roman" w:hAnsi="Times New Roman" w:cs="Times New Roman"/>
          <w:kern w:val="0"/>
          <w:lang w:val="en-GB" w:eastAsia="en-GB"/>
          <w14:ligatures w14:val="none"/>
        </w:rPr>
        <w:t xml:space="preserve"> The Procurement Commission provides the following clarification:</w:t>
      </w:r>
    </w:p>
    <w:p w14:paraId="208BAD39" w14:textId="77777777" w:rsidR="00BF5F72" w:rsidRPr="00BF5F72" w:rsidRDefault="00BF5F72" w:rsidP="00BF5F72">
      <w:pPr>
        <w:spacing w:before="100" w:beforeAutospacing="1" w:after="100" w:afterAutospacing="1" w:line="240" w:lineRule="auto"/>
        <w:rPr>
          <w:rFonts w:ascii="Times New Roman" w:eastAsia="Times New Roman" w:hAnsi="Times New Roman" w:cs="Times New Roman"/>
          <w:kern w:val="0"/>
          <w:lang w:val="en-GB" w:eastAsia="en-GB"/>
          <w14:ligatures w14:val="none"/>
        </w:rPr>
      </w:pPr>
      <w:r w:rsidRPr="00BF5F72">
        <w:rPr>
          <w:rFonts w:ascii="Times New Roman" w:eastAsia="Times New Roman" w:hAnsi="Times New Roman" w:cs="Times New Roman"/>
          <w:kern w:val="0"/>
          <w:lang w:val="en-GB" w:eastAsia="en-GB"/>
          <w14:ligatures w14:val="none"/>
        </w:rPr>
        <w:t>The export shall include the data stored and processed within the solution, including:</w:t>
      </w:r>
    </w:p>
    <w:p w14:paraId="2981153D" w14:textId="77777777" w:rsidR="00BF5F72" w:rsidRPr="00BF5F72" w:rsidRDefault="00BF5F72" w:rsidP="00BF5F72">
      <w:pPr>
        <w:numPr>
          <w:ilvl w:val="0"/>
          <w:numId w:val="18"/>
        </w:numPr>
        <w:spacing w:before="100" w:beforeAutospacing="1" w:after="100" w:afterAutospacing="1" w:line="240" w:lineRule="auto"/>
        <w:rPr>
          <w:rFonts w:ascii="Times New Roman" w:eastAsia="Times New Roman" w:hAnsi="Times New Roman" w:cs="Times New Roman"/>
          <w:kern w:val="0"/>
          <w:lang w:val="en-GB" w:eastAsia="en-GB"/>
          <w14:ligatures w14:val="none"/>
        </w:rPr>
      </w:pPr>
      <w:r w:rsidRPr="00BF5F72">
        <w:rPr>
          <w:rFonts w:ascii="Times New Roman" w:eastAsia="Times New Roman" w:hAnsi="Times New Roman" w:cs="Times New Roman"/>
          <w:kern w:val="0"/>
          <w:lang w:val="en-GB" w:eastAsia="en-GB"/>
          <w14:ligatures w14:val="none"/>
        </w:rPr>
        <w:t>incident records and the associated per-incident analytical data;</w:t>
      </w:r>
    </w:p>
    <w:p w14:paraId="58187B1B" w14:textId="77777777" w:rsidR="00BF5F72" w:rsidRPr="00BF5F72" w:rsidRDefault="00BF5F72" w:rsidP="00BF5F72">
      <w:pPr>
        <w:numPr>
          <w:ilvl w:val="0"/>
          <w:numId w:val="18"/>
        </w:numPr>
        <w:spacing w:before="100" w:beforeAutospacing="1" w:after="100" w:afterAutospacing="1" w:line="240" w:lineRule="auto"/>
        <w:rPr>
          <w:rFonts w:ascii="Times New Roman" w:eastAsia="Times New Roman" w:hAnsi="Times New Roman" w:cs="Times New Roman"/>
          <w:kern w:val="0"/>
          <w:lang w:val="en-GB" w:eastAsia="en-GB"/>
          <w14:ligatures w14:val="none"/>
        </w:rPr>
      </w:pPr>
      <w:r w:rsidRPr="00BF5F72">
        <w:rPr>
          <w:rFonts w:ascii="Times New Roman" w:eastAsia="Times New Roman" w:hAnsi="Times New Roman" w:cs="Times New Roman"/>
          <w:kern w:val="0"/>
          <w:lang w:val="en-GB" w:eastAsia="en-GB"/>
          <w14:ligatures w14:val="none"/>
        </w:rPr>
        <w:t>identified narratives, classifications, and analytical outputs;</w:t>
      </w:r>
    </w:p>
    <w:p w14:paraId="3E37B29F" w14:textId="77777777" w:rsidR="00BF5F72" w:rsidRPr="00BF5F72" w:rsidRDefault="00BF5F72" w:rsidP="00BF5F72">
      <w:pPr>
        <w:numPr>
          <w:ilvl w:val="0"/>
          <w:numId w:val="18"/>
        </w:numPr>
        <w:spacing w:before="100" w:beforeAutospacing="1" w:after="100" w:afterAutospacing="1" w:line="240" w:lineRule="auto"/>
        <w:rPr>
          <w:rFonts w:ascii="Times New Roman" w:eastAsia="Times New Roman" w:hAnsi="Times New Roman" w:cs="Times New Roman"/>
          <w:kern w:val="0"/>
          <w:lang w:val="en-GB" w:eastAsia="en-GB"/>
          <w14:ligatures w14:val="none"/>
        </w:rPr>
      </w:pPr>
      <w:r w:rsidRPr="00BF5F72">
        <w:rPr>
          <w:rFonts w:ascii="Times New Roman" w:eastAsia="Times New Roman" w:hAnsi="Times New Roman" w:cs="Times New Roman"/>
          <w:kern w:val="0"/>
          <w:lang w:val="en-GB" w:eastAsia="en-GB"/>
          <w14:ligatures w14:val="none"/>
        </w:rPr>
        <w:t>metadata associated with collected and analysed content;</w:t>
      </w:r>
    </w:p>
    <w:p w14:paraId="79CC423E" w14:textId="77777777" w:rsidR="00BF5F72" w:rsidRPr="00BF5F72" w:rsidRDefault="00BF5F72" w:rsidP="00BF5F72">
      <w:pPr>
        <w:numPr>
          <w:ilvl w:val="0"/>
          <w:numId w:val="18"/>
        </w:numPr>
        <w:spacing w:before="100" w:beforeAutospacing="1" w:after="100" w:afterAutospacing="1" w:line="240" w:lineRule="auto"/>
        <w:rPr>
          <w:rFonts w:ascii="Times New Roman" w:eastAsia="Times New Roman" w:hAnsi="Times New Roman" w:cs="Times New Roman"/>
          <w:kern w:val="0"/>
          <w:lang w:val="en-GB" w:eastAsia="en-GB"/>
          <w14:ligatures w14:val="none"/>
        </w:rPr>
      </w:pPr>
      <w:r w:rsidRPr="00BF5F72">
        <w:rPr>
          <w:rFonts w:ascii="Times New Roman" w:eastAsia="Times New Roman" w:hAnsi="Times New Roman" w:cs="Times New Roman"/>
          <w:kern w:val="0"/>
          <w:lang w:val="en-GB" w:eastAsia="en-GB"/>
          <w14:ligatures w14:val="none"/>
        </w:rPr>
        <w:t>analytical reports and exportable report content.</w:t>
      </w:r>
    </w:p>
    <w:p w14:paraId="2C16457A" w14:textId="77777777" w:rsidR="00BF5F72" w:rsidRPr="00BF5F72" w:rsidRDefault="00BF5F72" w:rsidP="00BF5F72">
      <w:pPr>
        <w:spacing w:before="100" w:beforeAutospacing="1" w:after="100" w:afterAutospacing="1" w:line="240" w:lineRule="auto"/>
        <w:rPr>
          <w:rFonts w:ascii="Times New Roman" w:eastAsia="Times New Roman" w:hAnsi="Times New Roman" w:cs="Times New Roman"/>
          <w:kern w:val="0"/>
          <w:lang w:val="en-GB" w:eastAsia="en-GB"/>
          <w14:ligatures w14:val="none"/>
        </w:rPr>
      </w:pPr>
      <w:r w:rsidRPr="00BF5F72">
        <w:rPr>
          <w:rFonts w:ascii="Times New Roman" w:eastAsia="Times New Roman" w:hAnsi="Times New Roman" w:cs="Times New Roman"/>
          <w:kern w:val="0"/>
          <w:lang w:val="en-GB" w:eastAsia="en-GB"/>
          <w14:ligatures w14:val="none"/>
        </w:rPr>
        <w:t>Data shall be exported in open, machine-readable, and non-proprietary formats, for example structured data in CSV, JSON and/or XML formats; documents and reports in PDF and/or standard office formats; and media content in standard file formats.</w:t>
      </w:r>
    </w:p>
    <w:p w14:paraId="3282935F" w14:textId="1D79B22D" w:rsidR="00AC4349" w:rsidRPr="00B22F12" w:rsidRDefault="00AC4349" w:rsidP="00BF5F72">
      <w:pPr>
        <w:rPr>
          <w:lang w:val="en-GB"/>
        </w:rPr>
      </w:pPr>
    </w:p>
    <w:sectPr w:rsidR="00AC4349" w:rsidRPr="00B22F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29CD"/>
    <w:multiLevelType w:val="hybridMultilevel"/>
    <w:tmpl w:val="E3888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A7ED7"/>
    <w:multiLevelType w:val="multilevel"/>
    <w:tmpl w:val="870C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80611"/>
    <w:multiLevelType w:val="hybridMultilevel"/>
    <w:tmpl w:val="6330B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513572"/>
    <w:multiLevelType w:val="multilevel"/>
    <w:tmpl w:val="1B88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B1F95"/>
    <w:multiLevelType w:val="multilevel"/>
    <w:tmpl w:val="B988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D2DF7"/>
    <w:multiLevelType w:val="multilevel"/>
    <w:tmpl w:val="464C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F580B"/>
    <w:multiLevelType w:val="hybridMultilevel"/>
    <w:tmpl w:val="CCDEF47C"/>
    <w:lvl w:ilvl="0" w:tplc="CA361A5E">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7761D8"/>
    <w:multiLevelType w:val="multilevel"/>
    <w:tmpl w:val="AD0C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EE1174"/>
    <w:multiLevelType w:val="multilevel"/>
    <w:tmpl w:val="A9A4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B0214"/>
    <w:multiLevelType w:val="multilevel"/>
    <w:tmpl w:val="AA70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5524CC"/>
    <w:multiLevelType w:val="multilevel"/>
    <w:tmpl w:val="E36E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935F26"/>
    <w:multiLevelType w:val="multilevel"/>
    <w:tmpl w:val="E000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AA3AE9"/>
    <w:multiLevelType w:val="multilevel"/>
    <w:tmpl w:val="7120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056777"/>
    <w:multiLevelType w:val="multilevel"/>
    <w:tmpl w:val="FB94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0A20DA"/>
    <w:multiLevelType w:val="multilevel"/>
    <w:tmpl w:val="1D1E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486D74"/>
    <w:multiLevelType w:val="multilevel"/>
    <w:tmpl w:val="86A4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4C096B"/>
    <w:multiLevelType w:val="hybridMultilevel"/>
    <w:tmpl w:val="D8D87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4A47F4C"/>
    <w:multiLevelType w:val="hybridMultilevel"/>
    <w:tmpl w:val="DB98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630040"/>
    <w:multiLevelType w:val="multilevel"/>
    <w:tmpl w:val="7072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675575">
    <w:abstractNumId w:val="18"/>
  </w:num>
  <w:num w:numId="2" w16cid:durableId="848369187">
    <w:abstractNumId w:val="4"/>
  </w:num>
  <w:num w:numId="3" w16cid:durableId="603684314">
    <w:abstractNumId w:val="6"/>
  </w:num>
  <w:num w:numId="4" w16cid:durableId="346905156">
    <w:abstractNumId w:val="14"/>
  </w:num>
  <w:num w:numId="5" w16cid:durableId="548306024">
    <w:abstractNumId w:val="3"/>
  </w:num>
  <w:num w:numId="6" w16cid:durableId="1400325974">
    <w:abstractNumId w:val="1"/>
  </w:num>
  <w:num w:numId="7" w16cid:durableId="1620254793">
    <w:abstractNumId w:val="9"/>
  </w:num>
  <w:num w:numId="8" w16cid:durableId="1613632759">
    <w:abstractNumId w:val="13"/>
  </w:num>
  <w:num w:numId="9" w16cid:durableId="1565488910">
    <w:abstractNumId w:val="10"/>
  </w:num>
  <w:num w:numId="10" w16cid:durableId="776364542">
    <w:abstractNumId w:val="11"/>
  </w:num>
  <w:num w:numId="11" w16cid:durableId="1002313438">
    <w:abstractNumId w:val="15"/>
  </w:num>
  <w:num w:numId="12" w16cid:durableId="861240319">
    <w:abstractNumId w:val="12"/>
  </w:num>
  <w:num w:numId="13" w16cid:durableId="376853118">
    <w:abstractNumId w:val="17"/>
  </w:num>
  <w:num w:numId="14" w16cid:durableId="1610310301">
    <w:abstractNumId w:val="8"/>
  </w:num>
  <w:num w:numId="15" w16cid:durableId="907886559">
    <w:abstractNumId w:val="2"/>
  </w:num>
  <w:num w:numId="16" w16cid:durableId="1808743146">
    <w:abstractNumId w:val="5"/>
  </w:num>
  <w:num w:numId="17" w16cid:durableId="89277550">
    <w:abstractNumId w:val="16"/>
  </w:num>
  <w:num w:numId="18" w16cid:durableId="332731464">
    <w:abstractNumId w:val="7"/>
  </w:num>
  <w:num w:numId="19" w16cid:durableId="150065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49"/>
    <w:rsid w:val="0002144F"/>
    <w:rsid w:val="00066263"/>
    <w:rsid w:val="000F02E3"/>
    <w:rsid w:val="001B412A"/>
    <w:rsid w:val="001D5402"/>
    <w:rsid w:val="002B2633"/>
    <w:rsid w:val="002C4456"/>
    <w:rsid w:val="00332CB6"/>
    <w:rsid w:val="00364888"/>
    <w:rsid w:val="003E6B08"/>
    <w:rsid w:val="00416DAF"/>
    <w:rsid w:val="00431ED4"/>
    <w:rsid w:val="004D250F"/>
    <w:rsid w:val="00531205"/>
    <w:rsid w:val="005D0A89"/>
    <w:rsid w:val="00643E38"/>
    <w:rsid w:val="00696811"/>
    <w:rsid w:val="00721597"/>
    <w:rsid w:val="00730B3B"/>
    <w:rsid w:val="007763C6"/>
    <w:rsid w:val="007A3EA9"/>
    <w:rsid w:val="00803AA1"/>
    <w:rsid w:val="00815BF3"/>
    <w:rsid w:val="00891B17"/>
    <w:rsid w:val="009865C3"/>
    <w:rsid w:val="009E7DAA"/>
    <w:rsid w:val="00A352AA"/>
    <w:rsid w:val="00AA0220"/>
    <w:rsid w:val="00AB5FE9"/>
    <w:rsid w:val="00AC4349"/>
    <w:rsid w:val="00AD2669"/>
    <w:rsid w:val="00B124D0"/>
    <w:rsid w:val="00B22F12"/>
    <w:rsid w:val="00B43923"/>
    <w:rsid w:val="00BF5F72"/>
    <w:rsid w:val="00C94B6D"/>
    <w:rsid w:val="00D02A30"/>
    <w:rsid w:val="00D20B9B"/>
    <w:rsid w:val="00D90A5E"/>
    <w:rsid w:val="00E04BBA"/>
    <w:rsid w:val="00E07638"/>
    <w:rsid w:val="00EF2DA1"/>
    <w:rsid w:val="00F95272"/>
    <w:rsid w:val="00FC3C65"/>
    <w:rsid w:val="00FE00C4"/>
    <w:rsid w:val="17E80FBF"/>
    <w:rsid w:val="228EF246"/>
    <w:rsid w:val="3AC5EBA1"/>
    <w:rsid w:val="3D6DC8C7"/>
    <w:rsid w:val="410095C8"/>
    <w:rsid w:val="43D02998"/>
    <w:rsid w:val="5EBCB186"/>
    <w:rsid w:val="71F5B5E4"/>
    <w:rsid w:val="724480F1"/>
    <w:rsid w:val="788344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A588"/>
  <w15:chartTrackingRefBased/>
  <w15:docId w15:val="{A09B17CC-ED4B-4558-8059-5D0E312B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3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3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3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3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3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3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349"/>
    <w:rPr>
      <w:rFonts w:eastAsiaTheme="majorEastAsia" w:cstheme="majorBidi"/>
      <w:color w:val="272727" w:themeColor="text1" w:themeTint="D8"/>
    </w:rPr>
  </w:style>
  <w:style w:type="paragraph" w:styleId="Title">
    <w:name w:val="Title"/>
    <w:basedOn w:val="Normal"/>
    <w:next w:val="Normal"/>
    <w:link w:val="TitleChar"/>
    <w:uiPriority w:val="10"/>
    <w:qFormat/>
    <w:rsid w:val="00AC4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349"/>
    <w:pPr>
      <w:spacing w:before="160"/>
      <w:jc w:val="center"/>
    </w:pPr>
    <w:rPr>
      <w:i/>
      <w:iCs/>
      <w:color w:val="404040" w:themeColor="text1" w:themeTint="BF"/>
    </w:rPr>
  </w:style>
  <w:style w:type="character" w:customStyle="1" w:styleId="QuoteChar">
    <w:name w:val="Quote Char"/>
    <w:basedOn w:val="DefaultParagraphFont"/>
    <w:link w:val="Quote"/>
    <w:uiPriority w:val="29"/>
    <w:rsid w:val="00AC4349"/>
    <w:rPr>
      <w:i/>
      <w:iCs/>
      <w:color w:val="404040" w:themeColor="text1" w:themeTint="BF"/>
    </w:rPr>
  </w:style>
  <w:style w:type="paragraph" w:styleId="ListParagraph">
    <w:name w:val="List Paragraph"/>
    <w:basedOn w:val="Normal"/>
    <w:uiPriority w:val="34"/>
    <w:qFormat/>
    <w:rsid w:val="00AC4349"/>
    <w:pPr>
      <w:ind w:left="720"/>
      <w:contextualSpacing/>
    </w:pPr>
  </w:style>
  <w:style w:type="character" w:styleId="IntenseEmphasis">
    <w:name w:val="Intense Emphasis"/>
    <w:basedOn w:val="DefaultParagraphFont"/>
    <w:uiPriority w:val="21"/>
    <w:qFormat/>
    <w:rsid w:val="00AC4349"/>
    <w:rPr>
      <w:i/>
      <w:iCs/>
      <w:color w:val="0F4761" w:themeColor="accent1" w:themeShade="BF"/>
    </w:rPr>
  </w:style>
  <w:style w:type="paragraph" w:styleId="IntenseQuote">
    <w:name w:val="Intense Quote"/>
    <w:basedOn w:val="Normal"/>
    <w:next w:val="Normal"/>
    <w:link w:val="IntenseQuoteChar"/>
    <w:uiPriority w:val="30"/>
    <w:qFormat/>
    <w:rsid w:val="00AC4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349"/>
    <w:rPr>
      <w:i/>
      <w:iCs/>
      <w:color w:val="0F4761" w:themeColor="accent1" w:themeShade="BF"/>
    </w:rPr>
  </w:style>
  <w:style w:type="character" w:styleId="IntenseReference">
    <w:name w:val="Intense Reference"/>
    <w:basedOn w:val="DefaultParagraphFont"/>
    <w:uiPriority w:val="32"/>
    <w:qFormat/>
    <w:rsid w:val="00AC4349"/>
    <w:rPr>
      <w:b/>
      <w:bCs/>
      <w:smallCaps/>
      <w:color w:val="0F4761" w:themeColor="accent1" w:themeShade="BF"/>
      <w:spacing w:val="5"/>
    </w:rPr>
  </w:style>
  <w:style w:type="character" w:styleId="Hyperlink">
    <w:name w:val="Hyperlink"/>
    <w:basedOn w:val="DefaultParagraphFont"/>
    <w:uiPriority w:val="99"/>
    <w:unhideWhenUsed/>
    <w:rsid w:val="00AC4349"/>
    <w:rPr>
      <w:color w:val="467886" w:themeColor="hyperlink"/>
      <w:u w:val="single"/>
    </w:rPr>
  </w:style>
  <w:style w:type="character" w:styleId="UnresolvedMention">
    <w:name w:val="Unresolved Mention"/>
    <w:basedOn w:val="DefaultParagraphFont"/>
    <w:uiPriority w:val="99"/>
    <w:semiHidden/>
    <w:unhideWhenUsed/>
    <w:rsid w:val="00AC4349"/>
    <w:rPr>
      <w:color w:val="605E5C"/>
      <w:shd w:val="clear" w:color="auto" w:fill="E1DFDD"/>
    </w:rPr>
  </w:style>
  <w:style w:type="paragraph" w:customStyle="1" w:styleId="isselectedend">
    <w:name w:val="isselectedend"/>
    <w:basedOn w:val="Normal"/>
    <w:rsid w:val="00364888"/>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sid w:val="00364888"/>
    <w:rPr>
      <w:b/>
      <w:bCs/>
    </w:rPr>
  </w:style>
  <w:style w:type="paragraph" w:styleId="NormalWeb">
    <w:name w:val="Normal (Web)"/>
    <w:basedOn w:val="Normal"/>
    <w:uiPriority w:val="99"/>
    <w:semiHidden/>
    <w:unhideWhenUsed/>
    <w:rsid w:val="00066263"/>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4B0FC-253A-4D69-BCBE-C5953009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Neimanis</dc:creator>
  <cp:keywords/>
  <dc:description/>
  <cp:lastModifiedBy>Vita Aleksandra Vasila</cp:lastModifiedBy>
  <cp:revision>39</cp:revision>
  <dcterms:created xsi:type="dcterms:W3CDTF">2026-06-30T06:19:00Z</dcterms:created>
  <dcterms:modified xsi:type="dcterms:W3CDTF">2026-07-03T05:39:00Z</dcterms:modified>
</cp:coreProperties>
</file>