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
        <w:tblW w:w="0" w:type="auto"/>
        <w:tblLook w:val="0000" w:firstRow="0" w:lastRow="0" w:firstColumn="0" w:lastColumn="0" w:noHBand="0" w:noVBand="0"/>
      </w:tblPr>
      <w:tblGrid>
        <w:gridCol w:w="675"/>
        <w:gridCol w:w="1877"/>
        <w:gridCol w:w="709"/>
        <w:gridCol w:w="2693"/>
      </w:tblGrid>
      <w:tr w:rsidRPr="00D570AB" w:rsidR="000A4077" w:rsidTr="000A4077" w14:paraId="14877078" w14:textId="77777777">
        <w:tc>
          <w:tcPr>
            <w:tcW w:w="675" w:type="dxa"/>
            <w:tcBorders>
              <w:top w:val="nil"/>
              <w:left w:val="nil"/>
              <w:bottom w:val="nil"/>
              <w:right w:val="nil"/>
            </w:tcBorders>
          </w:tcPr>
          <w:p w:rsidRPr="00D570AB" w:rsidR="000A4077" w:rsidP="000A4077" w:rsidRDefault="000A4077" w14:paraId="7D1F3C20" w14:textId="77777777">
            <w:pPr>
              <w:tabs>
                <w:tab w:val="left" w:pos="360"/>
              </w:tabs>
              <w:autoSpaceDE w:val="0"/>
              <w:autoSpaceDN w:val="0"/>
              <w:adjustRightInd w:val="0"/>
              <w:jc w:val="left"/>
              <w:rPr>
                <w:rFonts w:eastAsia="Times New Roman" w:cs="Times New Roman"/>
                <w:iCs/>
                <w:szCs w:val="20"/>
              </w:rPr>
            </w:pPr>
            <w:bookmarkStart w:name="_Hlk27492980" w:id="0"/>
            <w:r w:rsidRPr="00D570AB">
              <w:rPr>
                <w:rFonts w:eastAsia="Times New Roman" w:cs="Times New Roman"/>
                <w:iCs/>
                <w:szCs w:val="20"/>
              </w:rPr>
              <w:t>Rīgā</w:t>
            </w:r>
          </w:p>
        </w:tc>
        <w:tc>
          <w:tcPr>
            <w:tcW w:w="1877" w:type="dxa"/>
            <w:tcBorders>
              <w:top w:val="nil"/>
              <w:left w:val="nil"/>
              <w:bottom w:val="single" w:color="auto" w:sz="4" w:space="0"/>
              <w:right w:val="nil"/>
            </w:tcBorders>
          </w:tcPr>
          <w:p w:rsidRPr="00D570AB" w:rsidR="000A4077" w:rsidP="000A4077" w:rsidRDefault="000A4077" w14:paraId="32529355" w14:textId="77777777">
            <w:pPr>
              <w:tabs>
                <w:tab w:val="left" w:pos="3960"/>
              </w:tabs>
              <w:autoSpaceDE w:val="0"/>
              <w:autoSpaceDN w:val="0"/>
              <w:adjustRightInd w:val="0"/>
              <w:jc w:val="left"/>
              <w:rPr>
                <w:rFonts w:eastAsia="Times New Roman" w:cs="Times New Roman"/>
                <w:iCs/>
                <w:szCs w:val="24"/>
              </w:rPr>
            </w:pPr>
            <w:r w:rsidRPr="00D570AB">
              <w:rPr>
                <w:rFonts w:eastAsia="Times New Roman" w:cs="Times New Roman"/>
                <w:iCs/>
                <w:szCs w:val="24"/>
              </w:rPr>
              <w:fldChar w:fldCharType="begin">
                <w:ffData>
                  <w:name w:val="reg_dat"/>
                  <w:enabled/>
                  <w:calcOnExit w:val="0"/>
                  <w:textInput>
                    <w:default w:val="                      "/>
                  </w:textInput>
                </w:ffData>
              </w:fldChar>
            </w:r>
            <w:bookmarkStart w:name="reg_dat" w:id="1"/>
            <w:r>
              <w:rPr>
                <w:rFonts w:eastAsia="Times New Roman" w:cs="Times New Roman"/>
                <w:iCs/>
                <w:szCs w:val="24"/>
              </w:rPr>
              <w:t>09.07.2026.</w:t>
            </w:r>
            <w:bookmarkEnd w:id="1"/>
          </w:p>
        </w:tc>
        <w:tc>
          <w:tcPr>
            <w:tcW w:w="709" w:type="dxa"/>
            <w:tcBorders>
              <w:top w:val="nil"/>
              <w:left w:val="nil"/>
              <w:bottom w:val="nil"/>
              <w:right w:val="nil"/>
            </w:tcBorders>
          </w:tcPr>
          <w:p w:rsidRPr="00D570AB" w:rsidR="000A4077" w:rsidP="000A4077" w:rsidRDefault="000A4077" w14:paraId="24EAF986" w14:textId="77777777">
            <w:pPr>
              <w:tabs>
                <w:tab w:val="left" w:pos="360"/>
                <w:tab w:val="left" w:pos="3960"/>
              </w:tabs>
              <w:autoSpaceDE w:val="0"/>
              <w:autoSpaceDN w:val="0"/>
              <w:adjustRightInd w:val="0"/>
              <w:jc w:val="right"/>
              <w:rPr>
                <w:rFonts w:eastAsia="Times New Roman" w:cs="Times New Roman"/>
                <w:iCs/>
                <w:szCs w:val="24"/>
              </w:rPr>
            </w:pPr>
            <w:r w:rsidRPr="00D570AB">
              <w:rPr>
                <w:rFonts w:eastAsia="Times New Roman" w:cs="Times New Roman"/>
                <w:iCs/>
                <w:szCs w:val="24"/>
              </w:rPr>
              <w:t>Nr.</w:t>
            </w:r>
          </w:p>
        </w:tc>
        <w:tc>
          <w:tcPr>
            <w:tcW w:w="2693" w:type="dxa"/>
            <w:tcBorders>
              <w:top w:val="nil"/>
              <w:left w:val="nil"/>
              <w:bottom w:val="single" w:color="auto" w:sz="4" w:space="0"/>
              <w:right w:val="nil"/>
            </w:tcBorders>
          </w:tcPr>
          <w:p w:rsidRPr="00D570AB" w:rsidR="000A4077" w:rsidP="000A4077" w:rsidRDefault="000A4077" w14:paraId="657354C2" w14:textId="77777777">
            <w:pPr>
              <w:tabs>
                <w:tab w:val="left" w:pos="360"/>
                <w:tab w:val="left" w:pos="3960"/>
              </w:tabs>
              <w:autoSpaceDE w:val="0"/>
              <w:autoSpaceDN w:val="0"/>
              <w:adjustRightInd w:val="0"/>
              <w:ind w:right="37"/>
              <w:jc w:val="left"/>
              <w:rPr>
                <w:rFonts w:eastAsia="Times New Roman" w:cs="Times New Roman"/>
                <w:iCs/>
                <w:szCs w:val="24"/>
              </w:rPr>
            </w:pPr>
            <w:r>
              <w:rPr>
                <w:rFonts w:eastAsia="Times New Roman" w:cs="Times New Roman"/>
                <w:iCs/>
                <w:szCs w:val="24"/>
              </w:rPr>
              <w:t>3.1.1</w:t>
            </w:r>
            <w:r w:rsidRPr="00D570AB">
              <w:rPr>
                <w:rFonts w:eastAsia="Times New Roman" w:cs="Times New Roman"/>
                <w:iCs/>
                <w:szCs w:val="24"/>
              </w:rPr>
              <w:t xml:space="preserve"> / </w:t>
            </w:r>
            <w:r w:rsidRPr="00D570AB">
              <w:rPr>
                <w:rFonts w:eastAsia="Times New Roman" w:cs="Times New Roman"/>
                <w:iCs/>
                <w:szCs w:val="24"/>
              </w:rPr>
              <w:fldChar w:fldCharType="begin">
                <w:ffData>
                  <w:name w:val="reg_num"/>
                  <w:enabled/>
                  <w:calcOnExit w:val="0"/>
                  <w:textInput>
                    <w:default w:val="            "/>
                  </w:textInput>
                </w:ffData>
              </w:fldChar>
            </w:r>
            <w:bookmarkStart w:name="reg_num" w:id="2"/>
            <w:r>
              <w:rPr>
                <w:rFonts w:eastAsia="Times New Roman" w:cs="Times New Roman"/>
                <w:iCs/>
                <w:szCs w:val="24"/>
              </w:rPr>
              <w:t>11160</w:t>
            </w:r>
            <w:bookmarkEnd w:id="2"/>
          </w:p>
        </w:tc>
      </w:tr>
    </w:tbl>
    <w:p w:rsidRPr="00D570AB" w:rsidR="000A4077" w:rsidP="000A4077" w:rsidRDefault="000A4077" w14:paraId="3237A5EC" w14:textId="77777777">
      <w:pPr>
        <w:widowControl w:val="0"/>
        <w:tabs>
          <w:tab w:val="left" w:leader="underscore" w:pos="3326"/>
        </w:tabs>
        <w:autoSpaceDE w:val="0"/>
        <w:autoSpaceDN w:val="0"/>
        <w:adjustRightInd w:val="0"/>
        <w:spacing w:before="120" w:after="240"/>
        <w:ind w:left="1620" w:firstLine="540"/>
        <w:jc w:val="left"/>
        <w:rPr>
          <w:rFonts w:eastAsia="Times New Roman" w:cs="Times New Roman"/>
          <w:szCs w:val="20"/>
        </w:rPr>
      </w:pPr>
      <w:bookmarkStart w:name="_Hlk27492959" w:id="3"/>
    </w:p>
    <w:p w:rsidRPr="00057E3A" w:rsidR="0084452C" w:rsidP="0084452C" w:rsidRDefault="0084452C" w14:paraId="6B436B90" w14:textId="77777777">
      <w:pPr>
        <w:tabs>
          <w:tab w:val="left" w:pos="-7230"/>
          <w:tab w:val="left" w:pos="-709"/>
        </w:tabs>
        <w:ind w:left="6946" w:right="-283"/>
        <w:rPr>
          <w:b/>
          <w:bCs/>
        </w:rPr>
      </w:pPr>
      <w:r w:rsidRPr="00057E3A">
        <w:rPr>
          <w:b/>
          <w:bCs/>
        </w:rPr>
        <w:t>Iepirkuma LVC 2026/49/AC</w:t>
      </w:r>
    </w:p>
    <w:p w:rsidRPr="00057E3A" w:rsidR="0084452C" w:rsidP="0084452C" w:rsidRDefault="0084452C" w14:paraId="1482632F" w14:textId="77777777">
      <w:pPr>
        <w:tabs>
          <w:tab w:val="left" w:pos="-7230"/>
          <w:tab w:val="left" w:pos="-709"/>
        </w:tabs>
        <w:ind w:left="6946" w:right="-283"/>
        <w:rPr>
          <w:b/>
          <w:bCs/>
        </w:rPr>
      </w:pPr>
      <w:r w:rsidRPr="00057E3A">
        <w:rPr>
          <w:b/>
          <w:bCs/>
        </w:rPr>
        <w:t>piegādātājiem</w:t>
      </w:r>
    </w:p>
    <w:p w:rsidRPr="00057E3A" w:rsidR="0084452C" w:rsidP="0084452C" w:rsidRDefault="0084452C" w14:paraId="6923BCE4" w14:textId="77777777">
      <w:pPr>
        <w:widowControl w:val="0"/>
        <w:autoSpaceDE w:val="0"/>
        <w:autoSpaceDN w:val="0"/>
        <w:adjustRightInd w:val="0"/>
      </w:pPr>
    </w:p>
    <w:p w:rsidRPr="00057E3A" w:rsidR="0084452C" w:rsidP="0084452C" w:rsidRDefault="0084452C" w14:paraId="1B126739" w14:textId="77777777">
      <w:pPr>
        <w:widowControl w:val="0"/>
        <w:autoSpaceDE w:val="0"/>
        <w:autoSpaceDN w:val="0"/>
        <w:adjustRightInd w:val="0"/>
      </w:pPr>
    </w:p>
    <w:p w:rsidRPr="00057E3A" w:rsidR="0084452C" w:rsidP="0084452C" w:rsidRDefault="0084452C" w14:paraId="2C0EBADE" w14:textId="77777777">
      <w:pPr>
        <w:widowControl w:val="0"/>
        <w:autoSpaceDE w:val="0"/>
        <w:autoSpaceDN w:val="0"/>
        <w:adjustRightInd w:val="0"/>
      </w:pPr>
      <w:r w:rsidRPr="00057E3A">
        <w:t>Par iepirkuma LVC 2026/49/AC nolikumu</w:t>
      </w:r>
    </w:p>
    <w:p w:rsidRPr="00057E3A" w:rsidR="0084452C" w:rsidP="0084452C" w:rsidRDefault="0084452C" w14:paraId="4C23A33A" w14:textId="77777777">
      <w:pPr>
        <w:widowControl w:val="0"/>
        <w:autoSpaceDE w:val="0"/>
        <w:autoSpaceDN w:val="0"/>
        <w:adjustRightInd w:val="0"/>
      </w:pPr>
      <w:r w:rsidRPr="00057E3A">
        <w:t>“</w:t>
      </w:r>
      <w:r w:rsidRPr="00057E3A">
        <w:rPr>
          <w:bCs/>
        </w:rPr>
        <w:t>Valsts autoceļu ikdienas uzturēšanas darbi 2027.-2032. gadā Liepājas, Cēsu, Madonas un Gulbenes, Alūksnes un Smiltenes teritorijās (4 līgumi)</w:t>
      </w:r>
      <w:r w:rsidRPr="00057E3A">
        <w:t xml:space="preserve">“  </w:t>
      </w:r>
    </w:p>
    <w:p w:rsidRPr="00057E3A" w:rsidR="0084452C" w:rsidP="0084452C" w:rsidRDefault="0084452C" w14:paraId="0E39B3FA" w14:textId="77777777">
      <w:pPr>
        <w:widowControl w:val="0"/>
        <w:autoSpaceDE w:val="0"/>
        <w:autoSpaceDN w:val="0"/>
        <w:adjustRightInd w:val="0"/>
        <w:rPr>
          <w:u w:val="single"/>
        </w:rPr>
      </w:pPr>
    </w:p>
    <w:p w:rsidRPr="00057E3A" w:rsidR="0084452C" w:rsidP="0084452C" w:rsidRDefault="0084452C" w14:paraId="56BA315F" w14:textId="77777777">
      <w:pPr>
        <w:widowControl w:val="0"/>
        <w:autoSpaceDE w:val="0"/>
        <w:autoSpaceDN w:val="0"/>
        <w:adjustRightInd w:val="0"/>
        <w:rPr>
          <w:u w:val="single"/>
        </w:rPr>
      </w:pPr>
    </w:p>
    <w:p w:rsidRPr="00057E3A" w:rsidR="0084452C" w:rsidP="0084452C" w:rsidRDefault="0084452C" w14:paraId="4004E227" w14:textId="77777777">
      <w:pPr>
        <w:tabs>
          <w:tab w:val="left" w:pos="-7230"/>
          <w:tab w:val="left" w:pos="-709"/>
        </w:tabs>
        <w:ind w:right="-666"/>
        <w:rPr>
          <w:u w:val="single"/>
        </w:rPr>
      </w:pPr>
      <w:r w:rsidRPr="00057E3A">
        <w:rPr>
          <w:u w:val="single"/>
        </w:rPr>
        <w:t>Jautājums Nr. 2</w:t>
      </w:r>
    </w:p>
    <w:p w:rsidRPr="00057E3A" w:rsidR="0084452C" w:rsidP="0084452C" w:rsidRDefault="0084452C" w14:paraId="1664C770" w14:textId="77777777">
      <w:pPr>
        <w:tabs>
          <w:tab w:val="left" w:pos="1365"/>
        </w:tabs>
        <w:spacing w:before="120"/>
      </w:pPr>
      <w:r w:rsidRPr="00057E3A">
        <w:t>Nolikuma 15.2. punkts paredz, ka:</w:t>
      </w:r>
    </w:p>
    <w:p w:rsidRPr="00057E3A" w:rsidR="0084452C" w:rsidP="0084452C" w:rsidRDefault="0084452C" w14:paraId="3343E24A" w14:textId="77777777">
      <w:pPr>
        <w:tabs>
          <w:tab w:val="left" w:pos="1365"/>
        </w:tabs>
        <w:spacing w:after="120"/>
      </w:pPr>
      <w:r w:rsidRPr="00057E3A">
        <w:t>“</w:t>
      </w:r>
      <w:r w:rsidRPr="00057E3A">
        <w:rPr>
          <w:i/>
          <w:iCs/>
        </w:rPr>
        <w:t>15.2. Ja Pretendents iesniedzis piedāvājuma nodrošinājumu, bet nodrošinājuma termiņš, apmērs vai noteikumi neatbilst iepirkuma procedūras dokumentos noteiktajām prasībām, Pasūtītājs aicina Pretendentu 5 (piecu) darbdienu laikā iesniegt atbilstošu piedāvājuma nodrošinājumu. Ja neatbilstība nav novērsta minētajā termiņā, iepirkuma komisija noraida piedāvājumu.</w:t>
      </w:r>
      <w:r w:rsidRPr="00057E3A">
        <w:t>”</w:t>
      </w:r>
    </w:p>
    <w:p w:rsidRPr="00057E3A" w:rsidR="0084452C" w:rsidP="0084452C" w:rsidRDefault="0084452C" w14:paraId="4E4CF91D" w14:textId="77777777">
      <w:pPr>
        <w:tabs>
          <w:tab w:val="left" w:pos="1365"/>
        </w:tabs>
      </w:pPr>
      <w:r w:rsidRPr="00057E3A">
        <w:t>Ņemot vērā Nolikuma 15.2. punkta formulējumu, lūdzam pasūtītāju skaidrot, vai:</w:t>
      </w:r>
    </w:p>
    <w:p w:rsidRPr="00057E3A" w:rsidR="0084452C" w:rsidP="0084452C" w:rsidRDefault="0084452C" w14:paraId="79FDAB44" w14:textId="77777777">
      <w:pPr>
        <w:pStyle w:val="ListParagraph"/>
        <w:numPr>
          <w:ilvl w:val="0"/>
          <w:numId w:val="1"/>
        </w:numPr>
        <w:tabs>
          <w:tab w:val="left" w:pos="1365"/>
        </w:tabs>
        <w:spacing w:before="120" w:after="0" w:line="276" w:lineRule="auto"/>
        <w:ind w:left="714" w:hanging="357"/>
        <w:contextualSpacing w:val="0"/>
        <w:jc w:val="both"/>
        <w:rPr>
          <w:rFonts w:ascii="Times New Roman" w:hAnsi="Times New Roman" w:eastAsia="Times New Roman" w:cs="Times New Roman"/>
          <w:sz w:val="24"/>
          <w:szCs w:val="24"/>
        </w:rPr>
      </w:pPr>
      <w:r w:rsidRPr="00057E3A">
        <w:rPr>
          <w:rFonts w:ascii="Times New Roman" w:hAnsi="Times New Roman" w:eastAsia="Times New Roman" w:cs="Times New Roman"/>
          <w:sz w:val="24"/>
          <w:szCs w:val="24"/>
        </w:rPr>
        <w:t>Komisija lūgs iesniegt atbilstošu piedāvājuma nodrošinājumu, ja piedāvājuma nodrošinājums nebūs iesniegts kā tāds iesniedzot piedāvājumu;</w:t>
      </w:r>
    </w:p>
    <w:p w:rsidRPr="00057E3A" w:rsidR="0084452C" w:rsidP="0084452C" w:rsidRDefault="0084452C" w14:paraId="13A058D3" w14:textId="77777777">
      <w:pPr>
        <w:numPr>
          <w:ilvl w:val="0"/>
          <w:numId w:val="1"/>
        </w:numPr>
        <w:tabs>
          <w:tab w:val="left" w:pos="1365"/>
        </w:tabs>
      </w:pPr>
      <w:r w:rsidRPr="00057E3A">
        <w:t>Komisija lūgs iesniegt atbilstošu piedāvājuma nodrošinājumu, ja piedāvājuma nodrošinājums būs iesniegts par 1 EUR;</w:t>
      </w:r>
    </w:p>
    <w:p w:rsidRPr="00057E3A" w:rsidR="0084452C" w:rsidP="0084452C" w:rsidRDefault="0084452C" w14:paraId="097C59B8" w14:textId="77777777">
      <w:pPr>
        <w:numPr>
          <w:ilvl w:val="0"/>
          <w:numId w:val="1"/>
        </w:numPr>
        <w:tabs>
          <w:tab w:val="left" w:pos="1365"/>
        </w:tabs>
        <w:spacing w:after="120"/>
        <w:ind w:left="714" w:hanging="357"/>
      </w:pPr>
      <w:r w:rsidRPr="00057E3A">
        <w:t>Komisija lūgs iesniegt atbilstošu piedāvājuma nodrošinājumu, ja piedāvājuma nodrošinājums būs iesniegts par 1 darba dienu un zaudēs spēku vēl pirms precizēta piedāvājuma nodrošinājuma pieprasīšanas?</w:t>
      </w:r>
    </w:p>
    <w:p w:rsidRPr="00057E3A" w:rsidR="0084452C" w:rsidP="0084452C" w:rsidRDefault="0084452C" w14:paraId="028A8AC4" w14:textId="77777777">
      <w:pPr>
        <w:tabs>
          <w:tab w:val="left" w:pos="1365"/>
        </w:tabs>
        <w:spacing w:after="120"/>
      </w:pPr>
      <w:r w:rsidRPr="00057E3A">
        <w:t>Ņemot vērā, ka Publisko iepirkumu likuma 50. panta ar 5.' daļa nodrošinājuma precizējumu paredz kā pasūtītāja tiesību nevis pienākumu (attiecīgi pasūtītājam ir tiesības lemt vai prasa precizēt, un kādos gadījumos prasa precizēt), aicinām komisiju tomēr izvērtēt nolikuma 15.2.punkta tvērumu, atsakoties no summas precizēšanas (jo nolikumā jau precīzi ir noteiktas nodrošinājuma summas un pretendentam nav nepieciešams veikt aprēķinus, kuros tas varētu kļūdīties), kā arī aicinām tomēr paredzēt, ka termiņa precizēšana ir pieļaujama tikai tad, ja sākotnēji iesniegtā piedāvājuma nodrošinājums ir spēkā vismaz, piemēram, 80% no piedāvājuma derīguma termiņa (tādā veidā izvairoties no situācijām, kad pēc piedāvājumu iesniegšanas un atvēršanas pretendentam pastāv iespēja atteikties no piedāvājuma nezaudējot piedāvājuma nodrošinājumu).</w:t>
      </w:r>
    </w:p>
    <w:p w:rsidRPr="00057E3A" w:rsidR="0084452C" w:rsidP="0084452C" w:rsidRDefault="0084452C" w14:paraId="17FA270B" w14:textId="77777777">
      <w:pPr>
        <w:tabs>
          <w:tab w:val="left" w:pos="-7230"/>
          <w:tab w:val="left" w:pos="-709"/>
        </w:tabs>
        <w:ind w:right="-283"/>
        <w:rPr>
          <w:u w:val="single"/>
        </w:rPr>
      </w:pPr>
      <w:r w:rsidRPr="00057E3A">
        <w:rPr>
          <w:u w:val="single"/>
        </w:rPr>
        <w:t>Atbilde uz jautājumu Nr. 2</w:t>
      </w:r>
    </w:p>
    <w:p w:rsidRPr="00057E3A" w:rsidR="0084452C" w:rsidP="0084452C" w:rsidRDefault="0084452C" w14:paraId="72B8A06B" w14:textId="77777777">
      <w:pPr>
        <w:tabs>
          <w:tab w:val="left" w:pos="1365"/>
        </w:tabs>
        <w:spacing w:before="120" w:after="120"/>
      </w:pPr>
      <w:r w:rsidRPr="00057E3A">
        <w:t>Saskaņā ar Publisko iepirkumu likuma 50. panta 5</w:t>
      </w:r>
      <w:r w:rsidRPr="00057E3A">
        <w:rPr>
          <w:vertAlign w:val="superscript"/>
        </w:rPr>
        <w:t>1</w:t>
      </w:r>
      <w:r w:rsidRPr="00057E3A">
        <w:t xml:space="preserve">. daļu, Pasūtītājam ir tiesības dot iespēju pretendentam precizēt piedāvājuma nodrošinājumu, ja piedāvājuma nodrošinājums ir iesniegts, bet tā termiņš, apmērs vai noteikumi neatbilst iepirkuma procedūras dokumentos noteiktajām prasībām. </w:t>
      </w:r>
    </w:p>
    <w:p w:rsidRPr="00057E3A" w:rsidR="0084452C" w:rsidP="0084452C" w:rsidRDefault="0084452C" w14:paraId="2FEF2E65" w14:textId="77777777">
      <w:pPr>
        <w:tabs>
          <w:tab w:val="left" w:pos="1365"/>
        </w:tabs>
      </w:pPr>
      <w:r w:rsidRPr="00057E3A">
        <w:t>Lai nodrošinātu vienlīdzīgas attieksmes principa ievērošanu pret visiem pretendentiem, Pasūtītājs nolikuma 15.2. punktā ir izmantojis šīs tiesības, nenosakot papildus kritērijus gadījumiem, kad iesniegto piedāvājuma nodrošinājumu var precizēt.</w:t>
      </w:r>
    </w:p>
    <w:p w:rsidRPr="00057E3A" w:rsidR="0084452C" w:rsidP="0084452C" w:rsidRDefault="0084452C" w14:paraId="05D3A68C" w14:textId="77777777">
      <w:pPr>
        <w:tabs>
          <w:tab w:val="left" w:pos="-7230"/>
          <w:tab w:val="left" w:pos="-709"/>
        </w:tabs>
        <w:ind w:right="-663"/>
        <w:rPr>
          <w:u w:val="single"/>
        </w:rPr>
      </w:pPr>
    </w:p>
    <w:p w:rsidR="0084452C" w:rsidP="0084452C" w:rsidRDefault="0084452C" w14:paraId="625910E1" w14:textId="77777777">
      <w:pPr>
        <w:tabs>
          <w:tab w:val="left" w:pos="-7230"/>
          <w:tab w:val="left" w:pos="-709"/>
        </w:tabs>
        <w:ind w:right="-666"/>
        <w:rPr>
          <w:u w:val="single"/>
        </w:rPr>
      </w:pPr>
    </w:p>
    <w:p w:rsidR="0084452C" w:rsidP="0084452C" w:rsidRDefault="0084452C" w14:paraId="4F95E250" w14:textId="77777777">
      <w:pPr>
        <w:tabs>
          <w:tab w:val="left" w:pos="-7230"/>
          <w:tab w:val="left" w:pos="-709"/>
        </w:tabs>
        <w:ind w:right="-666"/>
        <w:rPr>
          <w:u w:val="single"/>
        </w:rPr>
      </w:pPr>
    </w:p>
    <w:p w:rsidRPr="00057E3A" w:rsidR="0084452C" w:rsidP="0084452C" w:rsidRDefault="0084452C" w14:paraId="23A8F1C6" w14:textId="0DE970B7">
      <w:pPr>
        <w:tabs>
          <w:tab w:val="left" w:pos="-7230"/>
          <w:tab w:val="left" w:pos="-709"/>
        </w:tabs>
        <w:ind w:right="-666"/>
        <w:rPr>
          <w:u w:val="single"/>
        </w:rPr>
      </w:pPr>
      <w:r w:rsidRPr="00057E3A">
        <w:rPr>
          <w:u w:val="single"/>
        </w:rPr>
        <w:lastRenderedPageBreak/>
        <w:t>Jautājums Nr. 3</w:t>
      </w:r>
    </w:p>
    <w:p w:rsidRPr="00057E3A" w:rsidR="0084452C" w:rsidP="0084452C" w:rsidRDefault="0084452C" w14:paraId="234FF327" w14:textId="77777777">
      <w:pPr>
        <w:tabs>
          <w:tab w:val="left" w:pos="1365"/>
        </w:tabs>
        <w:spacing w:before="120"/>
      </w:pPr>
      <w:r w:rsidRPr="00057E3A">
        <w:t>Nolikuma 2.pielikuma 2.1.punkts paredz, ka “</w:t>
      </w:r>
      <w:r w:rsidRPr="00057E3A">
        <w:rPr>
          <w:i/>
          <w:iCs/>
        </w:rPr>
        <w:t>uzņēmēju pieredze skaitāma kopā) iepriekšējo 5 (piecu) gadu laikā no iepirkuma izsludināšanas un laika periodā līdz piedāvājumu iesniegšanas brīdim11</w:t>
      </w:r>
      <w:r w:rsidRPr="00057E3A">
        <w:t>”.</w:t>
      </w:r>
    </w:p>
    <w:p w:rsidRPr="00057E3A" w:rsidR="0084452C" w:rsidP="0084452C" w:rsidRDefault="0084452C" w14:paraId="4D2FD7D0" w14:textId="77777777">
      <w:pPr>
        <w:tabs>
          <w:tab w:val="left" w:pos="1365"/>
        </w:tabs>
      </w:pPr>
      <w:r w:rsidRPr="00057E3A">
        <w:t>11.zemsvītras atsauce paredz, ka “</w:t>
      </w:r>
      <w:r w:rsidRPr="00057E3A">
        <w:rPr>
          <w:i/>
          <w:iCs/>
        </w:rPr>
        <w:t>Šeit un turpmāk Kvalifikācijā tiek ņemti vērā tikai tie Darbi, kas veikti, sākot no 2020.gada 1.janvāra (ieskaitot)”.</w:t>
      </w:r>
    </w:p>
    <w:p w:rsidRPr="00057E3A" w:rsidR="0084452C" w:rsidP="0084452C" w:rsidRDefault="0084452C" w14:paraId="3F772CB1" w14:textId="77777777">
      <w:pPr>
        <w:tabs>
          <w:tab w:val="left" w:pos="1365"/>
        </w:tabs>
      </w:pPr>
      <w:r w:rsidRPr="00057E3A">
        <w:t>Periods no 2020.gada 1.janvāra līdz piedāvājumu iesniegšanas brīdim aptver pilnus 6 (sešus) gadus, līdz ar to ir pretruna starp Nolikuma 2.pielikuma 2.1.punkta pamattekstu un skaidrojošo atsauci.</w:t>
      </w:r>
    </w:p>
    <w:p w:rsidRPr="00057E3A" w:rsidR="0084452C" w:rsidP="0084452C" w:rsidRDefault="0084452C" w14:paraId="59FA4BE1" w14:textId="77777777">
      <w:pPr>
        <w:tabs>
          <w:tab w:val="left" w:pos="1365"/>
        </w:tabs>
        <w:spacing w:before="120" w:after="120"/>
      </w:pPr>
      <w:r w:rsidRPr="00057E3A">
        <w:t>Ņemot vērā minēto, lūdzam grozīt Nolikuma 2.pielikuma 11.zemsvītras atsauci, paredzot, ka “</w:t>
      </w:r>
      <w:r w:rsidRPr="00057E3A">
        <w:rPr>
          <w:i/>
          <w:iCs/>
        </w:rPr>
        <w:t>Šeit un turpmāk Kvalifikācijā tiek ņemti vērā tikai tie Darbi, kas veikti, sākot no 2020.gada 1.janvāra (ieskaitot)”. (</w:t>
      </w:r>
      <w:r w:rsidRPr="00057E3A">
        <w:t>Līdzīgi kā tas ir norādīts Nolikuma 2.pielikuma 17.zemsvītras atsaucē.)</w:t>
      </w:r>
    </w:p>
    <w:p w:rsidRPr="00057E3A" w:rsidR="0084452C" w:rsidP="0084452C" w:rsidRDefault="0084452C" w14:paraId="723DDED0" w14:textId="77777777">
      <w:pPr>
        <w:tabs>
          <w:tab w:val="left" w:pos="-7230"/>
          <w:tab w:val="left" w:pos="-709"/>
        </w:tabs>
        <w:ind w:right="-283"/>
        <w:rPr>
          <w:u w:val="single"/>
        </w:rPr>
      </w:pPr>
      <w:r w:rsidRPr="00057E3A">
        <w:rPr>
          <w:u w:val="single"/>
        </w:rPr>
        <w:t>Atbilde uz jautājumu Nr. 3</w:t>
      </w:r>
    </w:p>
    <w:p w:rsidRPr="00057E3A" w:rsidR="0084452C" w:rsidP="0084452C" w:rsidRDefault="0084452C" w14:paraId="4A99B6DD" w14:textId="77777777">
      <w:pPr>
        <w:tabs>
          <w:tab w:val="left" w:pos="-7230"/>
          <w:tab w:val="left" w:pos="-709"/>
        </w:tabs>
        <w:spacing w:before="120"/>
        <w:ind w:right="-2"/>
      </w:pPr>
      <w:r w:rsidRPr="00057E3A">
        <w:t xml:space="preserve">Nolikuma 2. pielikuma “Kvalifikācija” 2.1. punktā norādītā pretendenta pieredzes prasība, t.i., ka pretendentam jābūt pieredzei </w:t>
      </w:r>
      <w:r w:rsidRPr="00057E3A">
        <w:rPr>
          <w:b/>
          <w:bCs/>
        </w:rPr>
        <w:t xml:space="preserve">iepriekšējo 5 (piecu) </w:t>
      </w:r>
      <w:r w:rsidRPr="00057E3A">
        <w:t>gadu laikā no iepirkuma izsludināšanas un laika periodā līdz piedāvājumu iesniegšanas brīdim, noteikta atbilstoši Publisko iepirkumu likuma (turpmāk – PIL) 46. panta 3. daļas pirmajā punktā noteiktajam.</w:t>
      </w:r>
    </w:p>
    <w:p w:rsidRPr="00057E3A" w:rsidR="0084452C" w:rsidP="0084452C" w:rsidRDefault="0084452C" w14:paraId="06092C4F" w14:textId="77777777">
      <w:pPr>
        <w:tabs>
          <w:tab w:val="left" w:pos="-7230"/>
          <w:tab w:val="left" w:pos="-709"/>
        </w:tabs>
        <w:spacing w:before="120"/>
        <w:ind w:right="-2"/>
      </w:pPr>
      <w:r w:rsidRPr="00057E3A">
        <w:t xml:space="preserve">Nolikuma 11. zemsvītras atsaucē, kurā norādīta skaidrojoša informācija, ir acīmredzama pārrakstīšanās kļūda, un atbilstoši PIL, kā arī analogi nolikuma 17. zemsvītras atsaucē norādītajam, pretendenta un personāla pieredzes vērtēšanā tiek ņemti vērā tie darbi, kas veikti sākot no </w:t>
      </w:r>
      <w:r w:rsidRPr="00057E3A">
        <w:rPr>
          <w:b/>
          <w:bCs/>
        </w:rPr>
        <w:t xml:space="preserve">2021. gada </w:t>
      </w:r>
      <w:r w:rsidRPr="00057E3A">
        <w:t>1. janvāra.</w:t>
      </w:r>
    </w:p>
    <w:p w:rsidRPr="00057E3A" w:rsidR="0084452C" w:rsidP="0084452C" w:rsidRDefault="0084452C" w14:paraId="28F57505" w14:textId="77777777">
      <w:pPr>
        <w:tabs>
          <w:tab w:val="left" w:pos="-7230"/>
          <w:tab w:val="left" w:pos="-709"/>
        </w:tabs>
        <w:ind w:right="-666"/>
        <w:rPr>
          <w:u w:val="single"/>
        </w:rPr>
      </w:pPr>
    </w:p>
    <w:p w:rsidRPr="00057E3A" w:rsidR="0084452C" w:rsidP="0084452C" w:rsidRDefault="0084452C" w14:paraId="6B96FBA2" w14:textId="77777777">
      <w:pPr>
        <w:tabs>
          <w:tab w:val="left" w:pos="-7230"/>
          <w:tab w:val="left" w:pos="-709"/>
        </w:tabs>
        <w:ind w:right="-666"/>
        <w:rPr>
          <w:u w:val="single"/>
        </w:rPr>
      </w:pPr>
      <w:r w:rsidRPr="00057E3A">
        <w:rPr>
          <w:u w:val="single"/>
        </w:rPr>
        <w:t>Jautājums Nr. 4</w:t>
      </w:r>
    </w:p>
    <w:p w:rsidRPr="00057E3A" w:rsidR="0084452C" w:rsidP="0084452C" w:rsidRDefault="0084452C" w14:paraId="1A40663F" w14:textId="77777777">
      <w:pPr>
        <w:tabs>
          <w:tab w:val="left" w:pos="1365"/>
        </w:tabs>
        <w:spacing w:before="120"/>
      </w:pPr>
      <w:r w:rsidRPr="00057E3A">
        <w:t>Nolikuma 3.pielikuma 3.1.1.punkts paredz, ka pretendentam aprakstā jānorāda informācija par šādām </w:t>
      </w:r>
      <w:r w:rsidRPr="00057E3A">
        <w:rPr>
          <w:u w:val="single"/>
        </w:rPr>
        <w:t>galveno materiālu glabātuvēm</w:t>
      </w:r>
      <w:r w:rsidRPr="00057E3A">
        <w:t>:</w:t>
      </w:r>
    </w:p>
    <w:p w:rsidRPr="00057E3A" w:rsidR="0084452C" w:rsidP="0084452C" w:rsidRDefault="0084452C" w14:paraId="339F440C" w14:textId="77777777">
      <w:pPr>
        <w:tabs>
          <w:tab w:val="left" w:pos="1365"/>
        </w:tabs>
        <w:rPr>
          <w:i/>
          <w:iCs/>
        </w:rPr>
      </w:pPr>
      <w:r w:rsidRPr="00057E3A">
        <w:rPr>
          <w:i/>
          <w:iCs/>
        </w:rPr>
        <w:t>“3.1.1. Segta sāls glabātuve, norādot tās atrašanās vietu, uzglabājamā materiāla apjomu (tonnas): tai jābūt ar uzglabāšanas apjomu vismaz 1200 t katrai iepirkuma daļai.”</w:t>
      </w:r>
    </w:p>
    <w:p w:rsidRPr="00057E3A" w:rsidR="0084452C" w:rsidP="0084452C" w:rsidRDefault="0084452C" w14:paraId="00024CF1" w14:textId="77777777">
      <w:pPr>
        <w:tabs>
          <w:tab w:val="left" w:pos="1365"/>
        </w:tabs>
        <w:spacing w:before="120"/>
      </w:pPr>
      <w:r w:rsidRPr="00057E3A">
        <w:t>Lai gan atzinīgi vērtējam prasības minimālajai ietilpībai noteikšanu, tomēr mums kā pretendentam nav skaidrs, kā ir mērāma un pierādāma glabātuves ietilpība. No pieredzes ir jāsecina, ka tā kā sāls ir birstošs materiāls, tās uzglabāšana stingrās ģeometriski precīzās formās nav iespējama, bet parasti tās ir kaudzes, kuras robežas nosaka sānu sienas (kuru augstums arī ir tas, kas nosaka uzberamās kaudzes iespējas). Turklāt telpu tilpuma mērvienība ir m</w:t>
      </w:r>
      <w:r w:rsidRPr="00057E3A">
        <w:rPr>
          <w:vertAlign w:val="superscript"/>
        </w:rPr>
        <w:t>3</w:t>
      </w:r>
      <w:r w:rsidRPr="00057E3A">
        <w:t>, savukārt punktā paredzētā mērvienība ir tonna (savukārt atkarībā no mitruma, sāls blīvums var mainīties no 1000 – 1250 kg/m</w:t>
      </w:r>
      <w:r w:rsidRPr="00057E3A">
        <w:rPr>
          <w:vertAlign w:val="superscript"/>
        </w:rPr>
        <w:t>3</w:t>
      </w:r>
      <w:r w:rsidRPr="00057E3A">
        <w:t>).</w:t>
      </w:r>
    </w:p>
    <w:p w:rsidRPr="00057E3A" w:rsidR="0084452C" w:rsidP="0084452C" w:rsidRDefault="0084452C" w14:paraId="734E5F16" w14:textId="77777777">
      <w:pPr>
        <w:tabs>
          <w:tab w:val="left" w:pos="1365"/>
        </w:tabs>
        <w:spacing w:before="120"/>
      </w:pPr>
      <w:r w:rsidRPr="00057E3A">
        <w:t>Ņemot vērā augstāk minēto, lūdzam:</w:t>
      </w:r>
    </w:p>
    <w:p w:rsidRPr="00057E3A" w:rsidR="0084452C" w:rsidP="0084452C" w:rsidRDefault="0084452C" w14:paraId="20A2CF46" w14:textId="77777777">
      <w:pPr>
        <w:pStyle w:val="ListParagraph"/>
        <w:numPr>
          <w:ilvl w:val="0"/>
          <w:numId w:val="2"/>
        </w:numPr>
        <w:tabs>
          <w:tab w:val="left" w:pos="1365"/>
        </w:tabs>
        <w:spacing w:after="0" w:line="240" w:lineRule="auto"/>
        <w:ind w:left="714" w:hanging="357"/>
        <w:contextualSpacing w:val="0"/>
        <w:jc w:val="both"/>
        <w:rPr>
          <w:rFonts w:ascii="Times New Roman" w:hAnsi="Times New Roman" w:eastAsia="Times New Roman" w:cs="Times New Roman"/>
          <w:sz w:val="24"/>
          <w:szCs w:val="24"/>
        </w:rPr>
      </w:pPr>
      <w:r w:rsidRPr="00057E3A">
        <w:rPr>
          <w:rFonts w:ascii="Times New Roman" w:hAnsi="Times New Roman" w:eastAsia="Times New Roman" w:cs="Times New Roman"/>
          <w:sz w:val="24"/>
          <w:szCs w:val="24"/>
        </w:rPr>
        <w:t>Skaidrot, kā tiks noteikta sāls glabātavas ietilpība?</w:t>
      </w:r>
    </w:p>
    <w:p w:rsidRPr="00057E3A" w:rsidR="0084452C" w:rsidP="0084452C" w:rsidRDefault="0084452C" w14:paraId="20F670A5" w14:textId="77777777">
      <w:pPr>
        <w:numPr>
          <w:ilvl w:val="0"/>
          <w:numId w:val="2"/>
        </w:numPr>
        <w:tabs>
          <w:tab w:val="left" w:pos="1365"/>
        </w:tabs>
        <w:ind w:left="714" w:hanging="357"/>
      </w:pPr>
      <w:r w:rsidRPr="00057E3A">
        <w:t>Lai izvairītos no interpretācijas iespējām, lūdzam precizēt Nolikuma 3.pielikuma 3.1.1.punktu izsakot tilpuma apjomu m</w:t>
      </w:r>
      <w:r w:rsidRPr="00057E3A">
        <w:rPr>
          <w:vertAlign w:val="superscript"/>
        </w:rPr>
        <w:t>3</w:t>
      </w:r>
      <w:r w:rsidRPr="00057E3A">
        <w:t>.</w:t>
      </w:r>
    </w:p>
    <w:p w:rsidRPr="00057E3A" w:rsidR="0084452C" w:rsidP="0084452C" w:rsidRDefault="0084452C" w14:paraId="294C36F8" w14:textId="77777777">
      <w:pPr>
        <w:tabs>
          <w:tab w:val="left" w:pos="-7230"/>
          <w:tab w:val="left" w:pos="-709"/>
        </w:tabs>
        <w:spacing w:before="120"/>
        <w:ind w:right="-284"/>
        <w:rPr>
          <w:u w:val="single"/>
        </w:rPr>
      </w:pPr>
      <w:r w:rsidRPr="00057E3A">
        <w:rPr>
          <w:u w:val="single"/>
        </w:rPr>
        <w:t>Atbilde uz jautājumu Nr. 4</w:t>
      </w:r>
    </w:p>
    <w:p w:rsidRPr="00057E3A" w:rsidR="0084452C" w:rsidP="0084452C" w:rsidRDefault="0084452C" w14:paraId="6BE59771" w14:textId="77777777">
      <w:pPr>
        <w:spacing w:before="120"/>
      </w:pPr>
      <w:r w:rsidRPr="00057E3A">
        <w:t xml:space="preserve">Tehniskā piedāvājuma atbilstības pārbaudē pasūtītājs vērtēs pretendenta piedāvājuma darba organizācijas aprakstā sāls glabātuvei norādītās informācijas un tehnisko datu atbilstību nolikuma 3. pielikuma “Darba organizācija” 3.1. punkta prasībām, tai skaitā prasībai norādīt glabātuvi ar apjomu vismaz 1200 t. </w:t>
      </w:r>
    </w:p>
    <w:p w:rsidRPr="00057E3A" w:rsidR="0084452C" w:rsidP="0084452C" w:rsidRDefault="0084452C" w14:paraId="61EFB19A" w14:textId="77777777">
      <w:pPr>
        <w:spacing w:before="120"/>
      </w:pPr>
      <w:r w:rsidRPr="00057E3A">
        <w:t>Pretendentam iesniedzot piedāvājumu ir jāņem vērā ka līguma izpildē tam būs jānodrošina vismaz tāda apjoma sāls glabātuvi, lai spētu uzglabāt sāls materiālu tādā daudzumā un kvalitātē (tai skaitā, ievērojot sāls materiāla iespējamo blīvumu), lai nodrošinātu kvalitatīvu līguma izpildi. Informācija ar vēsturiskajiem ziemas darbu apjomiem ir pieejama Elektronisko iepirkumu sistēmas e - konkursu apakšsistēmā </w:t>
      </w:r>
      <w:hyperlink w:history="1" r:id="rId8">
        <w:r w:rsidRPr="00057E3A">
          <w:rPr>
            <w:rStyle w:val="Hyperlink"/>
            <w:u w:val="none"/>
          </w:rPr>
          <w:t>https://www.eis.gov.lv/EKEIS/Supplier/Organizer/557</w:t>
        </w:r>
      </w:hyperlink>
      <w:r w:rsidRPr="00057E3A">
        <w:t xml:space="preserve"> pie iepirkuma dokumentācijas. Grozījumi nolikumā netiks veikti.</w:t>
      </w:r>
    </w:p>
    <w:p w:rsidRPr="00057E3A" w:rsidR="0084452C" w:rsidP="0084452C" w:rsidRDefault="0084452C" w14:paraId="437D3BFC" w14:textId="77777777">
      <w:pPr>
        <w:tabs>
          <w:tab w:val="left" w:pos="-7230"/>
          <w:tab w:val="left" w:pos="-709"/>
        </w:tabs>
        <w:ind w:right="-666"/>
        <w:rPr>
          <w:u w:val="single"/>
        </w:rPr>
      </w:pPr>
    </w:p>
    <w:p w:rsidRPr="00057E3A" w:rsidR="0084452C" w:rsidP="0084452C" w:rsidRDefault="0084452C" w14:paraId="367300A0" w14:textId="77777777">
      <w:pPr>
        <w:tabs>
          <w:tab w:val="left" w:pos="-7230"/>
          <w:tab w:val="left" w:pos="-709"/>
        </w:tabs>
        <w:ind w:right="-666"/>
        <w:rPr>
          <w:u w:val="single"/>
        </w:rPr>
      </w:pPr>
      <w:r w:rsidRPr="00057E3A">
        <w:rPr>
          <w:u w:val="single"/>
        </w:rPr>
        <w:t>Jautājums</w:t>
      </w:r>
      <w:r>
        <w:rPr>
          <w:u w:val="single"/>
        </w:rPr>
        <w:t xml:space="preserve"> Nr. 5</w:t>
      </w:r>
    </w:p>
    <w:p w:rsidRPr="00057E3A" w:rsidR="0084452C" w:rsidP="0084452C" w:rsidRDefault="0084452C" w14:paraId="74EBB7F0" w14:textId="77777777">
      <w:pPr>
        <w:spacing w:before="120"/>
      </w:pPr>
      <w:r w:rsidRPr="00057E3A">
        <w:rPr>
          <w:i/>
          <w:iCs/>
        </w:rPr>
        <w:t>[Ieinteresētais piegādātājs]</w:t>
      </w:r>
      <w:r w:rsidRPr="00057E3A">
        <w:t xml:space="preserve"> (turpmāk – Pretendents) ir iepazinies ar atklāta konkursa “Valsts autoceļu ikdienas uzturēšanas darbi 2027.-2032. gadā Liepājas, Cēsu, Madonas un Gulbenes, Alūksnes un Smiltenes teritorijās (4 līgumi)” ID Nr. </w:t>
      </w:r>
      <w:bookmarkStart w:name="ID_NR" w:id="4"/>
      <w:r w:rsidRPr="00057E3A">
        <w:t>LVC 2026/</w:t>
      </w:r>
      <w:bookmarkEnd w:id="4"/>
      <w:r w:rsidRPr="00057E3A">
        <w:t>49/AC (turpmāk – Iepirkums) nolikumu, lūdz iepirkumu komisiju skaidrot, vai pretendents būs izpildījis noteiktās nolikuma un Publiskā iepirkuma likuma prasības attiecībā uz Piegādātāju apvienību, savstarpēji neuzņemoties solidāru atbildību?</w:t>
      </w:r>
    </w:p>
    <w:p w:rsidRPr="00057E3A" w:rsidR="0084452C" w:rsidP="0084452C" w:rsidRDefault="0084452C" w14:paraId="53792B97" w14:textId="77777777">
      <w:pPr>
        <w:tabs>
          <w:tab w:val="left" w:pos="-7230"/>
          <w:tab w:val="left" w:pos="-709"/>
        </w:tabs>
        <w:spacing w:before="120"/>
        <w:ind w:right="-284"/>
        <w:rPr>
          <w:u w:val="single"/>
        </w:rPr>
      </w:pPr>
      <w:r w:rsidRPr="00057E3A">
        <w:rPr>
          <w:u w:val="single"/>
        </w:rPr>
        <w:t>Atbilde uz jautājumu</w:t>
      </w:r>
      <w:r>
        <w:rPr>
          <w:u w:val="single"/>
        </w:rPr>
        <w:t xml:space="preserve"> Nr. 5</w:t>
      </w:r>
    </w:p>
    <w:p w:rsidRPr="00057E3A" w:rsidR="0084452C" w:rsidP="0084452C" w:rsidRDefault="0084452C" w14:paraId="6A8A1858" w14:textId="77777777">
      <w:pPr>
        <w:spacing w:before="120"/>
        <w:rPr>
          <w:b/>
          <w:bCs/>
        </w:rPr>
      </w:pPr>
      <w:r w:rsidRPr="00057E3A">
        <w:t>Pasūtītājs</w:t>
      </w:r>
      <w:r w:rsidRPr="00057E3A">
        <w:rPr>
          <w:b/>
          <w:bCs/>
        </w:rPr>
        <w:t xml:space="preserve"> </w:t>
      </w:r>
      <w:r w:rsidRPr="00057E3A">
        <w:t>nenosaka un neregulē piegādātāju apvienības dalībnieku savstarpējo atbildības sadalījumu vienam pret otru.</w:t>
      </w:r>
    </w:p>
    <w:p w:rsidRPr="00057E3A" w:rsidR="0084452C" w:rsidP="0084452C" w:rsidRDefault="0084452C" w14:paraId="4ED4D5AA" w14:textId="77777777">
      <w:pPr>
        <w:tabs>
          <w:tab w:val="left" w:pos="1365"/>
        </w:tabs>
        <w:spacing w:before="120"/>
      </w:pPr>
      <w:r w:rsidRPr="00057E3A">
        <w:t xml:space="preserve">Nolikuma 4.1. punkta 4.1.2. apakšpunkts attiecībā uz piegādātāju apvienību nosaka, ka pretendenta piedāvājumam jāpievieno visu apvienības dalībnieku parakstīta vienošanās par dalību iepirkuma procedūrā, </w:t>
      </w:r>
      <w:r w:rsidRPr="00057E3A">
        <w:rPr>
          <w:u w:val="single"/>
        </w:rPr>
        <w:t>atbildības sadalījumu</w:t>
      </w:r>
      <w:r w:rsidRPr="00057E3A">
        <w:t xml:space="preserve">, katram apvienības dalībniekam izpildei nododamo Darba daļu (apjoms procentos no līgumcenas un darbi no Darbu apjomu un izmaksu saraksta) un pārstāvības tiesībām parakstīt un iesniegt piedāvājumu. Ja ar piegādātāju apvienību tiks nolemts slēgt iepirkuma līgumu, tad pirms iepirkuma līguma noslēgšanas piegādātāju apvienībai jānoslēdz sabiedrības līgums Civillikuma 2241. – 2280. pantā noteiktajā kārtībā, </w:t>
      </w:r>
      <w:r w:rsidRPr="00057E3A">
        <w:rPr>
          <w:u w:val="single"/>
        </w:rPr>
        <w:t>norādot apvienības dalībnieku atbildības sadalījumu atbilstoši piedāvājumam</w:t>
      </w:r>
      <w:r w:rsidRPr="00057E3A">
        <w:t>, un viens līguma eksemplārs (oriģināls vai kopija, ja tiek uzrādīts oriģināls) jāiesniedz Pasūtītājam.</w:t>
      </w:r>
    </w:p>
    <w:p w:rsidRPr="00057E3A" w:rsidR="0084452C" w:rsidP="0084452C" w:rsidRDefault="0084452C" w14:paraId="5615B199" w14:textId="77777777">
      <w:pPr>
        <w:spacing w:before="120"/>
      </w:pPr>
      <w:r w:rsidRPr="00057E3A">
        <w:t xml:space="preserve">Savukārt gadījumā, ja pretendents balstās uz cita uzņēmēja saimnieciskajām un finansiālajām iespējām, Publisko iepirkumu likuma 45. panta astotajā daļā ir noteikts, ka [...] pasūtītājs var prasīt, lai piegādātājs un persona, uz kuras saimnieciskajām un finansiālajām iespējām tas balstās, ir solidāri atbildīgi par iepirkuma līguma izpildi. Atbilstoši tam, pasūtītājs nolikuma 10.5. punkta 10.5.2. apakšpunktā ir noteicis, ka Pretendentam un uzņēmējam, uz kura saimnieciskajām un finansiālajām iespējām Pretendents balstās, jābūt solidāri atbildīgiem par iepirkuma līguma izpildi, par ko Pretendentam jāiesniedz attiecīgi pierādījumi pēc savas izvēles. Attiecībā uz šo, Iepirkumu uzraudzības birojs ir norādījis, ka ja pasūtītājs ir prasījis solidāru atbildību, atbildība par līguma izpildi gan piegādātājam, gan personai, uz kuras saimnieciskajām un finansiālajām iespējām tas balstās, būs jāuzņemas </w:t>
      </w:r>
      <w:r w:rsidRPr="00057E3A">
        <w:rPr>
          <w:u w:val="single"/>
        </w:rPr>
        <w:t>attiecībā pret pasūtītāju</w:t>
      </w:r>
      <w:r w:rsidRPr="00057E3A">
        <w:rPr>
          <w:rStyle w:val="FootnoteReference"/>
          <w:u w:val="single"/>
        </w:rPr>
        <w:footnoteReference w:id="1"/>
      </w:r>
      <w:r w:rsidRPr="00057E3A">
        <w:t>.</w:t>
      </w:r>
    </w:p>
    <w:p w:rsidRPr="00057E3A" w:rsidR="0084452C" w:rsidP="0084452C" w:rsidRDefault="0084452C" w14:paraId="194B286E" w14:textId="77777777">
      <w:pPr>
        <w:tabs>
          <w:tab w:val="left" w:pos="-7230"/>
          <w:tab w:val="left" w:pos="-709"/>
        </w:tabs>
        <w:ind w:right="-283"/>
      </w:pPr>
    </w:p>
    <w:p w:rsidRPr="00A56411" w:rsidR="00BC1E6B" w:rsidP="00095A94" w:rsidRDefault="00BC1E6B" w14:paraId="3BC56175" w14:textId="77777777">
      <w:pPr>
        <w:widowControl w:val="0"/>
        <w:autoSpaceDE w:val="0"/>
        <w:autoSpaceDN w:val="0"/>
        <w:adjustRightInd w:val="0"/>
        <w:rPr>
          <w:rFonts w:eastAsia="Times New Roman" w:cs="Times New Roman"/>
          <w:iCs/>
          <w:szCs w:val="24"/>
        </w:rPr>
      </w:pPr>
    </w:p>
    <w:tbl>
      <w:tblPr>
        <w:tblStyle w:val="Reatabula1"/>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1984"/>
        <w:gridCol w:w="3544"/>
      </w:tblGrid>
      <w:tr w:rsidRPr="000A4077" w:rsidR="000A4077" w:rsidTr="000A4077" w14:paraId="1BD23762" w14:textId="77777777">
        <w:tc>
          <w:tcPr>
            <w:tcW w:w="4395" w:type="dxa"/>
          </w:tcPr>
          <w:p w:rsidRPr="000A4077" w:rsidR="000A4077" w:rsidP="000A4077" w:rsidRDefault="00161499" w14:paraId="3106EF87" w14:textId="4572B30C">
            <w:pPr>
              <w:widowControl w:val="0"/>
              <w:autoSpaceDE w:val="0"/>
              <w:autoSpaceDN w:val="0"/>
              <w:adjustRightInd w:val="0"/>
              <w:rPr>
                <w:i/>
                <w:iCs/>
                <w:sz w:val="24"/>
                <w:szCs w:val="24"/>
              </w:rPr>
            </w:pPr>
            <w:r>
              <w:rPr>
                <w:iCs/>
                <w:sz w:val="24"/>
                <w:szCs w:val="24"/>
              </w:rPr>
              <w:t>Iepirkuma komisijas priekšsēdētājs</w:t>
            </w:r>
          </w:p>
        </w:tc>
        <w:tc>
          <w:tcPr>
            <w:tcW w:w="1984" w:type="dxa"/>
          </w:tcPr>
          <w:p w:rsidRPr="000A4077" w:rsidR="000A4077" w:rsidP="000A4077" w:rsidRDefault="000A4077" w14:paraId="721FEC00" w14:textId="77777777">
            <w:pPr>
              <w:widowControl w:val="0"/>
              <w:autoSpaceDE w:val="0"/>
              <w:autoSpaceDN w:val="0"/>
              <w:adjustRightInd w:val="0"/>
              <w:jc w:val="center"/>
              <w:rPr>
                <w:i/>
                <w:iCs/>
                <w:sz w:val="24"/>
                <w:szCs w:val="24"/>
              </w:rPr>
            </w:pPr>
          </w:p>
        </w:tc>
        <w:tc>
          <w:tcPr>
            <w:tcW w:w="3544" w:type="dxa"/>
            <w:vAlign w:val="bottom"/>
          </w:tcPr>
          <w:p w:rsidRPr="000A4077" w:rsidR="000A4077" w:rsidP="000A4077" w:rsidRDefault="00374261" w14:paraId="4DADB3A9" w14:textId="4C08E755">
            <w:pPr>
              <w:widowControl w:val="0"/>
              <w:autoSpaceDE w:val="0"/>
              <w:autoSpaceDN w:val="0"/>
              <w:adjustRightInd w:val="0"/>
              <w:jc w:val="right"/>
              <w:rPr>
                <w:i/>
                <w:iCs/>
                <w:sz w:val="24"/>
                <w:szCs w:val="24"/>
              </w:rPr>
            </w:pPr>
            <w:r>
              <w:rPr>
                <w:iCs/>
                <w:sz w:val="24"/>
                <w:szCs w:val="24"/>
              </w:rPr>
              <w:t xml:space="preserve">  </w:t>
            </w:r>
            <w:bookmarkStart w:name="parak_nos" w:id="5"/>
            <w:r>
              <w:rPr>
                <w:iCs/>
                <w:sz w:val="24"/>
                <w:szCs w:val="24"/>
              </w:rPr>
              <w:t>J. Derevjanko</w:t>
            </w:r>
            <w:bookmarkEnd w:id="5"/>
          </w:p>
        </w:tc>
      </w:tr>
      <w:tr w:rsidRPr="000A4077" w:rsidR="000A4077" w:rsidTr="000A4077" w14:paraId="45D86D2E" w14:textId="77777777">
        <w:tc>
          <w:tcPr>
            <w:tcW w:w="4395" w:type="dxa"/>
          </w:tcPr>
          <w:p w:rsidRPr="000A4077" w:rsidR="000A4077" w:rsidP="000A4077" w:rsidRDefault="000A4077" w14:paraId="6AA36E09" w14:textId="77777777">
            <w:pPr>
              <w:widowControl w:val="0"/>
              <w:autoSpaceDE w:val="0"/>
              <w:autoSpaceDN w:val="0"/>
              <w:adjustRightInd w:val="0"/>
              <w:rPr>
                <w:i/>
                <w:iCs/>
                <w:sz w:val="24"/>
                <w:szCs w:val="24"/>
              </w:rPr>
            </w:pPr>
          </w:p>
        </w:tc>
        <w:tc>
          <w:tcPr>
            <w:tcW w:w="1984" w:type="dxa"/>
          </w:tcPr>
          <w:p w:rsidRPr="000A4077" w:rsidR="000A4077" w:rsidP="000A4077" w:rsidRDefault="000A4077" w14:paraId="1AC13B65" w14:textId="77777777">
            <w:pPr>
              <w:widowControl w:val="0"/>
              <w:autoSpaceDE w:val="0"/>
              <w:autoSpaceDN w:val="0"/>
              <w:adjustRightInd w:val="0"/>
              <w:jc w:val="right"/>
              <w:rPr>
                <w:i/>
                <w:iCs/>
                <w:sz w:val="24"/>
                <w:szCs w:val="24"/>
              </w:rPr>
            </w:pPr>
          </w:p>
        </w:tc>
        <w:tc>
          <w:tcPr>
            <w:tcW w:w="3544" w:type="dxa"/>
            <w:vAlign w:val="bottom"/>
          </w:tcPr>
          <w:p w:rsidRPr="000A4077" w:rsidR="000A4077" w:rsidP="000A4077" w:rsidRDefault="000A4077" w14:paraId="0210494B" w14:textId="77777777">
            <w:pPr>
              <w:widowControl w:val="0"/>
              <w:autoSpaceDE w:val="0"/>
              <w:autoSpaceDN w:val="0"/>
              <w:adjustRightInd w:val="0"/>
              <w:rPr>
                <w:i/>
                <w:iCs/>
                <w:sz w:val="24"/>
                <w:szCs w:val="24"/>
              </w:rPr>
            </w:pPr>
          </w:p>
        </w:tc>
      </w:tr>
    </w:tbl>
    <w:p w:rsidRPr="000A4077" w:rsidR="000A4077" w:rsidP="000A4077" w:rsidRDefault="000A4077" w14:paraId="1AE15AA0" w14:textId="77777777">
      <w:pPr>
        <w:widowControl w:val="0"/>
        <w:autoSpaceDE w:val="0"/>
        <w:autoSpaceDN w:val="0"/>
        <w:adjustRightInd w:val="0"/>
        <w:jc w:val="left"/>
        <w:rPr>
          <w:rFonts w:eastAsia="Times New Roman" w:cs="Times New Roman"/>
          <w:iCs/>
          <w:szCs w:val="24"/>
        </w:rPr>
      </w:pPr>
    </w:p>
    <w:tbl>
      <w:tblPr>
        <w:tblpPr w:leftFromText="180" w:rightFromText="180" w:vertAnchor="text" w:tblpY="12"/>
        <w:tblW w:w="0" w:type="auto"/>
        <w:tblLook w:val="04A0" w:firstRow="1" w:lastRow="0" w:firstColumn="1" w:lastColumn="0" w:noHBand="0" w:noVBand="1"/>
      </w:tblPr>
      <w:tblGrid>
        <w:gridCol w:w="9072"/>
      </w:tblGrid>
      <w:tr w:rsidRPr="000A4077" w:rsidR="000A4077" w:rsidTr="00B55A9B" w14:paraId="30ED3031" w14:textId="77777777">
        <w:trPr>
          <w:cantSplit/>
          <w:trHeight w:val="579"/>
        </w:trPr>
        <w:tc>
          <w:tcPr>
            <w:tcW w:w="9072" w:type="dxa"/>
          </w:tcPr>
          <w:tbl>
            <w:tblPr>
              <w:tblW w:w="0" w:type="auto"/>
              <w:tblInd w:w="567" w:type="dxa"/>
              <w:tblLook w:val="04A0" w:firstRow="1" w:lastRow="0" w:firstColumn="1" w:lastColumn="0" w:noHBand="0" w:noVBand="1"/>
            </w:tblPr>
            <w:tblGrid>
              <w:gridCol w:w="7793"/>
            </w:tblGrid>
            <w:tr w:rsidRPr="000A4077" w:rsidR="000A4077" w:rsidTr="000A4077" w14:paraId="0E51D166" w14:textId="77777777">
              <w:trPr>
                <w:cantSplit/>
                <w:trHeight w:val="207"/>
              </w:trPr>
              <w:tc>
                <w:tcPr>
                  <w:tcW w:w="7793" w:type="dxa"/>
                </w:tcPr>
                <w:p w:rsidRPr="000A4077" w:rsidR="000A4077" w:rsidP="000A4077" w:rsidRDefault="000A4077" w14:paraId="525E7F98" w14:textId="527D7ABD">
                  <w:pPr>
                    <w:framePr w:hSpace="180" w:wrap="around" w:hAnchor="text" w:vAnchor="text" w:y="12"/>
                    <w:widowControl w:val="0"/>
                    <w:ind w:left="102"/>
                    <w:jc w:val="left"/>
                    <w:rPr>
                      <w:rFonts w:eastAsia="Times New Roman" w:cs="Times New Roman"/>
                      <w:szCs w:val="24"/>
                      <w:lang w:eastAsia="lv-LV"/>
                    </w:rPr>
                  </w:pPr>
                  <w:bookmarkStart w:name="edoc_info" w:colFirst="0" w:colLast="0" w:id="6"/>
                  <w:r>
                    <w:rPr>
                      <w:rFonts w:eastAsia="Times New Roman" w:cs="Times New Roman"/>
                      <w:szCs w:val="24"/>
                      <w:lang w:eastAsia="lv-LV"/>
                    </w:rPr>
                    <w:t>D</w:t>
                  </w:r>
                  <w:r w:rsidRPr="000A4077">
                    <w:rPr>
                      <w:rFonts w:eastAsia="Times New Roman" w:cs="Times New Roman"/>
                      <w:szCs w:val="24"/>
                      <w:lang w:eastAsia="lv-LV"/>
                    </w:rPr>
                    <w:t>okuments parakstīts ar drošu elektronisko parakstu un satur laika</w:t>
                  </w:r>
                  <w:r>
                    <w:rPr>
                      <w:rFonts w:eastAsia="Times New Roman" w:cs="Times New Roman"/>
                      <w:szCs w:val="24"/>
                      <w:lang w:eastAsia="lv-LV"/>
                    </w:rPr>
                    <w:t xml:space="preserve"> </w:t>
                  </w:r>
                  <w:r w:rsidRPr="000A4077">
                    <w:rPr>
                      <w:rFonts w:eastAsia="Times New Roman" w:cs="Times New Roman"/>
                      <w:szCs w:val="24"/>
                      <w:lang w:eastAsia="lv-LV"/>
                    </w:rPr>
                    <w:t>zīmogu</w:t>
                  </w:r>
                  <w:r>
                    <w:rPr>
                      <w:rFonts w:eastAsia="Times New Roman" w:cs="Times New Roman"/>
                      <w:szCs w:val="24"/>
                      <w:lang w:eastAsia="lv-LV"/>
                    </w:rPr>
                    <w:t>.</w:t>
                  </w:r>
                </w:p>
              </w:tc>
            </w:tr>
          </w:tbl>
          <w:p w:rsidRPr="000A4077" w:rsidR="000A4077" w:rsidP="000A4077" w:rsidRDefault="000A4077" w14:paraId="73DAEE19" w14:textId="77777777">
            <w:pPr>
              <w:widowControl w:val="0"/>
              <w:spacing w:before="60" w:after="60" w:line="360" w:lineRule="auto"/>
              <w:rPr>
                <w:rFonts w:eastAsia="Times New Roman" w:cs="Times New Roman"/>
                <w:i/>
                <w:szCs w:val="20"/>
                <w:lang w:val="de-DE" w:eastAsia="lv-LV"/>
              </w:rPr>
            </w:pPr>
          </w:p>
        </w:tc>
      </w:tr>
      <w:bookmarkEnd w:id="6"/>
    </w:tbl>
    <w:p w:rsidRPr="000A4077" w:rsidR="000A4077" w:rsidP="000A4077" w:rsidRDefault="000A4077" w14:paraId="165E8C10" w14:textId="77777777">
      <w:pPr>
        <w:keepLines/>
        <w:widowControl w:val="0"/>
        <w:spacing w:before="120"/>
        <w:jc w:val="left"/>
        <w:rPr>
          <w:rFonts w:eastAsia="Times New Roman" w:cs="Times New Roman"/>
          <w:sz w:val="26"/>
          <w:szCs w:val="20"/>
        </w:rPr>
      </w:pPr>
    </w:p>
    <w:p w:rsidR="000A4077" w:rsidP="000A4077" w:rsidRDefault="000A4077" w14:paraId="3A8102DE" w14:textId="77777777">
      <w:pPr>
        <w:widowControl w:val="0"/>
        <w:autoSpaceDE w:val="0"/>
        <w:autoSpaceDN w:val="0"/>
        <w:adjustRightInd w:val="0"/>
        <w:jc w:val="left"/>
        <w:rPr>
          <w:rFonts w:eastAsia="Times New Roman" w:cs="Times New Roman"/>
          <w:iCs/>
          <w:szCs w:val="20"/>
        </w:rPr>
      </w:pPr>
    </w:p>
    <w:p w:rsidRPr="0084452C" w:rsidR="000A4077" w:rsidP="000A4077" w:rsidRDefault="000A4077" w14:paraId="7ED6E80E" w14:textId="77777777">
      <w:pPr>
        <w:widowControl w:val="0"/>
        <w:autoSpaceDE w:val="0"/>
        <w:autoSpaceDN w:val="0"/>
        <w:adjustRightInd w:val="0"/>
        <w:jc w:val="left"/>
        <w:rPr>
          <w:rFonts w:eastAsia="Times New Roman" w:cs="Times New Roman"/>
          <w:iCs/>
          <w:szCs w:val="20"/>
        </w:rPr>
      </w:pPr>
    </w:p>
    <w:p w:rsidRPr="0084452C" w:rsidR="000A4077" w:rsidP="000A4077" w:rsidRDefault="000A4077" w14:paraId="4430077F" w14:textId="41D9C41A">
      <w:pPr>
        <w:widowControl w:val="0"/>
        <w:autoSpaceDE w:val="0"/>
        <w:autoSpaceDN w:val="0"/>
        <w:adjustRightInd w:val="0"/>
        <w:jc w:val="left"/>
        <w:rPr>
          <w:rFonts w:eastAsia="Times New Roman" w:cs="Times New Roman"/>
          <w:b/>
          <w:bCs/>
          <w:iCs/>
          <w:szCs w:val="24"/>
        </w:rPr>
      </w:pPr>
      <w:bookmarkStart w:name="sagatavoja" w:id="7"/>
      <w:r w:rsidRPr="0084452C">
        <w:rPr>
          <w:rFonts w:eastAsia="Times New Roman" w:cs="Times New Roman"/>
          <w:iCs/>
          <w:szCs w:val="24"/>
        </w:rPr>
        <w:t>Derringa 67028182,</w:t>
      </w:r>
      <w:r w:rsidRPr="0084452C">
        <w:rPr>
          <w:rFonts w:eastAsia="Times New Roman" w:cs="Times New Roman"/>
          <w:iCs/>
          <w:szCs w:val="24"/>
        </w:rPr>
        <w:br/>
      </w:r>
      <w:hyperlink w:history="1" r:id="rId9">
        <w:r w:rsidRPr="0084452C" w:rsidR="0084452C">
          <w:rPr>
            <w:rStyle w:val="Hyperlink"/>
            <w:rFonts w:eastAsia="Times New Roman" w:cs="Times New Roman"/>
            <w:iCs/>
            <w:szCs w:val="24"/>
            <w:u w:val="none"/>
          </w:rPr>
          <w:t>kristine.derringa@lvceli.lv</w:t>
        </w:r>
      </w:hyperlink>
      <w:r w:rsidRPr="0084452C" w:rsidR="0084452C">
        <w:rPr>
          <w:rFonts w:eastAsia="Times New Roman" w:cs="Times New Roman"/>
          <w:iCs/>
          <w:szCs w:val="24"/>
        </w:rPr>
        <w:t xml:space="preserve"> </w:t>
      </w:r>
    </w:p>
    <w:bookmarkEnd w:id="0"/>
    <w:bookmarkEnd w:id="3"/>
    <w:bookmarkEnd w:id="7"/>
    <w:p w:rsidRPr="00FC62CB" w:rsidR="002214AB" w:rsidP="008C28C5" w:rsidRDefault="002214AB" w14:paraId="2953468E" w14:textId="77777777">
      <w:pPr>
        <w:pStyle w:val="Veidlapam"/>
      </w:pPr>
    </w:p>
    <w:p w:rsidR="00211DCE" w:rsidP="00FE6A34" w:rsidRDefault="00211DCE" w14:paraId="7AC66F34" w14:textId="00BC0A8D"/>
    <w:p w:rsidR="002214AB" w:rsidP="00211DCE" w:rsidRDefault="002214AB" w14:paraId="6CF7FD44" w14:textId="3A8E8231"/>
    <w:sectPr w:rsidR="002214AB" w:rsidSect="00991C7E">
      <w:headerReference w:type="default" r:id="rId10"/>
      <w:footerReference w:type="default" r:id="rId11"/>
      <w:headerReference w:type="first" r:id="rId12"/>
      <w:footerReference w:type="first" r:id="rId13"/>
      <w:pgSz w:w="11906" w:h="16838"/>
      <w:pgMar w:top="1134" w:right="851"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92DD" w14:textId="77777777" w:rsidR="00D434E7" w:rsidRDefault="00D434E7" w:rsidP="00437C2F">
      <w:r>
        <w:separator/>
      </w:r>
    </w:p>
  </w:endnote>
  <w:endnote w:type="continuationSeparator" w:id="0">
    <w:p w14:paraId="20A4AE60" w14:textId="77777777" w:rsidR="00D434E7" w:rsidRDefault="00D434E7" w:rsidP="0043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altRim">
    <w:altName w:val="Times New Roman"/>
    <w:charset w:val="00"/>
    <w:family w:val="roman"/>
    <w:pitch w:val="variable"/>
    <w:sig w:usb0="00000287" w:usb1="00000000" w:usb2="00000000" w:usb3="00000000" w:csb0="0000009F" w:csb1="00000000"/>
  </w:font>
  <w:font w:name="Montserrat">
    <w:altName w:val="Montserrat"/>
    <w:panose1 w:val="00000500000000000000"/>
    <w:charset w:val="00"/>
    <w:family w:val="modern"/>
    <w:notTrueType/>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298615"/>
      <w:docPartObj>
        <w:docPartGallery w:val="Page Numbers (Bottom of Page)"/>
        <w:docPartUnique/>
      </w:docPartObj>
    </w:sdtPr>
    <w:sdtEndPr/>
    <w:sdtContent>
      <w:p w14:paraId="3773C406" w14:textId="357EA880" w:rsidR="00BC1E6B" w:rsidRDefault="00BC1E6B">
        <w:pPr>
          <w:pStyle w:val="Footer"/>
          <w:jc w:val="right"/>
        </w:pPr>
        <w:r>
          <w:fldChar w:fldCharType="begin"/>
        </w:r>
        <w:r>
          <w:instrText>PAGE   \* MERGEFORMAT</w:instrText>
        </w:r>
        <w:r>
          <w:fldChar w:fldCharType="separate"/>
        </w:r>
        <w:r>
          <w:t>2</w:t>
        </w:r>
        <w:r>
          <w:fldChar w:fldCharType="end"/>
        </w:r>
      </w:p>
    </w:sdtContent>
  </w:sdt>
  <w:p w14:paraId="4B5F3917" w14:textId="77777777" w:rsidR="00BC1E6B" w:rsidRDefault="00BC1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1908" w14:textId="556EC9A7" w:rsidR="00BC1E6B" w:rsidRDefault="00BC1E6B">
    <w:pPr>
      <w:pStyle w:val="Footer"/>
      <w:jc w:val="right"/>
    </w:pPr>
  </w:p>
  <w:p w14:paraId="4A25AF70" w14:textId="77777777" w:rsidR="00BC1E6B" w:rsidRDefault="00BC1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FB51" w14:textId="77777777" w:rsidR="00D434E7" w:rsidRDefault="00D434E7" w:rsidP="00437C2F">
      <w:r>
        <w:separator/>
      </w:r>
    </w:p>
  </w:footnote>
  <w:footnote w:type="continuationSeparator" w:id="0">
    <w:p w14:paraId="399ED80A" w14:textId="77777777" w:rsidR="00D434E7" w:rsidRDefault="00D434E7" w:rsidP="00437C2F">
      <w:r>
        <w:continuationSeparator/>
      </w:r>
    </w:p>
  </w:footnote>
  <w:footnote w:id="1">
    <w:p w14:paraId="4C8E3FBC" w14:textId="77777777" w:rsidR="0084452C" w:rsidRPr="00057E3A" w:rsidRDefault="0084452C" w:rsidP="0084452C">
      <w:pPr>
        <w:pStyle w:val="FootnoteText"/>
        <w:jc w:val="both"/>
        <w:rPr>
          <w:i/>
          <w:iCs/>
        </w:rPr>
      </w:pPr>
      <w:r w:rsidRPr="00057E3A">
        <w:rPr>
          <w:rStyle w:val="FootnoteReference"/>
          <w:i/>
          <w:iCs/>
        </w:rPr>
        <w:footnoteRef/>
      </w:r>
      <w:r w:rsidRPr="00057E3A">
        <w:rPr>
          <w:i/>
          <w:iCs/>
        </w:rPr>
        <w:t xml:space="preserve"> </w:t>
      </w:r>
      <w:r w:rsidRPr="00057E3A">
        <w:rPr>
          <w:rFonts w:eastAsia="Times New Roman"/>
          <w:i/>
          <w:iCs/>
        </w:rPr>
        <w:t xml:space="preserve">Skat. Iepirkumu uzraudzības biroja tīmekļvietnē pieejamo skaidrojumu “Vadlīnijas atklāta konkursa nolikuma sagatavošanai”. Pieejams </w:t>
      </w:r>
      <w:hyperlink r:id="rId1" w:history="1">
        <w:r w:rsidRPr="00057E3A">
          <w:rPr>
            <w:rStyle w:val="Hyperlink"/>
            <w:rFonts w:eastAsia="Times New Roman"/>
            <w:i/>
            <w:iCs/>
            <w:u w:val="none"/>
          </w:rPr>
          <w:t>https://www.iub.gov.lv/lv/vadlinijas-atklata-konkursa-nolikuma-sagatavosanai</w:t>
        </w:r>
      </w:hyperlink>
      <w:r w:rsidRPr="00057E3A">
        <w:rPr>
          <w:rFonts w:eastAsia="Times New Roman"/>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BEAE" w14:textId="0EC4B220" w:rsidR="00437C2F" w:rsidRDefault="00437C2F" w:rsidP="00CC3F7F">
    <w:pPr>
      <w:pStyle w:val="Header"/>
      <w:ind w:left="-1134" w:righ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526D" w14:textId="77DBB206" w:rsidR="00CC3F7F" w:rsidRDefault="00E55D3B" w:rsidP="00815A2F">
    <w:pPr>
      <w:pStyle w:val="Header"/>
      <w:ind w:left="-1134"/>
    </w:pPr>
    <w:r>
      <w:rPr>
        <w:noProof/>
      </w:rPr>
      <w:drawing>
        <wp:inline distT="0" distB="0" distL="0" distR="0" wp14:anchorId="7C788BFD" wp14:editId="52C8AE83">
          <wp:extent cx="7559675" cy="1475105"/>
          <wp:effectExtent l="0" t="0" r="3175" b="0"/>
          <wp:docPr id="9721941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75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E73EA"/>
    <w:multiLevelType w:val="multilevel"/>
    <w:tmpl w:val="E28A6A0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5C5DCE"/>
    <w:multiLevelType w:val="multilevel"/>
    <w:tmpl w:val="6DAAB54E"/>
    <w:lvl w:ilvl="0">
      <w:start w:val="1"/>
      <w:numFmt w:val="decimal"/>
      <w:lvlText w:val="%1)"/>
      <w:lvlJc w:val="left"/>
      <w:pPr>
        <w:tabs>
          <w:tab w:val="num" w:pos="720"/>
        </w:tabs>
        <w:ind w:left="720" w:hanging="360"/>
      </w:pPr>
      <w:rPr>
        <w:rFonts w:ascii="Times New Roman" w:eastAsia="Times New Roman"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4910319">
    <w:abstractNumId w:val="0"/>
  </w:num>
  <w:num w:numId="2" w16cid:durableId="1518344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2F"/>
    <w:rsid w:val="00016571"/>
    <w:rsid w:val="00026C96"/>
    <w:rsid w:val="00031D93"/>
    <w:rsid w:val="00047A33"/>
    <w:rsid w:val="0007000E"/>
    <w:rsid w:val="00086691"/>
    <w:rsid w:val="00095A94"/>
    <w:rsid w:val="000A4077"/>
    <w:rsid w:val="000A6AB9"/>
    <w:rsid w:val="001051C7"/>
    <w:rsid w:val="001065FA"/>
    <w:rsid w:val="00124701"/>
    <w:rsid w:val="001468EE"/>
    <w:rsid w:val="001475CD"/>
    <w:rsid w:val="00150BB8"/>
    <w:rsid w:val="00161499"/>
    <w:rsid w:val="00163122"/>
    <w:rsid w:val="001822F4"/>
    <w:rsid w:val="00191755"/>
    <w:rsid w:val="001B5274"/>
    <w:rsid w:val="001D25F7"/>
    <w:rsid w:val="001D744F"/>
    <w:rsid w:val="001E15F7"/>
    <w:rsid w:val="001E790A"/>
    <w:rsid w:val="001F21F8"/>
    <w:rsid w:val="001F266D"/>
    <w:rsid w:val="00211DCE"/>
    <w:rsid w:val="002214AB"/>
    <w:rsid w:val="002331A0"/>
    <w:rsid w:val="002338A3"/>
    <w:rsid w:val="00244221"/>
    <w:rsid w:val="002E11E2"/>
    <w:rsid w:val="00312E49"/>
    <w:rsid w:val="00374261"/>
    <w:rsid w:val="003A1C1B"/>
    <w:rsid w:val="003F5036"/>
    <w:rsid w:val="00431A24"/>
    <w:rsid w:val="00437C2F"/>
    <w:rsid w:val="004439F3"/>
    <w:rsid w:val="0045178A"/>
    <w:rsid w:val="004D3969"/>
    <w:rsid w:val="004D54A9"/>
    <w:rsid w:val="005205A8"/>
    <w:rsid w:val="00520FA7"/>
    <w:rsid w:val="005451A0"/>
    <w:rsid w:val="00563786"/>
    <w:rsid w:val="00593BBD"/>
    <w:rsid w:val="005C1EA3"/>
    <w:rsid w:val="00614B77"/>
    <w:rsid w:val="0061723D"/>
    <w:rsid w:val="006264BA"/>
    <w:rsid w:val="0064618A"/>
    <w:rsid w:val="00651563"/>
    <w:rsid w:val="00671CE0"/>
    <w:rsid w:val="006761FF"/>
    <w:rsid w:val="006A34ED"/>
    <w:rsid w:val="006E058A"/>
    <w:rsid w:val="00711AA6"/>
    <w:rsid w:val="00742B86"/>
    <w:rsid w:val="007669DD"/>
    <w:rsid w:val="007D2F59"/>
    <w:rsid w:val="007D4528"/>
    <w:rsid w:val="007E2799"/>
    <w:rsid w:val="007F212D"/>
    <w:rsid w:val="007F22B5"/>
    <w:rsid w:val="00815A2F"/>
    <w:rsid w:val="008162AD"/>
    <w:rsid w:val="00821A5C"/>
    <w:rsid w:val="0084452C"/>
    <w:rsid w:val="00857D41"/>
    <w:rsid w:val="00863A97"/>
    <w:rsid w:val="008721C8"/>
    <w:rsid w:val="00872E86"/>
    <w:rsid w:val="00884089"/>
    <w:rsid w:val="00887574"/>
    <w:rsid w:val="00897E31"/>
    <w:rsid w:val="008C28C5"/>
    <w:rsid w:val="008C7C38"/>
    <w:rsid w:val="008D240A"/>
    <w:rsid w:val="00920C5F"/>
    <w:rsid w:val="00954A81"/>
    <w:rsid w:val="00980435"/>
    <w:rsid w:val="00983E99"/>
    <w:rsid w:val="00991C7E"/>
    <w:rsid w:val="009D74F0"/>
    <w:rsid w:val="009F0FA8"/>
    <w:rsid w:val="009F169E"/>
    <w:rsid w:val="00A1598E"/>
    <w:rsid w:val="00A455B1"/>
    <w:rsid w:val="00A53603"/>
    <w:rsid w:val="00A56411"/>
    <w:rsid w:val="00A9360A"/>
    <w:rsid w:val="00AB00A4"/>
    <w:rsid w:val="00AD6BDE"/>
    <w:rsid w:val="00B03901"/>
    <w:rsid w:val="00B52191"/>
    <w:rsid w:val="00B52935"/>
    <w:rsid w:val="00B74F40"/>
    <w:rsid w:val="00B77B35"/>
    <w:rsid w:val="00B84247"/>
    <w:rsid w:val="00B92989"/>
    <w:rsid w:val="00BA29A4"/>
    <w:rsid w:val="00BB0A98"/>
    <w:rsid w:val="00BB43FC"/>
    <w:rsid w:val="00BC1E6B"/>
    <w:rsid w:val="00BF2254"/>
    <w:rsid w:val="00C1243D"/>
    <w:rsid w:val="00C61314"/>
    <w:rsid w:val="00C67520"/>
    <w:rsid w:val="00C808BF"/>
    <w:rsid w:val="00C860B6"/>
    <w:rsid w:val="00CA6ADE"/>
    <w:rsid w:val="00CC3F7F"/>
    <w:rsid w:val="00CD40C5"/>
    <w:rsid w:val="00CD5037"/>
    <w:rsid w:val="00D27145"/>
    <w:rsid w:val="00D434E7"/>
    <w:rsid w:val="00D445A2"/>
    <w:rsid w:val="00D570AB"/>
    <w:rsid w:val="00D6295E"/>
    <w:rsid w:val="00D76333"/>
    <w:rsid w:val="00DD4E6F"/>
    <w:rsid w:val="00DE13FB"/>
    <w:rsid w:val="00E12A29"/>
    <w:rsid w:val="00E26079"/>
    <w:rsid w:val="00E344D6"/>
    <w:rsid w:val="00E3516F"/>
    <w:rsid w:val="00E359F5"/>
    <w:rsid w:val="00E40EE9"/>
    <w:rsid w:val="00E55D3B"/>
    <w:rsid w:val="00E62B1C"/>
    <w:rsid w:val="00E90182"/>
    <w:rsid w:val="00EC2A1B"/>
    <w:rsid w:val="00F17096"/>
    <w:rsid w:val="00F27EB8"/>
    <w:rsid w:val="00F3428C"/>
    <w:rsid w:val="00F57F85"/>
    <w:rsid w:val="00F6127E"/>
    <w:rsid w:val="00F82864"/>
    <w:rsid w:val="00FB0613"/>
    <w:rsid w:val="00FD5BA4"/>
    <w:rsid w:val="00FD682F"/>
    <w:rsid w:val="00FE6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0908"/>
  <w15:chartTrackingRefBased/>
  <w15:docId w15:val="{1910BC6F-17F8-4407-B598-72FC19A3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4AB"/>
  </w:style>
  <w:style w:type="paragraph" w:styleId="Heading1">
    <w:name w:val="heading 1"/>
    <w:basedOn w:val="Normal"/>
    <w:next w:val="Normal"/>
    <w:link w:val="Heading1Char"/>
    <w:qFormat/>
    <w:rsid w:val="009F0FA8"/>
    <w:pPr>
      <w:keepNext/>
      <w:ind w:right="4156" w:firstLine="567"/>
      <w:jc w:val="left"/>
      <w:outlineLvl w:val="0"/>
    </w:pPr>
    <w:rPr>
      <w:rFonts w:ascii="Times New Roman BaltRim" w:eastAsia="Times New Roman" w:hAnsi="Times New Roman BaltRim"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C2F"/>
    <w:pPr>
      <w:tabs>
        <w:tab w:val="center" w:pos="4513"/>
        <w:tab w:val="right" w:pos="9026"/>
      </w:tabs>
    </w:pPr>
  </w:style>
  <w:style w:type="character" w:customStyle="1" w:styleId="HeaderChar">
    <w:name w:val="Header Char"/>
    <w:basedOn w:val="DefaultParagraphFont"/>
    <w:link w:val="Header"/>
    <w:uiPriority w:val="99"/>
    <w:rsid w:val="00437C2F"/>
  </w:style>
  <w:style w:type="paragraph" w:styleId="Footer">
    <w:name w:val="footer"/>
    <w:basedOn w:val="Normal"/>
    <w:link w:val="FooterChar"/>
    <w:uiPriority w:val="99"/>
    <w:unhideWhenUsed/>
    <w:rsid w:val="00437C2F"/>
    <w:pPr>
      <w:tabs>
        <w:tab w:val="center" w:pos="4513"/>
        <w:tab w:val="right" w:pos="9026"/>
      </w:tabs>
    </w:pPr>
  </w:style>
  <w:style w:type="character" w:customStyle="1" w:styleId="FooterChar">
    <w:name w:val="Footer Char"/>
    <w:basedOn w:val="DefaultParagraphFont"/>
    <w:link w:val="Footer"/>
    <w:uiPriority w:val="99"/>
    <w:rsid w:val="00437C2F"/>
  </w:style>
  <w:style w:type="table" w:styleId="TableGrid">
    <w:name w:val="Table Grid"/>
    <w:basedOn w:val="TableNormal"/>
    <w:uiPriority w:val="59"/>
    <w:rsid w:val="0043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C2F"/>
    <w:rPr>
      <w:color w:val="0563C1" w:themeColor="hyperlink"/>
      <w:u w:val="single"/>
    </w:rPr>
  </w:style>
  <w:style w:type="character" w:styleId="UnresolvedMention">
    <w:name w:val="Unresolved Mention"/>
    <w:basedOn w:val="DefaultParagraphFont"/>
    <w:uiPriority w:val="99"/>
    <w:semiHidden/>
    <w:unhideWhenUsed/>
    <w:rsid w:val="00437C2F"/>
    <w:rPr>
      <w:color w:val="605E5C"/>
      <w:shd w:val="clear" w:color="auto" w:fill="E1DFDD"/>
    </w:rPr>
  </w:style>
  <w:style w:type="paragraph" w:styleId="EnvelopeReturn">
    <w:name w:val="envelope return"/>
    <w:basedOn w:val="Normal"/>
    <w:rsid w:val="002214AB"/>
    <w:pPr>
      <w:keepLines/>
      <w:widowControl w:val="0"/>
      <w:spacing w:before="600"/>
    </w:pPr>
    <w:rPr>
      <w:rFonts w:eastAsia="Times New Roman" w:cs="Times New Roman"/>
      <w:i/>
      <w:sz w:val="26"/>
      <w:szCs w:val="20"/>
      <w:lang w:val="en-AU"/>
    </w:rPr>
  </w:style>
  <w:style w:type="paragraph" w:styleId="BodyTextIndent">
    <w:name w:val="Body Text Indent"/>
    <w:basedOn w:val="Normal"/>
    <w:link w:val="BodyTextIndentChar"/>
    <w:rsid w:val="002214AB"/>
    <w:pPr>
      <w:widowControl w:val="0"/>
      <w:spacing w:before="60" w:after="60" w:line="360" w:lineRule="auto"/>
    </w:pPr>
    <w:rPr>
      <w:rFonts w:eastAsia="Times New Roman" w:cs="Times New Roman"/>
      <w:i/>
      <w:szCs w:val="20"/>
      <w:lang w:eastAsia="lv-LV"/>
    </w:rPr>
  </w:style>
  <w:style w:type="character" w:customStyle="1" w:styleId="BodyTextIndentChar">
    <w:name w:val="Body Text Indent Char"/>
    <w:basedOn w:val="DefaultParagraphFont"/>
    <w:link w:val="BodyTextIndent"/>
    <w:rsid w:val="002214AB"/>
    <w:rPr>
      <w:rFonts w:ascii="Times New Roman" w:eastAsia="Times New Roman" w:hAnsi="Times New Roman" w:cs="Times New Roman"/>
      <w:i/>
      <w:sz w:val="24"/>
      <w:szCs w:val="20"/>
      <w:lang w:eastAsia="lv-LV"/>
    </w:rPr>
  </w:style>
  <w:style w:type="paragraph" w:styleId="NoSpacing">
    <w:name w:val="No Spacing"/>
    <w:uiPriority w:val="1"/>
    <w:qFormat/>
    <w:rsid w:val="002214AB"/>
    <w:rPr>
      <w:rFonts w:ascii="Montserrat" w:hAnsi="Montserrat"/>
    </w:rPr>
  </w:style>
  <w:style w:type="paragraph" w:customStyle="1" w:styleId="Veidlapam">
    <w:name w:val="Veidlapam"/>
    <w:basedOn w:val="Normal"/>
    <w:qFormat/>
    <w:rsid w:val="00651563"/>
  </w:style>
  <w:style w:type="table" w:customStyle="1" w:styleId="Reatabula1">
    <w:name w:val="Režģa tabula1"/>
    <w:basedOn w:val="TableNormal"/>
    <w:next w:val="TableGrid"/>
    <w:uiPriority w:val="59"/>
    <w:rsid w:val="000A4077"/>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F0FA8"/>
    <w:rPr>
      <w:rFonts w:ascii="Times New Roman BaltRim" w:eastAsia="Times New Roman" w:hAnsi="Times New Roman BaltRim" w:cs="Times New Roman"/>
      <w:szCs w:val="20"/>
      <w:lang w:eastAsia="lv-LV"/>
    </w:rPr>
  </w:style>
  <w:style w:type="paragraph" w:styleId="BalloonText">
    <w:name w:val="Balloon Text"/>
    <w:basedOn w:val="Normal"/>
    <w:link w:val="BalloonTextChar"/>
    <w:uiPriority w:val="99"/>
    <w:semiHidden/>
    <w:unhideWhenUsed/>
    <w:rsid w:val="00815A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A2F"/>
    <w:rPr>
      <w:rFonts w:ascii="Segoe UI" w:hAnsi="Segoe UI" w:cs="Segoe UI"/>
      <w:sz w:val="18"/>
      <w:szCs w:val="18"/>
    </w:rPr>
  </w:style>
  <w:style w:type="paragraph" w:styleId="ListParagraph">
    <w:name w:val="List Paragraph"/>
    <w:aliases w:val="2,Bullet list,Colorful List - Accent 12,H&amp;P List Paragraph,Normal bullet 2,Strip,Saistīto dokumentu saraksts,List Paragraph1,Syle 1,Numurets,Colorful List - Accent 11,PPS_Bullet,Akapit z listą BS,Bullet 1,Bullet Points,Bullet Styl,Dot "/>
    <w:basedOn w:val="Normal"/>
    <w:link w:val="ListParagraphChar"/>
    <w:uiPriority w:val="99"/>
    <w:qFormat/>
    <w:rsid w:val="0084452C"/>
    <w:pPr>
      <w:spacing w:after="160" w:line="259" w:lineRule="auto"/>
      <w:ind w:left="720"/>
      <w:contextualSpacing/>
      <w:jc w:val="left"/>
    </w:pPr>
    <w:rPr>
      <w:rFonts w:asciiTheme="minorHAnsi" w:hAnsiTheme="minorHAnsi"/>
      <w:sz w:val="22"/>
    </w:rPr>
  </w:style>
  <w:style w:type="paragraph" w:styleId="FootnoteText">
    <w:name w:val="footnote text"/>
    <w:basedOn w:val="Normal"/>
    <w:link w:val="FootnoteTextChar"/>
    <w:uiPriority w:val="99"/>
    <w:unhideWhenUsed/>
    <w:rsid w:val="0084452C"/>
    <w:pPr>
      <w:jc w:val="left"/>
    </w:pPr>
    <w:rPr>
      <w:rFonts w:eastAsia="Calibri" w:cs="Times New Roman"/>
      <w:sz w:val="20"/>
      <w:szCs w:val="20"/>
    </w:rPr>
  </w:style>
  <w:style w:type="character" w:customStyle="1" w:styleId="FootnoteTextChar">
    <w:name w:val="Footnote Text Char"/>
    <w:basedOn w:val="DefaultParagraphFont"/>
    <w:link w:val="FootnoteText"/>
    <w:uiPriority w:val="99"/>
    <w:rsid w:val="0084452C"/>
    <w:rPr>
      <w:rFonts w:eastAsia="Calibri" w:cs="Times New Roman"/>
      <w:sz w:val="20"/>
      <w:szCs w:val="20"/>
    </w:rPr>
  </w:style>
  <w:style w:type="character" w:styleId="FootnoteReference">
    <w:name w:val="footnote reference"/>
    <w:uiPriority w:val="99"/>
    <w:unhideWhenUsed/>
    <w:rsid w:val="0084452C"/>
    <w:rPr>
      <w:vertAlign w:val="superscript"/>
    </w:rPr>
  </w:style>
  <w:style w:type="character" w:customStyle="1" w:styleId="ListParagraphChar">
    <w:name w:val="List Paragraph Char"/>
    <w:aliases w:val="2 Char,Bullet list Char,Colorful List - Accent 12 Char,H&amp;P List Paragraph Char,Normal bullet 2 Char,Strip Char,Saistīto dokumentu saraksts Char,List Paragraph1 Char,Syle 1 Char,Numurets Char,Colorful List - Accent 11 Char,Dot  Char"/>
    <w:link w:val="ListParagraph"/>
    <w:uiPriority w:val="99"/>
    <w:qFormat/>
    <w:rsid w:val="0084452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5024">
      <w:bodyDiv w:val="1"/>
      <w:marLeft w:val="0"/>
      <w:marRight w:val="0"/>
      <w:marTop w:val="0"/>
      <w:marBottom w:val="0"/>
      <w:divBdr>
        <w:top w:val="none" w:sz="0" w:space="0" w:color="auto"/>
        <w:left w:val="none" w:sz="0" w:space="0" w:color="auto"/>
        <w:bottom w:val="none" w:sz="0" w:space="0" w:color="auto"/>
        <w:right w:val="none" w:sz="0" w:space="0" w:color="auto"/>
      </w:divBdr>
    </w:div>
    <w:div w:id="19623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55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ine.derringa@lvceli.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vadlinijas-atklata-konkursa-nolikuma-sagatavosana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6150-FFD2-4778-8AA2-5EBA4125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1319</Words>
  <Characters>7521</Characters>
  <Application>Microsoft Office Word</Application>
  <DocSecurity>0</DocSecurity>
  <Lines>62</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dc:creator>
  <cp:keywords/>
  <dc:description/>
  <cp:lastModifiedBy>Kristīne Derringa</cp:lastModifiedBy>
  <cp:revision>9</cp:revision>
  <dcterms:created xsi:type="dcterms:W3CDTF">2021-03-12T09:23:00Z</dcterms:created>
  <dcterms:modified xsi:type="dcterms:W3CDTF">2026-07-09T08:52:00Z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