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6963" w14:textId="300B8D20" w:rsidR="007765B3" w:rsidRPr="007765B3" w:rsidRDefault="004F3BF5" w:rsidP="007765B3">
      <w:pPr>
        <w:tabs>
          <w:tab w:val="right" w:pos="9354"/>
        </w:tabs>
        <w:suppressAutoHyphens/>
        <w:jc w:val="right"/>
        <w:rPr>
          <w:b/>
          <w:lang w:eastAsia="ar-SA"/>
        </w:rPr>
      </w:pPr>
      <w:r>
        <w:rPr>
          <w:b/>
          <w:lang w:eastAsia="ar-SA"/>
        </w:rPr>
        <w:t>7</w:t>
      </w:r>
      <w:r w:rsidR="007765B3" w:rsidRPr="007765B3">
        <w:rPr>
          <w:b/>
          <w:lang w:eastAsia="ar-SA"/>
        </w:rPr>
        <w:t>. pielikums</w:t>
      </w:r>
    </w:p>
    <w:p w14:paraId="52ECF360" w14:textId="77777777" w:rsidR="007765B3" w:rsidRPr="007765B3" w:rsidRDefault="007765B3" w:rsidP="007765B3">
      <w:pPr>
        <w:tabs>
          <w:tab w:val="right" w:pos="9354"/>
        </w:tabs>
        <w:suppressAutoHyphens/>
        <w:jc w:val="right"/>
        <w:rPr>
          <w:bCs/>
          <w:lang w:eastAsia="ar-SA"/>
        </w:rPr>
      </w:pPr>
      <w:r w:rsidRPr="007765B3">
        <w:rPr>
          <w:bCs/>
          <w:lang w:eastAsia="ar-SA"/>
        </w:rPr>
        <w:t>atklāta konkursa</w:t>
      </w:r>
    </w:p>
    <w:p w14:paraId="3E19A417" w14:textId="77777777" w:rsidR="007765B3" w:rsidRDefault="007765B3" w:rsidP="007765B3">
      <w:pPr>
        <w:tabs>
          <w:tab w:val="right" w:pos="9354"/>
        </w:tabs>
        <w:suppressAutoHyphens/>
        <w:jc w:val="right"/>
        <w:rPr>
          <w:bCs/>
          <w:lang w:eastAsia="ar-SA"/>
        </w:rPr>
      </w:pPr>
      <w:r w:rsidRPr="007765B3">
        <w:rPr>
          <w:bCs/>
          <w:lang w:eastAsia="ar-SA"/>
        </w:rPr>
        <w:t>“Bibliotēkas procesu automatizācijas un pašapkalpošanās sistēmas</w:t>
      </w:r>
    </w:p>
    <w:p w14:paraId="67417FD1" w14:textId="5A59B24A" w:rsidR="007765B3" w:rsidRPr="007765B3" w:rsidRDefault="007765B3" w:rsidP="007765B3">
      <w:pPr>
        <w:tabs>
          <w:tab w:val="right" w:pos="9354"/>
        </w:tabs>
        <w:suppressAutoHyphens/>
        <w:jc w:val="right"/>
        <w:rPr>
          <w:bCs/>
          <w:lang w:eastAsia="ar-SA"/>
        </w:rPr>
      </w:pPr>
      <w:r w:rsidRPr="007765B3">
        <w:rPr>
          <w:bCs/>
          <w:lang w:eastAsia="ar-SA"/>
        </w:rPr>
        <w:t>paplašināšanas risinājumu piegāde un uzstādīšana”</w:t>
      </w:r>
    </w:p>
    <w:p w14:paraId="3AB9F73A" w14:textId="56D15BE0" w:rsidR="007765B3" w:rsidRPr="007765B3" w:rsidRDefault="007765B3" w:rsidP="007765B3">
      <w:pPr>
        <w:tabs>
          <w:tab w:val="right" w:pos="9354"/>
        </w:tabs>
        <w:suppressAutoHyphens/>
        <w:jc w:val="right"/>
        <w:rPr>
          <w:bCs/>
          <w:lang w:eastAsia="ar-SA"/>
        </w:rPr>
      </w:pPr>
      <w:r w:rsidRPr="007765B3">
        <w:rPr>
          <w:bCs/>
          <w:lang w:eastAsia="ar-SA"/>
        </w:rPr>
        <w:t>(ID Nr. LU 2026/60) nolikumam</w:t>
      </w:r>
    </w:p>
    <w:p w14:paraId="7BB89A84" w14:textId="056BEA17" w:rsidR="00AD19B3" w:rsidRPr="00E47908" w:rsidRDefault="00A9749B" w:rsidP="007A59C6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NODROŠINĀJUMA</w:t>
      </w:r>
      <w:r w:rsidR="00634D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NOTEIKUMI</w:t>
      </w:r>
    </w:p>
    <w:p w14:paraId="5E317EF9" w14:textId="77777777" w:rsidR="0093614A" w:rsidRPr="0093614A" w:rsidRDefault="0093614A" w:rsidP="00A73B9F">
      <w:pPr>
        <w:pStyle w:val="Sarakstarindkopa"/>
        <w:numPr>
          <w:ilvl w:val="0"/>
          <w:numId w:val="4"/>
        </w:numPr>
        <w:ind w:left="357" w:hanging="357"/>
        <w:contextualSpacing w:val="0"/>
        <w:jc w:val="both"/>
        <w:rPr>
          <w:b/>
          <w:sz w:val="24"/>
          <w:szCs w:val="24"/>
        </w:rPr>
      </w:pPr>
      <w:r w:rsidRPr="0093614A">
        <w:rPr>
          <w:b/>
          <w:sz w:val="24"/>
          <w:szCs w:val="24"/>
        </w:rPr>
        <w:t>Avansa atmaksas nodrošinājums</w:t>
      </w:r>
    </w:p>
    <w:p w14:paraId="2BE0F1F2" w14:textId="0A3213B7" w:rsidR="00756276" w:rsidRDefault="0093614A" w:rsidP="00A73B9F">
      <w:pPr>
        <w:pStyle w:val="Sarakstarindkopa"/>
        <w:widowControl/>
        <w:numPr>
          <w:ilvl w:val="1"/>
          <w:numId w:val="4"/>
        </w:numPr>
        <w:overflowPunct/>
        <w:autoSpaceDE/>
        <w:autoSpaceDN/>
        <w:adjustRightInd/>
        <w:spacing w:before="60" w:after="60"/>
        <w:ind w:left="851" w:hanging="425"/>
        <w:contextualSpacing w:val="0"/>
        <w:jc w:val="both"/>
        <w:rPr>
          <w:sz w:val="24"/>
          <w:szCs w:val="24"/>
        </w:rPr>
      </w:pPr>
      <w:r w:rsidRPr="0093614A">
        <w:rPr>
          <w:sz w:val="24"/>
          <w:szCs w:val="24"/>
        </w:rPr>
        <w:t xml:space="preserve">Avansa maksājuma summas saņemšanai kā garantiju </w:t>
      </w:r>
      <w:r w:rsidR="00C134CF">
        <w:rPr>
          <w:sz w:val="24"/>
          <w:szCs w:val="24"/>
        </w:rPr>
        <w:t>a</w:t>
      </w:r>
      <w:r w:rsidRPr="0093614A">
        <w:rPr>
          <w:sz w:val="24"/>
          <w:szCs w:val="24"/>
        </w:rPr>
        <w:t xml:space="preserve">vansa atmaksai Izpildītājs iesniedz </w:t>
      </w:r>
      <w:r w:rsidR="005E2984">
        <w:rPr>
          <w:sz w:val="24"/>
          <w:szCs w:val="24"/>
        </w:rPr>
        <w:t xml:space="preserve">ar Pasūtītāju iepriekš saskaņotu </w:t>
      </w:r>
      <w:r w:rsidR="007C03BC" w:rsidRPr="00FF3F85">
        <w:rPr>
          <w:sz w:val="24"/>
          <w:szCs w:val="24"/>
        </w:rPr>
        <w:t xml:space="preserve">kredītiestādes vai </w:t>
      </w:r>
      <w:r w:rsidR="007C03BC" w:rsidRPr="007C03BC">
        <w:rPr>
          <w:sz w:val="24"/>
          <w:szCs w:val="24"/>
        </w:rPr>
        <w:t xml:space="preserve">apdrošināšanas sabiedrības izsniegtu neatsaucamu </w:t>
      </w:r>
      <w:r w:rsidR="00C53AEE" w:rsidRPr="007C03BC">
        <w:rPr>
          <w:sz w:val="24"/>
          <w:szCs w:val="24"/>
        </w:rPr>
        <w:t>beznosacījum</w:t>
      </w:r>
      <w:r w:rsidR="00C53AEE">
        <w:rPr>
          <w:sz w:val="24"/>
          <w:szCs w:val="24"/>
        </w:rPr>
        <w:t>u</w:t>
      </w:r>
      <w:r w:rsidR="00C53AEE" w:rsidRPr="0093614A">
        <w:rPr>
          <w:sz w:val="24"/>
          <w:szCs w:val="24"/>
        </w:rPr>
        <w:t xml:space="preserve"> </w:t>
      </w:r>
      <w:r w:rsidR="00C53AEE">
        <w:rPr>
          <w:sz w:val="24"/>
          <w:szCs w:val="24"/>
        </w:rPr>
        <w:t>pirmā pieprasījuma</w:t>
      </w:r>
      <w:r w:rsidR="00C53AEE" w:rsidRPr="007C03BC">
        <w:rPr>
          <w:sz w:val="24"/>
          <w:szCs w:val="24"/>
        </w:rPr>
        <w:t xml:space="preserve"> </w:t>
      </w:r>
      <w:r w:rsidRPr="0093614A">
        <w:rPr>
          <w:sz w:val="24"/>
          <w:szCs w:val="24"/>
        </w:rPr>
        <w:t xml:space="preserve">Avansa atmaksas </w:t>
      </w:r>
      <w:r w:rsidRPr="0003654D">
        <w:rPr>
          <w:sz w:val="24"/>
          <w:szCs w:val="24"/>
        </w:rPr>
        <w:t xml:space="preserve">nodrošinājumu </w:t>
      </w:r>
      <w:r w:rsidR="00C134CF" w:rsidRPr="0003654D">
        <w:rPr>
          <w:sz w:val="24"/>
          <w:szCs w:val="24"/>
        </w:rPr>
        <w:t>a</w:t>
      </w:r>
      <w:r w:rsidRPr="0003654D">
        <w:rPr>
          <w:sz w:val="24"/>
          <w:szCs w:val="24"/>
        </w:rPr>
        <w:t>vansa summas apmērā</w:t>
      </w:r>
      <w:r w:rsidR="005E2984">
        <w:rPr>
          <w:sz w:val="24"/>
          <w:szCs w:val="24"/>
        </w:rPr>
        <w:t xml:space="preserve"> (ne vairāk kā </w:t>
      </w:r>
      <w:r w:rsidR="007A59C6">
        <w:rPr>
          <w:sz w:val="24"/>
          <w:szCs w:val="24"/>
        </w:rPr>
        <w:t>3</w:t>
      </w:r>
      <w:r w:rsidR="005E2984">
        <w:rPr>
          <w:sz w:val="24"/>
          <w:szCs w:val="24"/>
        </w:rPr>
        <w:t>0% no iepirkuma līguma summas</w:t>
      </w:r>
      <w:r w:rsidR="007765B3">
        <w:rPr>
          <w:sz w:val="24"/>
          <w:szCs w:val="24"/>
        </w:rPr>
        <w:t xml:space="preserve"> ar PVN</w:t>
      </w:r>
      <w:r w:rsidR="005E2984">
        <w:rPr>
          <w:sz w:val="24"/>
          <w:szCs w:val="24"/>
        </w:rPr>
        <w:t>)</w:t>
      </w:r>
      <w:r w:rsidR="0003654D" w:rsidRPr="0003654D">
        <w:rPr>
          <w:sz w:val="24"/>
          <w:szCs w:val="24"/>
        </w:rPr>
        <w:t>.</w:t>
      </w:r>
    </w:p>
    <w:p w14:paraId="6FAEA26F" w14:textId="1517BEC3" w:rsidR="00756276" w:rsidRDefault="0093614A" w:rsidP="00A73B9F">
      <w:pPr>
        <w:pStyle w:val="Sarakstarindkopa"/>
        <w:widowControl/>
        <w:numPr>
          <w:ilvl w:val="1"/>
          <w:numId w:val="4"/>
        </w:numPr>
        <w:overflowPunct/>
        <w:autoSpaceDE/>
        <w:autoSpaceDN/>
        <w:adjustRightInd/>
        <w:spacing w:before="60" w:after="60"/>
        <w:ind w:left="851" w:hanging="425"/>
        <w:contextualSpacing w:val="0"/>
        <w:jc w:val="both"/>
        <w:rPr>
          <w:sz w:val="24"/>
          <w:szCs w:val="24"/>
        </w:rPr>
      </w:pPr>
      <w:r w:rsidRPr="0093614A">
        <w:rPr>
          <w:sz w:val="24"/>
          <w:szCs w:val="24"/>
        </w:rPr>
        <w:t>Avansa atmaksas nodrošinājumam jābūt nepārtraukti spēkā</w:t>
      </w:r>
      <w:r w:rsidR="005E2984">
        <w:rPr>
          <w:sz w:val="24"/>
          <w:szCs w:val="24"/>
        </w:rPr>
        <w:t xml:space="preserve">, </w:t>
      </w:r>
      <w:r w:rsidRPr="0093614A">
        <w:rPr>
          <w:sz w:val="24"/>
          <w:szCs w:val="24"/>
        </w:rPr>
        <w:t xml:space="preserve">līdz abas </w:t>
      </w:r>
      <w:r w:rsidR="00C134CF">
        <w:rPr>
          <w:sz w:val="24"/>
          <w:szCs w:val="24"/>
        </w:rPr>
        <w:t>p</w:t>
      </w:r>
      <w:r w:rsidRPr="0093614A">
        <w:rPr>
          <w:sz w:val="24"/>
          <w:szCs w:val="24"/>
        </w:rPr>
        <w:t>uses parakstīj</w:t>
      </w:r>
      <w:r w:rsidR="00756276">
        <w:rPr>
          <w:sz w:val="24"/>
          <w:szCs w:val="24"/>
        </w:rPr>
        <w:t xml:space="preserve">ušas galīgo </w:t>
      </w:r>
      <w:r w:rsidR="005E2984">
        <w:rPr>
          <w:sz w:val="24"/>
          <w:szCs w:val="24"/>
        </w:rPr>
        <w:t xml:space="preserve">preču </w:t>
      </w:r>
      <w:r w:rsidR="00756276">
        <w:rPr>
          <w:sz w:val="24"/>
          <w:szCs w:val="24"/>
        </w:rPr>
        <w:t xml:space="preserve">pieņemšanas – </w:t>
      </w:r>
      <w:r w:rsidRPr="0093614A">
        <w:rPr>
          <w:sz w:val="24"/>
          <w:szCs w:val="24"/>
        </w:rPr>
        <w:t xml:space="preserve">nodošanas aktu vai līdz </w:t>
      </w:r>
      <w:r w:rsidR="00C134CF">
        <w:rPr>
          <w:sz w:val="24"/>
          <w:szCs w:val="24"/>
        </w:rPr>
        <w:t>a</w:t>
      </w:r>
      <w:r w:rsidRPr="0093614A">
        <w:rPr>
          <w:sz w:val="24"/>
          <w:szCs w:val="24"/>
        </w:rPr>
        <w:t>vansa summas pilnīgai dzēšanai, atkarībā, ku</w:t>
      </w:r>
      <w:r w:rsidR="00756276">
        <w:rPr>
          <w:sz w:val="24"/>
          <w:szCs w:val="24"/>
        </w:rPr>
        <w:t>rš nosacījums iestājas pirmais.</w:t>
      </w:r>
      <w:r w:rsidR="00013229">
        <w:rPr>
          <w:sz w:val="24"/>
          <w:szCs w:val="24"/>
        </w:rPr>
        <w:t xml:space="preserve"> Avansa atmaksas nodrošinājuma summa var tikt samazināta atbilstoši atmaksātā (dzēstā) avansa apjomam.</w:t>
      </w:r>
    </w:p>
    <w:p w14:paraId="199A6E25" w14:textId="77777777" w:rsidR="00BA5A94" w:rsidRDefault="0093614A" w:rsidP="00A73B9F">
      <w:pPr>
        <w:pStyle w:val="Sarakstarindkopa"/>
        <w:widowControl/>
        <w:numPr>
          <w:ilvl w:val="1"/>
          <w:numId w:val="4"/>
        </w:numPr>
        <w:overflowPunct/>
        <w:autoSpaceDE/>
        <w:autoSpaceDN/>
        <w:adjustRightInd/>
        <w:spacing w:before="60" w:after="60"/>
        <w:ind w:left="851" w:hanging="425"/>
        <w:contextualSpacing w:val="0"/>
        <w:jc w:val="both"/>
        <w:rPr>
          <w:sz w:val="24"/>
          <w:szCs w:val="24"/>
        </w:rPr>
      </w:pPr>
      <w:r w:rsidRPr="0093614A">
        <w:rPr>
          <w:sz w:val="24"/>
          <w:szCs w:val="24"/>
        </w:rPr>
        <w:t>Avansa atmaksas nodrošinājumam jābūt noformētam ar Pasūtītāju iepriekš saskaņotā formā un saturā, un tam jāsatur šādi noteikumi</w:t>
      </w:r>
      <w:r w:rsidR="00447D49">
        <w:rPr>
          <w:sz w:val="24"/>
          <w:szCs w:val="24"/>
        </w:rPr>
        <w:t>:</w:t>
      </w:r>
    </w:p>
    <w:p w14:paraId="5480319F" w14:textId="77777777" w:rsidR="00756276" w:rsidRDefault="0093614A" w:rsidP="00A73B9F">
      <w:pPr>
        <w:pStyle w:val="Sarakstarindkopa"/>
        <w:numPr>
          <w:ilvl w:val="2"/>
          <w:numId w:val="4"/>
        </w:numPr>
        <w:spacing w:before="60" w:after="60"/>
        <w:ind w:left="1559"/>
        <w:contextualSpacing w:val="0"/>
        <w:jc w:val="both"/>
        <w:rPr>
          <w:sz w:val="24"/>
          <w:szCs w:val="24"/>
        </w:rPr>
      </w:pPr>
      <w:r w:rsidRPr="0093614A">
        <w:rPr>
          <w:sz w:val="24"/>
          <w:szCs w:val="24"/>
        </w:rPr>
        <w:t xml:space="preserve">nodrošinājuma summa </w:t>
      </w:r>
      <w:r w:rsidR="00C134CF">
        <w:rPr>
          <w:sz w:val="24"/>
          <w:szCs w:val="24"/>
        </w:rPr>
        <w:t>a</w:t>
      </w:r>
      <w:r w:rsidRPr="0093614A">
        <w:rPr>
          <w:sz w:val="24"/>
          <w:szCs w:val="24"/>
        </w:rPr>
        <w:t>vansa summas apmērā;</w:t>
      </w:r>
    </w:p>
    <w:p w14:paraId="54FC72BB" w14:textId="77777777" w:rsidR="00756276" w:rsidRDefault="0093614A" w:rsidP="00A73B9F">
      <w:pPr>
        <w:pStyle w:val="Sarakstarindkopa"/>
        <w:numPr>
          <w:ilvl w:val="2"/>
          <w:numId w:val="4"/>
        </w:numPr>
        <w:spacing w:before="60" w:after="60"/>
        <w:ind w:left="1559"/>
        <w:contextualSpacing w:val="0"/>
        <w:jc w:val="both"/>
        <w:rPr>
          <w:sz w:val="24"/>
          <w:szCs w:val="24"/>
        </w:rPr>
      </w:pPr>
      <w:r w:rsidRPr="00756276">
        <w:rPr>
          <w:sz w:val="24"/>
          <w:szCs w:val="24"/>
        </w:rPr>
        <w:t>nodrošinājuma izdevējs apņemas bez jebkādām ierunām un nosacījumiem pēc Pasūtītāja pirmā pieprasījuma samaksāt Pasūtītājam nodrošinājuma summu;</w:t>
      </w:r>
    </w:p>
    <w:p w14:paraId="73CA6532" w14:textId="79416E8C" w:rsidR="00756276" w:rsidRDefault="0093614A" w:rsidP="00A73B9F">
      <w:pPr>
        <w:pStyle w:val="Sarakstarindkopa"/>
        <w:numPr>
          <w:ilvl w:val="2"/>
          <w:numId w:val="4"/>
        </w:numPr>
        <w:spacing w:before="60" w:after="60"/>
        <w:ind w:left="1559"/>
        <w:contextualSpacing w:val="0"/>
        <w:jc w:val="both"/>
        <w:rPr>
          <w:sz w:val="24"/>
          <w:szCs w:val="24"/>
        </w:rPr>
      </w:pPr>
      <w:r w:rsidRPr="00756276">
        <w:rPr>
          <w:sz w:val="24"/>
          <w:szCs w:val="24"/>
        </w:rPr>
        <w:t xml:space="preserve">nodrošinājumam jābūt spēkā līdz </w:t>
      </w:r>
      <w:r w:rsidR="00756276">
        <w:rPr>
          <w:sz w:val="24"/>
          <w:szCs w:val="24"/>
        </w:rPr>
        <w:t xml:space="preserve">šo noteikumu </w:t>
      </w:r>
      <w:r w:rsidR="005E2984">
        <w:rPr>
          <w:sz w:val="24"/>
          <w:szCs w:val="24"/>
        </w:rPr>
        <w:t>1</w:t>
      </w:r>
      <w:r w:rsidRPr="00756276">
        <w:rPr>
          <w:sz w:val="24"/>
          <w:szCs w:val="24"/>
        </w:rPr>
        <w:t>.</w:t>
      </w:r>
      <w:r w:rsidR="00FA21E9">
        <w:rPr>
          <w:sz w:val="24"/>
          <w:szCs w:val="24"/>
        </w:rPr>
        <w:t>2</w:t>
      </w:r>
      <w:r w:rsidRPr="00756276">
        <w:rPr>
          <w:sz w:val="24"/>
          <w:szCs w:val="24"/>
        </w:rPr>
        <w:t>. punktā minētajam termiņam;</w:t>
      </w:r>
    </w:p>
    <w:p w14:paraId="36991345" w14:textId="77777777" w:rsidR="005F21DF" w:rsidRPr="00756276" w:rsidRDefault="0093614A" w:rsidP="00A73B9F">
      <w:pPr>
        <w:pStyle w:val="Sarakstarindkopa"/>
        <w:numPr>
          <w:ilvl w:val="2"/>
          <w:numId w:val="4"/>
        </w:numPr>
        <w:spacing w:before="60" w:after="60"/>
        <w:ind w:left="1559"/>
        <w:contextualSpacing w:val="0"/>
        <w:jc w:val="both"/>
        <w:rPr>
          <w:sz w:val="24"/>
          <w:szCs w:val="24"/>
        </w:rPr>
      </w:pPr>
      <w:r w:rsidRPr="00756276">
        <w:rPr>
          <w:sz w:val="24"/>
          <w:szCs w:val="24"/>
        </w:rPr>
        <w:t>nodrošinājumam jābūt spēkā arī Izpildītāja maksātnespējas vai likvidācijas gadījumā.</w:t>
      </w:r>
    </w:p>
    <w:p w14:paraId="29850B52" w14:textId="77777777" w:rsidR="00831892" w:rsidRPr="0093614A" w:rsidRDefault="00831892" w:rsidP="00A73B9F">
      <w:pPr>
        <w:pStyle w:val="Sarakstarindkopa"/>
        <w:numPr>
          <w:ilvl w:val="0"/>
          <w:numId w:val="4"/>
        </w:numPr>
        <w:ind w:left="357" w:hanging="357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Saistību izpildes </w:t>
      </w:r>
      <w:r w:rsidRPr="0093614A">
        <w:rPr>
          <w:b/>
          <w:sz w:val="24"/>
          <w:szCs w:val="24"/>
        </w:rPr>
        <w:t>nodrošinājums</w:t>
      </w:r>
    </w:p>
    <w:p w14:paraId="701006AD" w14:textId="20C723E9" w:rsidR="00831892" w:rsidRPr="00230402" w:rsidRDefault="00831892" w:rsidP="00A73B9F">
      <w:pPr>
        <w:pStyle w:val="Sarakstarindkopa"/>
        <w:widowControl/>
        <w:numPr>
          <w:ilvl w:val="1"/>
          <w:numId w:val="4"/>
        </w:numPr>
        <w:overflowPunct/>
        <w:autoSpaceDE/>
        <w:autoSpaceDN/>
        <w:adjustRightInd/>
        <w:spacing w:before="60" w:after="60"/>
        <w:ind w:left="851" w:hanging="425"/>
        <w:contextualSpacing w:val="0"/>
        <w:jc w:val="both"/>
        <w:rPr>
          <w:sz w:val="24"/>
          <w:szCs w:val="24"/>
        </w:rPr>
      </w:pPr>
      <w:r w:rsidRPr="00831892">
        <w:rPr>
          <w:sz w:val="24"/>
          <w:szCs w:val="24"/>
        </w:rPr>
        <w:t xml:space="preserve">Izpildītājs ne vēlāk kā 10 (desmit) dienu laikā pēc </w:t>
      </w:r>
      <w:r>
        <w:rPr>
          <w:sz w:val="24"/>
          <w:szCs w:val="24"/>
        </w:rPr>
        <w:t>iepirkuma l</w:t>
      </w:r>
      <w:r w:rsidRPr="00831892">
        <w:rPr>
          <w:sz w:val="24"/>
          <w:szCs w:val="24"/>
        </w:rPr>
        <w:t xml:space="preserve">īguma noslēgšanas Izpildītājs iesniedz </w:t>
      </w:r>
      <w:r w:rsidR="005E2984">
        <w:rPr>
          <w:sz w:val="24"/>
          <w:szCs w:val="24"/>
        </w:rPr>
        <w:t xml:space="preserve">ar Pasūtītāju iepriekš saskaņotu </w:t>
      </w:r>
      <w:r w:rsidR="007C03BC" w:rsidRPr="00FF3F85">
        <w:rPr>
          <w:sz w:val="24"/>
          <w:szCs w:val="24"/>
        </w:rPr>
        <w:t xml:space="preserve">kredītiestādes vai </w:t>
      </w:r>
      <w:r w:rsidR="007C03BC" w:rsidRPr="007C03BC">
        <w:rPr>
          <w:sz w:val="24"/>
          <w:szCs w:val="24"/>
        </w:rPr>
        <w:t xml:space="preserve">apdrošināšanas sabiedrības izsniegtu </w:t>
      </w:r>
      <w:r w:rsidR="00C53AEE" w:rsidRPr="007C03BC">
        <w:rPr>
          <w:sz w:val="24"/>
          <w:szCs w:val="24"/>
        </w:rPr>
        <w:t>neatsaucamu beznosacījum</w:t>
      </w:r>
      <w:r w:rsidR="00C53AEE">
        <w:rPr>
          <w:sz w:val="24"/>
          <w:szCs w:val="24"/>
        </w:rPr>
        <w:t>u</w:t>
      </w:r>
      <w:r w:rsidR="00C53AEE" w:rsidRPr="0093614A">
        <w:rPr>
          <w:sz w:val="24"/>
          <w:szCs w:val="24"/>
        </w:rPr>
        <w:t xml:space="preserve"> </w:t>
      </w:r>
      <w:r w:rsidR="00C53AEE">
        <w:rPr>
          <w:sz w:val="24"/>
          <w:szCs w:val="24"/>
        </w:rPr>
        <w:t>pirmā pieprasījuma</w:t>
      </w:r>
      <w:r w:rsidR="00C53AEE" w:rsidRPr="00230402">
        <w:rPr>
          <w:sz w:val="24"/>
          <w:szCs w:val="24"/>
        </w:rPr>
        <w:t xml:space="preserve"> </w:t>
      </w:r>
      <w:r w:rsidRPr="00230402">
        <w:rPr>
          <w:sz w:val="24"/>
          <w:szCs w:val="24"/>
        </w:rPr>
        <w:t xml:space="preserve">Saistību izpildes nodrošinājumu </w:t>
      </w:r>
      <w:r w:rsidR="008A2ADF">
        <w:rPr>
          <w:sz w:val="24"/>
          <w:szCs w:val="24"/>
        </w:rPr>
        <w:t>10</w:t>
      </w:r>
      <w:r w:rsidRPr="00230402">
        <w:rPr>
          <w:sz w:val="24"/>
          <w:szCs w:val="24"/>
        </w:rPr>
        <w:t>% (</w:t>
      </w:r>
      <w:r w:rsidR="008A2ADF">
        <w:rPr>
          <w:sz w:val="24"/>
          <w:szCs w:val="24"/>
        </w:rPr>
        <w:t xml:space="preserve">desmit </w:t>
      </w:r>
      <w:r w:rsidRPr="00230402">
        <w:rPr>
          <w:sz w:val="24"/>
          <w:szCs w:val="24"/>
        </w:rPr>
        <w:t>procentu) apmērā no iepirkuma līguma summas.</w:t>
      </w:r>
    </w:p>
    <w:p w14:paraId="31DD1C66" w14:textId="77777777" w:rsidR="00831892" w:rsidRPr="00230402" w:rsidRDefault="00831892" w:rsidP="00A73B9F">
      <w:pPr>
        <w:pStyle w:val="Sarakstarindkopa"/>
        <w:widowControl/>
        <w:numPr>
          <w:ilvl w:val="1"/>
          <w:numId w:val="4"/>
        </w:numPr>
        <w:overflowPunct/>
        <w:autoSpaceDE/>
        <w:autoSpaceDN/>
        <w:adjustRightInd/>
        <w:spacing w:before="60" w:after="60"/>
        <w:ind w:left="851" w:hanging="425"/>
        <w:contextualSpacing w:val="0"/>
        <w:jc w:val="both"/>
        <w:rPr>
          <w:sz w:val="24"/>
          <w:szCs w:val="24"/>
        </w:rPr>
      </w:pPr>
      <w:r w:rsidRPr="00230402">
        <w:rPr>
          <w:sz w:val="24"/>
          <w:szCs w:val="24"/>
        </w:rPr>
        <w:t>Saistību izpildes nodrošinājumam jābūt noformētam ar Pasūtītāju iepriekš saskaņotā  formā un saturā, un tam jāsatur šādi noteikumi:</w:t>
      </w:r>
    </w:p>
    <w:p w14:paraId="0A975125" w14:textId="3725D5BC" w:rsidR="00831892" w:rsidRDefault="00831892" w:rsidP="00A73B9F">
      <w:pPr>
        <w:pStyle w:val="Sarakstarindkopa"/>
        <w:numPr>
          <w:ilvl w:val="2"/>
          <w:numId w:val="4"/>
        </w:numPr>
        <w:spacing w:before="60" w:after="60"/>
        <w:ind w:left="1559"/>
        <w:contextualSpacing w:val="0"/>
        <w:jc w:val="both"/>
        <w:rPr>
          <w:sz w:val="24"/>
          <w:szCs w:val="24"/>
        </w:rPr>
      </w:pPr>
      <w:r w:rsidRPr="00230402">
        <w:rPr>
          <w:sz w:val="24"/>
          <w:szCs w:val="24"/>
        </w:rPr>
        <w:t xml:space="preserve">nodrošinājuma summa </w:t>
      </w:r>
      <w:r w:rsidR="005E2984">
        <w:rPr>
          <w:sz w:val="24"/>
          <w:szCs w:val="24"/>
        </w:rPr>
        <w:t>10</w:t>
      </w:r>
      <w:r w:rsidRPr="00230402">
        <w:rPr>
          <w:sz w:val="24"/>
          <w:szCs w:val="24"/>
        </w:rPr>
        <w:t>% (</w:t>
      </w:r>
      <w:r w:rsidR="005E2984">
        <w:rPr>
          <w:sz w:val="24"/>
          <w:szCs w:val="24"/>
        </w:rPr>
        <w:t xml:space="preserve">desmit </w:t>
      </w:r>
      <w:r w:rsidRPr="00230402">
        <w:rPr>
          <w:sz w:val="24"/>
          <w:szCs w:val="24"/>
        </w:rPr>
        <w:t>procentu) apmērā</w:t>
      </w:r>
      <w:r w:rsidRPr="00831892">
        <w:rPr>
          <w:sz w:val="24"/>
          <w:szCs w:val="24"/>
        </w:rPr>
        <w:t xml:space="preserve"> no </w:t>
      </w:r>
      <w:r>
        <w:rPr>
          <w:sz w:val="24"/>
          <w:szCs w:val="24"/>
        </w:rPr>
        <w:t xml:space="preserve">iepirkuma līguma </w:t>
      </w:r>
      <w:r w:rsidRPr="00831892">
        <w:rPr>
          <w:sz w:val="24"/>
          <w:szCs w:val="24"/>
        </w:rPr>
        <w:t>summas;</w:t>
      </w:r>
    </w:p>
    <w:p w14:paraId="6A10B4FB" w14:textId="77777777" w:rsidR="00831892" w:rsidRDefault="00831892" w:rsidP="00A73B9F">
      <w:pPr>
        <w:pStyle w:val="Sarakstarindkopa"/>
        <w:numPr>
          <w:ilvl w:val="2"/>
          <w:numId w:val="4"/>
        </w:numPr>
        <w:spacing w:before="60" w:after="60"/>
        <w:ind w:left="1559"/>
        <w:contextualSpacing w:val="0"/>
        <w:jc w:val="both"/>
        <w:rPr>
          <w:sz w:val="24"/>
          <w:szCs w:val="24"/>
        </w:rPr>
      </w:pPr>
      <w:r w:rsidRPr="00831892">
        <w:rPr>
          <w:sz w:val="24"/>
          <w:szCs w:val="24"/>
        </w:rPr>
        <w:t>nodrošinājuma izdevējs apņemas bez jebkādām ierunām un nosacījumiem pēc Pasūtītāja pirmā pieprasījuma samaksāt Pasūtītājam nodrošinājuma summu;</w:t>
      </w:r>
    </w:p>
    <w:p w14:paraId="1DFBF866" w14:textId="2CBE9912" w:rsidR="00831892" w:rsidRDefault="00831892" w:rsidP="00A73B9F">
      <w:pPr>
        <w:pStyle w:val="Sarakstarindkopa"/>
        <w:numPr>
          <w:ilvl w:val="2"/>
          <w:numId w:val="4"/>
        </w:numPr>
        <w:spacing w:before="60" w:after="60"/>
        <w:ind w:left="1559"/>
        <w:contextualSpacing w:val="0"/>
        <w:jc w:val="both"/>
        <w:rPr>
          <w:sz w:val="24"/>
          <w:szCs w:val="24"/>
        </w:rPr>
      </w:pPr>
      <w:r w:rsidRPr="00831892">
        <w:rPr>
          <w:sz w:val="24"/>
          <w:szCs w:val="24"/>
        </w:rPr>
        <w:t xml:space="preserve">nodrošinājumam jābūt nepārtraukti spēkā līdz </w:t>
      </w:r>
      <w:r>
        <w:rPr>
          <w:sz w:val="24"/>
          <w:szCs w:val="24"/>
        </w:rPr>
        <w:t>g</w:t>
      </w:r>
      <w:r w:rsidRPr="00831892">
        <w:rPr>
          <w:sz w:val="24"/>
          <w:szCs w:val="24"/>
        </w:rPr>
        <w:t xml:space="preserve">alīgā </w:t>
      </w:r>
      <w:r w:rsidR="005E2984">
        <w:rPr>
          <w:sz w:val="24"/>
          <w:szCs w:val="24"/>
        </w:rPr>
        <w:t xml:space="preserve">preču </w:t>
      </w:r>
      <w:r>
        <w:rPr>
          <w:sz w:val="24"/>
          <w:szCs w:val="24"/>
        </w:rPr>
        <w:t>p</w:t>
      </w:r>
      <w:r w:rsidRPr="00831892">
        <w:rPr>
          <w:sz w:val="24"/>
          <w:szCs w:val="24"/>
        </w:rPr>
        <w:t>ieņemšanas</w:t>
      </w:r>
      <w:r>
        <w:rPr>
          <w:sz w:val="24"/>
          <w:szCs w:val="24"/>
        </w:rPr>
        <w:t xml:space="preserve"> – </w:t>
      </w:r>
      <w:r w:rsidRPr="00831892">
        <w:rPr>
          <w:sz w:val="24"/>
          <w:szCs w:val="24"/>
        </w:rPr>
        <w:t>nodošanas akta parakstīšanas termiņam, kam vēl pievienojam</w:t>
      </w:r>
      <w:r>
        <w:rPr>
          <w:sz w:val="24"/>
          <w:szCs w:val="24"/>
        </w:rPr>
        <w:t>as</w:t>
      </w:r>
      <w:r w:rsidRPr="00831892">
        <w:rPr>
          <w:sz w:val="24"/>
          <w:szCs w:val="24"/>
        </w:rPr>
        <w:t xml:space="preserve"> </w:t>
      </w:r>
      <w:r>
        <w:rPr>
          <w:sz w:val="24"/>
          <w:szCs w:val="24"/>
        </w:rPr>
        <w:t>vismaz 30 (trīsdesmit) dienas;</w:t>
      </w:r>
    </w:p>
    <w:p w14:paraId="4876F10B" w14:textId="3EE07659" w:rsidR="00AD19B3" w:rsidRPr="007A59C6" w:rsidRDefault="00831892" w:rsidP="007A59C6">
      <w:pPr>
        <w:pStyle w:val="Sarakstarindkopa"/>
        <w:numPr>
          <w:ilvl w:val="2"/>
          <w:numId w:val="4"/>
        </w:numPr>
        <w:spacing w:before="60" w:after="60"/>
        <w:ind w:left="1559"/>
        <w:contextualSpacing w:val="0"/>
        <w:jc w:val="both"/>
        <w:rPr>
          <w:sz w:val="24"/>
          <w:szCs w:val="24"/>
        </w:rPr>
      </w:pPr>
      <w:r w:rsidRPr="00831892">
        <w:rPr>
          <w:sz w:val="24"/>
          <w:szCs w:val="24"/>
        </w:rPr>
        <w:t>nodrošinājumam jābūt spēkā arī Izpildītāja maksātnespējas vai likvidācijas gadījumā.</w:t>
      </w:r>
    </w:p>
    <w:p w14:paraId="1609FCA7" w14:textId="786F92D6" w:rsidR="00A9749B" w:rsidRPr="000E4E34" w:rsidRDefault="00A73B9F" w:rsidP="007A59C6">
      <w:pPr>
        <w:widowControl/>
        <w:overflowPunct/>
        <w:autoSpaceDE/>
        <w:autoSpaceDN/>
        <w:adjustRightInd/>
        <w:spacing w:before="240"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</w:t>
      </w:r>
      <w:r w:rsidR="000E4E34" w:rsidRPr="000E4E34">
        <w:rPr>
          <w:b/>
          <w:sz w:val="24"/>
          <w:szCs w:val="24"/>
        </w:rPr>
        <w:t>LIECINĀJUMS</w:t>
      </w:r>
    </w:p>
    <w:p w14:paraId="182E5B5A" w14:textId="4EE76760" w:rsidR="00A9749B" w:rsidRDefault="00A9749B" w:rsidP="00A73B9F">
      <w:pPr>
        <w:jc w:val="both"/>
        <w:rPr>
          <w:sz w:val="24"/>
          <w:szCs w:val="24"/>
        </w:rPr>
      </w:pPr>
      <w:r>
        <w:rPr>
          <w:sz w:val="24"/>
          <w:szCs w:val="24"/>
        </w:rPr>
        <w:t>Pretendents</w:t>
      </w:r>
      <w:r w:rsidR="000E4E34">
        <w:rPr>
          <w:sz w:val="24"/>
          <w:szCs w:val="24"/>
        </w:rPr>
        <w:t xml:space="preserve"> __________</w:t>
      </w:r>
      <w:r w:rsidR="007A59C6">
        <w:rPr>
          <w:sz w:val="24"/>
          <w:szCs w:val="24"/>
        </w:rPr>
        <w:t>___</w:t>
      </w:r>
      <w:r w:rsidR="000E4E34">
        <w:rPr>
          <w:sz w:val="24"/>
          <w:szCs w:val="24"/>
        </w:rPr>
        <w:t>_____</w:t>
      </w:r>
      <w:r>
        <w:rPr>
          <w:i/>
          <w:sz w:val="24"/>
          <w:szCs w:val="24"/>
        </w:rPr>
        <w:t>,</w:t>
      </w:r>
      <w:r w:rsidRPr="00E47908">
        <w:rPr>
          <w:sz w:val="24"/>
          <w:szCs w:val="24"/>
        </w:rPr>
        <w:t xml:space="preserve"> </w:t>
      </w:r>
      <w:r w:rsidR="000E4E34">
        <w:rPr>
          <w:sz w:val="24"/>
          <w:szCs w:val="24"/>
        </w:rPr>
        <w:t>R</w:t>
      </w:r>
      <w:r w:rsidRPr="00E47908">
        <w:rPr>
          <w:sz w:val="24"/>
          <w:szCs w:val="24"/>
        </w:rPr>
        <w:t>eģ. Nr. _</w:t>
      </w:r>
      <w:r>
        <w:rPr>
          <w:sz w:val="24"/>
          <w:szCs w:val="24"/>
        </w:rPr>
        <w:t>_________</w:t>
      </w:r>
      <w:r w:rsidR="007A59C6">
        <w:rPr>
          <w:sz w:val="24"/>
          <w:szCs w:val="24"/>
        </w:rPr>
        <w:t>___</w:t>
      </w:r>
      <w:r w:rsidRPr="00E47908">
        <w:rPr>
          <w:sz w:val="24"/>
          <w:szCs w:val="24"/>
        </w:rPr>
        <w:t>__</w:t>
      </w:r>
      <w:r>
        <w:rPr>
          <w:sz w:val="24"/>
          <w:szCs w:val="24"/>
        </w:rPr>
        <w:t xml:space="preserve">, </w:t>
      </w:r>
    </w:p>
    <w:p w14:paraId="7264FFFB" w14:textId="77777777" w:rsidR="00A9749B" w:rsidRPr="00E47908" w:rsidRDefault="000E4E34" w:rsidP="00A73B9F">
      <w:pPr>
        <w:spacing w:before="120" w:after="120"/>
        <w:jc w:val="both"/>
        <w:rPr>
          <w:bCs/>
          <w:sz w:val="24"/>
          <w:szCs w:val="24"/>
        </w:rPr>
      </w:pPr>
      <w:r w:rsidRPr="000E4E34">
        <w:rPr>
          <w:sz w:val="24"/>
          <w:szCs w:val="24"/>
        </w:rPr>
        <w:t>ar šī dokumenta parakstīšanu</w:t>
      </w:r>
      <w:r>
        <w:rPr>
          <w:b/>
          <w:sz w:val="24"/>
          <w:szCs w:val="24"/>
        </w:rPr>
        <w:t xml:space="preserve"> </w:t>
      </w:r>
      <w:r w:rsidR="00A9749B" w:rsidRPr="00CC7576">
        <w:rPr>
          <w:b/>
          <w:sz w:val="24"/>
          <w:szCs w:val="24"/>
        </w:rPr>
        <w:t>apliecina</w:t>
      </w:r>
      <w:r w:rsidR="00A9749B" w:rsidRPr="00E47908">
        <w:rPr>
          <w:sz w:val="24"/>
          <w:szCs w:val="24"/>
        </w:rPr>
        <w:t>, ka</w:t>
      </w:r>
      <w:r w:rsidR="00A9749B">
        <w:rPr>
          <w:sz w:val="24"/>
          <w:szCs w:val="24"/>
        </w:rPr>
        <w:t>:</w:t>
      </w:r>
    </w:p>
    <w:p w14:paraId="27BD2BB5" w14:textId="77777777" w:rsidR="00A9749B" w:rsidRDefault="00A57404" w:rsidP="00A73B9F">
      <w:pPr>
        <w:pStyle w:val="Sarakstarindkopa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ir iepazinies ar vis</w:t>
      </w:r>
      <w:r w:rsidR="000E4E34">
        <w:rPr>
          <w:sz w:val="24"/>
          <w:szCs w:val="24"/>
        </w:rPr>
        <w:t>ā</w:t>
      </w:r>
      <w:r>
        <w:rPr>
          <w:sz w:val="24"/>
          <w:szCs w:val="24"/>
        </w:rPr>
        <w:t>m šaj</w:t>
      </w:r>
      <w:r w:rsidR="000E4E34">
        <w:rPr>
          <w:sz w:val="24"/>
          <w:szCs w:val="24"/>
        </w:rPr>
        <w:t>os noteikumos</w:t>
      </w:r>
      <w:r>
        <w:rPr>
          <w:sz w:val="24"/>
          <w:szCs w:val="24"/>
        </w:rPr>
        <w:t xml:space="preserve"> </w:t>
      </w:r>
      <w:r w:rsidR="000E4E34">
        <w:rPr>
          <w:sz w:val="24"/>
          <w:szCs w:val="24"/>
        </w:rPr>
        <w:t>uzskaitītajām prasībām</w:t>
      </w:r>
      <w:r>
        <w:rPr>
          <w:sz w:val="24"/>
          <w:szCs w:val="24"/>
        </w:rPr>
        <w:t>, t</w:t>
      </w:r>
      <w:r w:rsidR="000E4E34">
        <w:rPr>
          <w:sz w:val="24"/>
          <w:szCs w:val="24"/>
        </w:rPr>
        <w:t>ā</w:t>
      </w:r>
      <w:r>
        <w:rPr>
          <w:sz w:val="24"/>
          <w:szCs w:val="24"/>
        </w:rPr>
        <w:t xml:space="preserve">s saprot un </w:t>
      </w:r>
      <w:r w:rsidR="000E4E34">
        <w:rPr>
          <w:sz w:val="24"/>
          <w:szCs w:val="24"/>
        </w:rPr>
        <w:t xml:space="preserve">iepirkuma </w:t>
      </w:r>
      <w:r>
        <w:rPr>
          <w:sz w:val="24"/>
          <w:szCs w:val="24"/>
        </w:rPr>
        <w:t>līguma slēgšanas tiesību gadījumā</w:t>
      </w:r>
      <w:r w:rsidRPr="00A57404">
        <w:rPr>
          <w:sz w:val="24"/>
          <w:szCs w:val="24"/>
        </w:rPr>
        <w:t xml:space="preserve"> apņemas </w:t>
      </w:r>
      <w:r w:rsidR="000E4E34">
        <w:rPr>
          <w:sz w:val="24"/>
          <w:szCs w:val="24"/>
        </w:rPr>
        <w:t>tā</w:t>
      </w:r>
      <w:r>
        <w:rPr>
          <w:sz w:val="24"/>
          <w:szCs w:val="24"/>
        </w:rPr>
        <w:t>s visā līguma darbības laikā</w:t>
      </w:r>
      <w:r w:rsidR="000E4E34" w:rsidRPr="000E4E34">
        <w:rPr>
          <w:sz w:val="24"/>
          <w:szCs w:val="24"/>
        </w:rPr>
        <w:t xml:space="preserve"> </w:t>
      </w:r>
      <w:r w:rsidR="000E4E34">
        <w:rPr>
          <w:sz w:val="24"/>
          <w:szCs w:val="24"/>
        </w:rPr>
        <w:t>pilnībā ievērot;</w:t>
      </w:r>
    </w:p>
    <w:p w14:paraId="742AFCE7" w14:textId="7DEBDB9A" w:rsidR="00512048" w:rsidRPr="00A73B9F" w:rsidRDefault="000E4E34" w:rsidP="00A73B9F">
      <w:pPr>
        <w:pStyle w:val="Sarakstarindkopa"/>
        <w:numPr>
          <w:ilvl w:val="3"/>
          <w:numId w:val="1"/>
        </w:numPr>
        <w:spacing w:before="120" w:after="120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ir informēts un apzinās, ka gadījumā, ja šo noteikumu </w:t>
      </w:r>
      <w:r w:rsidR="005E2984">
        <w:rPr>
          <w:sz w:val="24"/>
          <w:szCs w:val="24"/>
        </w:rPr>
        <w:t>2</w:t>
      </w:r>
      <w:r w:rsidR="001033CE">
        <w:rPr>
          <w:sz w:val="24"/>
          <w:szCs w:val="24"/>
        </w:rPr>
        <w:t>.</w:t>
      </w:r>
      <w:r w:rsidR="005E29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punktā </w:t>
      </w:r>
      <w:r w:rsidR="005E2984">
        <w:rPr>
          <w:sz w:val="24"/>
          <w:szCs w:val="24"/>
        </w:rPr>
        <w:t xml:space="preserve">minētais </w:t>
      </w:r>
      <w:r>
        <w:rPr>
          <w:sz w:val="24"/>
          <w:szCs w:val="24"/>
        </w:rPr>
        <w:t>dokument</w:t>
      </w:r>
      <w:r w:rsidR="005E2984">
        <w:rPr>
          <w:sz w:val="24"/>
          <w:szCs w:val="24"/>
        </w:rPr>
        <w:t>s</w:t>
      </w:r>
      <w:r>
        <w:rPr>
          <w:sz w:val="24"/>
          <w:szCs w:val="24"/>
        </w:rPr>
        <w:t xml:space="preserve"> netiks iesniegt</w:t>
      </w:r>
      <w:r w:rsidR="005E2984">
        <w:rPr>
          <w:sz w:val="24"/>
          <w:szCs w:val="24"/>
        </w:rPr>
        <w:t>s</w:t>
      </w:r>
      <w:r>
        <w:rPr>
          <w:sz w:val="24"/>
          <w:szCs w:val="24"/>
        </w:rPr>
        <w:t xml:space="preserve"> norādītajā </w:t>
      </w:r>
      <w:r w:rsidR="005E2984">
        <w:rPr>
          <w:sz w:val="24"/>
          <w:szCs w:val="24"/>
        </w:rPr>
        <w:t>t</w:t>
      </w:r>
      <w:r>
        <w:rPr>
          <w:sz w:val="24"/>
          <w:szCs w:val="24"/>
        </w:rPr>
        <w:t xml:space="preserve">ermiņā, </w:t>
      </w:r>
      <w:r w:rsidR="00CC7576" w:rsidRPr="000E4E34">
        <w:rPr>
          <w:sz w:val="24"/>
          <w:szCs w:val="24"/>
        </w:rPr>
        <w:t xml:space="preserve">Pasūtītājs būs tiesīgs </w:t>
      </w:r>
      <w:r w:rsidR="00512048">
        <w:rPr>
          <w:sz w:val="24"/>
          <w:szCs w:val="24"/>
        </w:rPr>
        <w:t xml:space="preserve">aprēķināt </w:t>
      </w:r>
      <w:r w:rsidR="00CC7576" w:rsidRPr="000E4E34">
        <w:rPr>
          <w:sz w:val="24"/>
          <w:szCs w:val="24"/>
        </w:rPr>
        <w:t>līgum</w:t>
      </w:r>
      <w:r w:rsidR="00512048">
        <w:rPr>
          <w:sz w:val="24"/>
          <w:szCs w:val="24"/>
        </w:rPr>
        <w:t>sodu</w:t>
      </w:r>
      <w:r w:rsidR="00CC7576" w:rsidRPr="000E4E34">
        <w:rPr>
          <w:sz w:val="24"/>
          <w:szCs w:val="24"/>
        </w:rPr>
        <w:t xml:space="preserve"> </w:t>
      </w:r>
      <w:r w:rsidR="00512048">
        <w:rPr>
          <w:sz w:val="24"/>
          <w:szCs w:val="24"/>
        </w:rPr>
        <w:t xml:space="preserve">atbilstoši </w:t>
      </w:r>
      <w:r w:rsidR="005E2984">
        <w:rPr>
          <w:sz w:val="24"/>
          <w:szCs w:val="24"/>
        </w:rPr>
        <w:t xml:space="preserve">iepirkuma </w:t>
      </w:r>
      <w:r w:rsidR="00512048">
        <w:rPr>
          <w:sz w:val="24"/>
          <w:szCs w:val="24"/>
        </w:rPr>
        <w:t>līguma noteikumiem</w:t>
      </w:r>
      <w:r w:rsidR="00CC7576" w:rsidRPr="000E4E34">
        <w:rPr>
          <w:sz w:val="24"/>
          <w:szCs w:val="24"/>
        </w:rPr>
        <w:t>.</w:t>
      </w:r>
    </w:p>
    <w:tbl>
      <w:tblPr>
        <w:tblW w:w="48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7"/>
        <w:gridCol w:w="4388"/>
      </w:tblGrid>
      <w:tr w:rsidR="005E2984" w:rsidRPr="007B1B6E" w14:paraId="283B2796" w14:textId="77777777" w:rsidTr="00B86483">
        <w:trPr>
          <w:trHeight w:val="171"/>
        </w:trPr>
        <w:tc>
          <w:tcPr>
            <w:tcW w:w="2662" w:type="pct"/>
            <w:vAlign w:val="center"/>
          </w:tcPr>
          <w:p w14:paraId="0C62F94F" w14:textId="77777777" w:rsidR="005E2984" w:rsidRPr="007B1B6E" w:rsidRDefault="005E2984" w:rsidP="00F210C6">
            <w:pPr>
              <w:tabs>
                <w:tab w:val="left" w:pos="2568"/>
              </w:tabs>
              <w:jc w:val="right"/>
              <w:rPr>
                <w:lang w:eastAsia="en-US"/>
              </w:rPr>
            </w:pPr>
            <w:r w:rsidRPr="007B1B6E">
              <w:rPr>
                <w:lang w:eastAsia="en-US"/>
              </w:rPr>
              <w:t>Paraksttiesīgās vai pilnvarotās personas vārds un uzvārds:</w:t>
            </w:r>
          </w:p>
        </w:tc>
        <w:tc>
          <w:tcPr>
            <w:tcW w:w="2338" w:type="pct"/>
            <w:vAlign w:val="center"/>
          </w:tcPr>
          <w:p w14:paraId="4C02F343" w14:textId="77777777" w:rsidR="005E2984" w:rsidRPr="007B1B6E" w:rsidRDefault="005E2984" w:rsidP="00F210C6">
            <w:pPr>
              <w:rPr>
                <w:sz w:val="24"/>
                <w:szCs w:val="24"/>
                <w:lang w:eastAsia="en-US"/>
              </w:rPr>
            </w:pPr>
          </w:p>
        </w:tc>
      </w:tr>
      <w:tr w:rsidR="005E2984" w:rsidRPr="007B1B6E" w14:paraId="79ABF9C4" w14:textId="77777777" w:rsidTr="00B86483">
        <w:trPr>
          <w:trHeight w:val="261"/>
        </w:trPr>
        <w:tc>
          <w:tcPr>
            <w:tcW w:w="2662" w:type="pct"/>
            <w:vAlign w:val="center"/>
          </w:tcPr>
          <w:p w14:paraId="006A5B98" w14:textId="77777777" w:rsidR="005E2984" w:rsidRPr="007B1B6E" w:rsidRDefault="005E2984" w:rsidP="00F210C6">
            <w:pPr>
              <w:jc w:val="right"/>
              <w:rPr>
                <w:lang w:eastAsia="en-US"/>
              </w:rPr>
            </w:pPr>
            <w:r w:rsidRPr="007B1B6E">
              <w:rPr>
                <w:lang w:eastAsia="en-US"/>
              </w:rPr>
              <w:t>Amats:</w:t>
            </w:r>
          </w:p>
        </w:tc>
        <w:tc>
          <w:tcPr>
            <w:tcW w:w="2338" w:type="pct"/>
            <w:vAlign w:val="center"/>
          </w:tcPr>
          <w:p w14:paraId="0B488F3E" w14:textId="77777777" w:rsidR="005E2984" w:rsidRPr="007B1B6E" w:rsidRDefault="005E2984" w:rsidP="00F210C6">
            <w:pPr>
              <w:rPr>
                <w:sz w:val="24"/>
                <w:szCs w:val="24"/>
                <w:lang w:eastAsia="en-US"/>
              </w:rPr>
            </w:pPr>
          </w:p>
        </w:tc>
      </w:tr>
      <w:tr w:rsidR="005E2984" w:rsidRPr="007B1B6E" w14:paraId="4EEE6659" w14:textId="77777777" w:rsidTr="00B86483">
        <w:trPr>
          <w:trHeight w:val="266"/>
        </w:trPr>
        <w:tc>
          <w:tcPr>
            <w:tcW w:w="2662" w:type="pct"/>
            <w:vAlign w:val="center"/>
          </w:tcPr>
          <w:p w14:paraId="5599BB0B" w14:textId="77777777" w:rsidR="005E2984" w:rsidRPr="007B1B6E" w:rsidRDefault="005E2984" w:rsidP="00F210C6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Pr="007B1B6E">
              <w:rPr>
                <w:lang w:eastAsia="en-US"/>
              </w:rPr>
              <w:t>atums:</w:t>
            </w:r>
          </w:p>
        </w:tc>
        <w:tc>
          <w:tcPr>
            <w:tcW w:w="2338" w:type="pct"/>
            <w:vAlign w:val="center"/>
          </w:tcPr>
          <w:p w14:paraId="05A96759" w14:textId="77777777" w:rsidR="005E2984" w:rsidRPr="007B1B6E" w:rsidRDefault="005E2984" w:rsidP="00F210C6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15BDCC7F" w14:textId="77777777" w:rsidR="001E04EA" w:rsidRPr="00AD19B3" w:rsidRDefault="001E04EA" w:rsidP="00A73B9F">
      <w:pPr>
        <w:jc w:val="both"/>
        <w:rPr>
          <w:sz w:val="24"/>
          <w:szCs w:val="24"/>
        </w:rPr>
      </w:pPr>
    </w:p>
    <w:sectPr w:rsidR="001E04EA" w:rsidRPr="00AD19B3" w:rsidSect="007A59C6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AD23" w14:textId="77777777" w:rsidR="00656C91" w:rsidRDefault="00656C91" w:rsidP="00A8132E">
      <w:r>
        <w:separator/>
      </w:r>
    </w:p>
  </w:endnote>
  <w:endnote w:type="continuationSeparator" w:id="0">
    <w:p w14:paraId="2D5155A3" w14:textId="77777777" w:rsidR="00656C91" w:rsidRDefault="00656C91" w:rsidP="00A8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707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7192F" w14:textId="77777777" w:rsidR="000E4E34" w:rsidRDefault="000E4E34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2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6DCFCD" w14:textId="77777777" w:rsidR="000E4E34" w:rsidRDefault="000E4E3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3DE8" w14:textId="77777777" w:rsidR="00656C91" w:rsidRDefault="00656C91" w:rsidP="00A8132E">
      <w:r>
        <w:separator/>
      </w:r>
    </w:p>
  </w:footnote>
  <w:footnote w:type="continuationSeparator" w:id="0">
    <w:p w14:paraId="61395F88" w14:textId="77777777" w:rsidR="00656C91" w:rsidRDefault="00656C91" w:rsidP="00A8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13FB"/>
    <w:multiLevelType w:val="multilevel"/>
    <w:tmpl w:val="6BA4D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" w15:restartNumberingAfterBreak="0">
    <w:nsid w:val="2B02254E"/>
    <w:multiLevelType w:val="multilevel"/>
    <w:tmpl w:val="1DBAB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A4C37F6"/>
    <w:multiLevelType w:val="multilevel"/>
    <w:tmpl w:val="3CAC10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9588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2784" w:hanging="1440"/>
      </w:pPr>
      <w:rPr>
        <w:rFonts w:hint="default"/>
        <w:sz w:val="22"/>
      </w:rPr>
    </w:lvl>
  </w:abstractNum>
  <w:abstractNum w:abstractNumId="3" w15:restartNumberingAfterBreak="0">
    <w:nsid w:val="3B4C00CE"/>
    <w:multiLevelType w:val="hybridMultilevel"/>
    <w:tmpl w:val="19F29F6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84D3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B3900F4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A7420B28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537B50A8"/>
    <w:multiLevelType w:val="multilevel"/>
    <w:tmpl w:val="B5B67C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8234" w:hanging="720"/>
      </w:pPr>
      <w:rPr>
        <w:rFonts w:ascii="Times New Roman" w:hAnsi="Times New Roman" w:cs="Times New Roman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 w16cid:durableId="746271198">
    <w:abstractNumId w:val="3"/>
  </w:num>
  <w:num w:numId="2" w16cid:durableId="1759329321">
    <w:abstractNumId w:val="4"/>
  </w:num>
  <w:num w:numId="3" w16cid:durableId="2065786199">
    <w:abstractNumId w:val="2"/>
  </w:num>
  <w:num w:numId="4" w16cid:durableId="540821867">
    <w:abstractNumId w:val="0"/>
  </w:num>
  <w:num w:numId="5" w16cid:durableId="178896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2E"/>
    <w:rsid w:val="00013229"/>
    <w:rsid w:val="0003654D"/>
    <w:rsid w:val="00045D1D"/>
    <w:rsid w:val="000745CC"/>
    <w:rsid w:val="00087B96"/>
    <w:rsid w:val="000C4F86"/>
    <w:rsid w:val="000E4E34"/>
    <w:rsid w:val="001033CE"/>
    <w:rsid w:val="00107913"/>
    <w:rsid w:val="00121CA4"/>
    <w:rsid w:val="00162716"/>
    <w:rsid w:val="0018669D"/>
    <w:rsid w:val="001B7BA9"/>
    <w:rsid w:val="001E04EA"/>
    <w:rsid w:val="00204382"/>
    <w:rsid w:val="00230402"/>
    <w:rsid w:val="00291F6E"/>
    <w:rsid w:val="002C3020"/>
    <w:rsid w:val="0031025D"/>
    <w:rsid w:val="0033342E"/>
    <w:rsid w:val="003376B3"/>
    <w:rsid w:val="00341E8E"/>
    <w:rsid w:val="003876B2"/>
    <w:rsid w:val="00431605"/>
    <w:rsid w:val="00445CF2"/>
    <w:rsid w:val="00447D49"/>
    <w:rsid w:val="004D387A"/>
    <w:rsid w:val="004E15AD"/>
    <w:rsid w:val="004F3BF5"/>
    <w:rsid w:val="00512048"/>
    <w:rsid w:val="00531866"/>
    <w:rsid w:val="00551FA1"/>
    <w:rsid w:val="005A0FF4"/>
    <w:rsid w:val="005E2984"/>
    <w:rsid w:val="005F21DF"/>
    <w:rsid w:val="00634D50"/>
    <w:rsid w:val="00641B92"/>
    <w:rsid w:val="00655855"/>
    <w:rsid w:val="00656C91"/>
    <w:rsid w:val="0067397F"/>
    <w:rsid w:val="00685B29"/>
    <w:rsid w:val="006A0A4C"/>
    <w:rsid w:val="006B7CF7"/>
    <w:rsid w:val="006E2228"/>
    <w:rsid w:val="00704C27"/>
    <w:rsid w:val="00750F66"/>
    <w:rsid w:val="00756276"/>
    <w:rsid w:val="0075764C"/>
    <w:rsid w:val="007765B3"/>
    <w:rsid w:val="007857FB"/>
    <w:rsid w:val="007A508B"/>
    <w:rsid w:val="007A59C6"/>
    <w:rsid w:val="007C03BC"/>
    <w:rsid w:val="007C62BB"/>
    <w:rsid w:val="007D47E2"/>
    <w:rsid w:val="007F0CC9"/>
    <w:rsid w:val="00831892"/>
    <w:rsid w:val="008940F6"/>
    <w:rsid w:val="008A2ADF"/>
    <w:rsid w:val="0093614A"/>
    <w:rsid w:val="00945498"/>
    <w:rsid w:val="0095177D"/>
    <w:rsid w:val="009B6916"/>
    <w:rsid w:val="009C4B48"/>
    <w:rsid w:val="009E117A"/>
    <w:rsid w:val="009F4FE6"/>
    <w:rsid w:val="00A16B21"/>
    <w:rsid w:val="00A57404"/>
    <w:rsid w:val="00A73B9F"/>
    <w:rsid w:val="00A8132E"/>
    <w:rsid w:val="00A83317"/>
    <w:rsid w:val="00A9749B"/>
    <w:rsid w:val="00AC50A2"/>
    <w:rsid w:val="00AD19B3"/>
    <w:rsid w:val="00AE6BE4"/>
    <w:rsid w:val="00B62D77"/>
    <w:rsid w:val="00B86483"/>
    <w:rsid w:val="00BA5A94"/>
    <w:rsid w:val="00BA7F2B"/>
    <w:rsid w:val="00C134CF"/>
    <w:rsid w:val="00C53AEE"/>
    <w:rsid w:val="00CC7576"/>
    <w:rsid w:val="00CD0DBF"/>
    <w:rsid w:val="00CD18F9"/>
    <w:rsid w:val="00CE7074"/>
    <w:rsid w:val="00CF3FAA"/>
    <w:rsid w:val="00D03B06"/>
    <w:rsid w:val="00D749C2"/>
    <w:rsid w:val="00D762C5"/>
    <w:rsid w:val="00D93531"/>
    <w:rsid w:val="00DD67D1"/>
    <w:rsid w:val="00E43689"/>
    <w:rsid w:val="00E93AFC"/>
    <w:rsid w:val="00E96CCC"/>
    <w:rsid w:val="00EE0DE1"/>
    <w:rsid w:val="00EF77D5"/>
    <w:rsid w:val="00F87CEC"/>
    <w:rsid w:val="00F912BD"/>
    <w:rsid w:val="00FA21E9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AF5C"/>
  <w15:chartTrackingRefBased/>
  <w15:docId w15:val="{EA40740D-265E-4262-9861-77C79513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8132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aliases w:val="Footnote,Fußnote"/>
    <w:basedOn w:val="Parasts"/>
    <w:link w:val="VrestekstsRakstz"/>
    <w:uiPriority w:val="99"/>
    <w:unhideWhenUsed/>
    <w:rsid w:val="00A8132E"/>
    <w:pPr>
      <w:widowControl/>
      <w:pBdr>
        <w:top w:val="nil"/>
        <w:left w:val="nil"/>
        <w:bottom w:val="nil"/>
        <w:right w:val="nil"/>
        <w:between w:val="nil"/>
      </w:pBdr>
      <w:overflowPunct/>
      <w:autoSpaceDE/>
      <w:autoSpaceDN/>
      <w:adjustRightInd/>
    </w:pPr>
    <w:rPr>
      <w:rFonts w:ascii="Calibri" w:eastAsia="Calibri" w:hAnsi="Calibri" w:cs="Calibri"/>
      <w:color w:val="000000"/>
      <w:kern w:val="0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A8132E"/>
    <w:rPr>
      <w:rFonts w:ascii="Calibri" w:eastAsia="Calibri" w:hAnsi="Calibri" w:cs="Calibri"/>
      <w:color w:val="000000"/>
      <w:sz w:val="20"/>
      <w:szCs w:val="20"/>
      <w:lang w:eastAsia="lv-LV"/>
    </w:rPr>
  </w:style>
  <w:style w:type="character" w:styleId="Vresatsauce">
    <w:name w:val="footnote reference"/>
    <w:aliases w:val="Footnote symbol"/>
    <w:basedOn w:val="Noklusjumarindkopasfonts"/>
    <w:uiPriority w:val="99"/>
    <w:unhideWhenUsed/>
    <w:rsid w:val="00A8132E"/>
    <w:rPr>
      <w:vertAlign w:val="superscript"/>
    </w:rPr>
  </w:style>
  <w:style w:type="table" w:styleId="Reatabula">
    <w:name w:val="Table Grid"/>
    <w:basedOn w:val="Parastatabula"/>
    <w:rsid w:val="00A81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A8132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8132E"/>
    <w:rPr>
      <w:rFonts w:ascii="Segoe UI" w:eastAsia="Times New Roman" w:hAnsi="Segoe UI" w:cs="Segoe UI"/>
      <w:kern w:val="28"/>
      <w:sz w:val="18"/>
      <w:szCs w:val="18"/>
      <w:lang w:eastAsia="lv-LV"/>
    </w:rPr>
  </w:style>
  <w:style w:type="paragraph" w:styleId="Sarakstarindkopa">
    <w:name w:val="List Paragraph"/>
    <w:aliases w:val="Syle 1"/>
    <w:basedOn w:val="Parasts"/>
    <w:link w:val="SarakstarindkopaRakstz"/>
    <w:uiPriority w:val="34"/>
    <w:qFormat/>
    <w:rsid w:val="005F21DF"/>
    <w:pPr>
      <w:ind w:left="720"/>
      <w:contextualSpacing/>
    </w:pPr>
  </w:style>
  <w:style w:type="character" w:customStyle="1" w:styleId="SarakstarindkopaRakstz">
    <w:name w:val="Saraksta rindkopa Rakstz."/>
    <w:aliases w:val="Syle 1 Rakstz."/>
    <w:link w:val="Sarakstarindkopa"/>
    <w:uiPriority w:val="34"/>
    <w:qFormat/>
    <w:locked/>
    <w:rsid w:val="005F21DF"/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0E4E3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E4E34"/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E4E3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E4E34"/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character" w:customStyle="1" w:styleId="CharAttribute42">
    <w:name w:val="CharAttribute42"/>
    <w:rsid w:val="00512048"/>
    <w:rPr>
      <w:rFonts w:ascii="Times New Roman" w:eastAsia="Times New Roman" w:hAnsi="Times New Roman"/>
      <w:sz w:val="22"/>
    </w:rPr>
  </w:style>
  <w:style w:type="paragraph" w:customStyle="1" w:styleId="ParaAttribute3">
    <w:name w:val="ParaAttribute3"/>
    <w:rsid w:val="00512048"/>
    <w:pPr>
      <w:widowControl w:val="0"/>
      <w:shd w:val="solid" w:color="FFFFFF" w:fill="auto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1C430-415F-4F5C-B385-2AC73BF8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Izgl'itibas un zinatnes ministrija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Duhanovskis</dc:creator>
  <cp:keywords/>
  <dc:description/>
  <cp:lastModifiedBy>Eduards Duhanovskis</cp:lastModifiedBy>
  <cp:revision>49</cp:revision>
  <dcterms:created xsi:type="dcterms:W3CDTF">2018-05-10T13:16:00Z</dcterms:created>
  <dcterms:modified xsi:type="dcterms:W3CDTF">2026-06-16T19:01:00Z</dcterms:modified>
</cp:coreProperties>
</file>