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5C76" w14:textId="77777777" w:rsidR="00C3465F" w:rsidRPr="00F52CB9" w:rsidRDefault="00C3465F" w:rsidP="00C3465F">
      <w:pPr>
        <w:jc w:val="center"/>
        <w:rPr>
          <w:rFonts w:ascii="Times New Roman" w:hAnsi="Times New Roman" w:cs="Times New Roman"/>
        </w:rPr>
      </w:pPr>
      <w:r w:rsidRPr="00F52CB9">
        <w:rPr>
          <w:rFonts w:ascii="Times New Roman" w:hAnsi="Times New Roman" w:cs="Times New Roman"/>
        </w:rPr>
        <w:t>Limbažos</w:t>
      </w:r>
    </w:p>
    <w:tbl>
      <w:tblPr>
        <w:tblW w:w="9498" w:type="dxa"/>
        <w:tblLayout w:type="fixed"/>
        <w:tblLook w:val="0000" w:firstRow="0" w:lastRow="0" w:firstColumn="0" w:lastColumn="0" w:noHBand="0" w:noVBand="0"/>
      </w:tblPr>
      <w:tblGrid>
        <w:gridCol w:w="3969"/>
        <w:gridCol w:w="5529"/>
      </w:tblGrid>
      <w:tr w:rsidR="00C3465F" w:rsidRPr="00F52CB9" w14:paraId="2F3D24CA" w14:textId="77777777" w:rsidTr="00670C83">
        <w:tc>
          <w:tcPr>
            <w:tcW w:w="3969" w:type="dxa"/>
          </w:tcPr>
          <w:p w14:paraId="6BCB123A" w14:textId="77777777" w:rsidR="00C3465F" w:rsidRPr="00F52CB9" w:rsidRDefault="00C3465F" w:rsidP="00670C83">
            <w:pPr>
              <w:snapToGrid w:val="0"/>
              <w:spacing w:after="0"/>
              <w:rPr>
                <w:rFonts w:ascii="Times New Roman" w:hAnsi="Times New Roman" w:cs="Times New Roman"/>
              </w:rPr>
            </w:pPr>
            <w:r w:rsidRPr="00F52CB9">
              <w:rPr>
                <w:rFonts w:ascii="Times New Roman" w:hAnsi="Times New Roman" w:cs="Times New Roman"/>
              </w:rPr>
              <w:t>Datums skatāms laika zīmogā</w:t>
            </w:r>
          </w:p>
          <w:p w14:paraId="6887228B" w14:textId="76FA15A1" w:rsidR="00C3465F" w:rsidRPr="00F52CB9" w:rsidRDefault="00C3465F" w:rsidP="00670C83">
            <w:pPr>
              <w:snapToGrid w:val="0"/>
              <w:spacing w:after="0"/>
              <w:rPr>
                <w:rFonts w:ascii="Times New Roman" w:hAnsi="Times New Roman" w:cs="Times New Roman"/>
              </w:rPr>
            </w:pPr>
            <w:r w:rsidRPr="00F52CB9">
              <w:rPr>
                <w:rFonts w:ascii="Times New Roman" w:hAnsi="Times New Roman" w:cs="Times New Roman"/>
              </w:rPr>
              <w:t xml:space="preserve"> Nr. 3.5.4/2</w:t>
            </w:r>
            <w:r w:rsidR="00785CED" w:rsidRPr="00F52CB9">
              <w:rPr>
                <w:rFonts w:ascii="Times New Roman" w:hAnsi="Times New Roman" w:cs="Times New Roman"/>
              </w:rPr>
              <w:t>6</w:t>
            </w:r>
            <w:r w:rsidRPr="00F52CB9">
              <w:rPr>
                <w:rFonts w:ascii="Times New Roman" w:hAnsi="Times New Roman" w:cs="Times New Roman"/>
              </w:rPr>
              <w:t>/</w:t>
            </w:r>
            <w:r w:rsidR="00CC64A8">
              <w:rPr>
                <w:rFonts w:ascii="Times New Roman" w:hAnsi="Times New Roman" w:cs="Times New Roman"/>
              </w:rPr>
              <w:t>667</w:t>
            </w:r>
          </w:p>
        </w:tc>
        <w:tc>
          <w:tcPr>
            <w:tcW w:w="5529" w:type="dxa"/>
          </w:tcPr>
          <w:p w14:paraId="234528DB" w14:textId="77777777" w:rsidR="00C3465F" w:rsidRPr="00F52CB9" w:rsidRDefault="00C3465F" w:rsidP="00670C83">
            <w:pPr>
              <w:snapToGrid w:val="0"/>
              <w:spacing w:after="0"/>
              <w:jc w:val="right"/>
              <w:rPr>
                <w:rFonts w:ascii="Times New Roman" w:hAnsi="Times New Roman" w:cs="Times New Roman"/>
              </w:rPr>
            </w:pPr>
            <w:r w:rsidRPr="00F52CB9">
              <w:rPr>
                <w:rFonts w:ascii="Times New Roman" w:hAnsi="Times New Roman" w:cs="Times New Roman"/>
                <w:b/>
                <w:bCs/>
              </w:rPr>
              <w:t>Pretendentiem, kam izsniegts atklāta konkursa nolikums</w:t>
            </w:r>
          </w:p>
        </w:tc>
      </w:tr>
    </w:tbl>
    <w:p w14:paraId="57B91AF2" w14:textId="77777777" w:rsidR="00C3465F" w:rsidRPr="00F52CB9" w:rsidRDefault="00C3465F" w:rsidP="00C3465F">
      <w:pPr>
        <w:spacing w:after="0"/>
        <w:rPr>
          <w:rFonts w:ascii="Times New Roman" w:hAnsi="Times New Roman" w:cs="Times New Roman"/>
          <w:i/>
          <w:iCs/>
          <w:u w:val="single"/>
        </w:rPr>
      </w:pPr>
    </w:p>
    <w:p w14:paraId="734B8D47" w14:textId="67CCB2EB" w:rsidR="00C3465F" w:rsidRPr="00F52CB9" w:rsidRDefault="00C3465F" w:rsidP="00C3465F">
      <w:pPr>
        <w:rPr>
          <w:rFonts w:ascii="Times New Roman" w:hAnsi="Times New Roman" w:cs="Times New Roman"/>
          <w:b/>
          <w:bCs/>
        </w:rPr>
      </w:pPr>
      <w:r w:rsidRPr="00F52CB9">
        <w:rPr>
          <w:rFonts w:ascii="Times New Roman" w:hAnsi="Times New Roman" w:cs="Times New Roman"/>
          <w:b/>
          <w:bCs/>
        </w:rPr>
        <w:t xml:space="preserve">Par atklāta konkursa nolikuma skaidrojumu </w:t>
      </w:r>
    </w:p>
    <w:p w14:paraId="3477D50E" w14:textId="4FB82E15" w:rsidR="00C3465F" w:rsidRPr="00F52CB9" w:rsidRDefault="00C3465F" w:rsidP="00C3465F">
      <w:pPr>
        <w:ind w:firstLine="720"/>
        <w:jc w:val="both"/>
        <w:rPr>
          <w:rFonts w:ascii="Times New Roman" w:hAnsi="Times New Roman" w:cs="Times New Roman"/>
        </w:rPr>
      </w:pPr>
      <w:r w:rsidRPr="00F52CB9">
        <w:rPr>
          <w:rFonts w:ascii="Times New Roman" w:hAnsi="Times New Roman" w:cs="Times New Roman"/>
        </w:rPr>
        <w:t>Limbažu novada pašvaldība saņēmusi precizējošās informācijas pieprasījumu atklātā konkursā “</w:t>
      </w:r>
      <w:r w:rsidR="00F52CB9" w:rsidRPr="00F52CB9">
        <w:rPr>
          <w:rFonts w:ascii="Times New Roman" w:hAnsi="Times New Roman" w:cs="Times New Roman"/>
          <w:bCs/>
        </w:rPr>
        <w:t>Jaunu pasažieru autobusu piegāde Limbažu novada pašvaldībai</w:t>
      </w:r>
      <w:r w:rsidR="00F52CB9">
        <w:rPr>
          <w:rFonts w:ascii="Times New Roman" w:hAnsi="Times New Roman" w:cs="Times New Roman"/>
          <w:b/>
        </w:rPr>
        <w:t>”</w:t>
      </w:r>
      <w:r w:rsidR="00D5040E" w:rsidRPr="00F52CB9">
        <w:rPr>
          <w:rFonts w:ascii="Times New Roman" w:hAnsi="Times New Roman" w:cs="Times New Roman"/>
        </w:rPr>
        <w:t>, iepirkuma identifikācijas Nr.</w:t>
      </w:r>
      <w:r w:rsidRPr="00F52CB9">
        <w:rPr>
          <w:rFonts w:ascii="Times New Roman" w:hAnsi="Times New Roman" w:cs="Times New Roman"/>
        </w:rPr>
        <w:t xml:space="preserve">- LNP </w:t>
      </w:r>
      <w:r w:rsidR="00785CED" w:rsidRPr="00F52CB9">
        <w:rPr>
          <w:rFonts w:ascii="Times New Roman" w:hAnsi="Times New Roman" w:cs="Times New Roman"/>
        </w:rPr>
        <w:t>2026</w:t>
      </w:r>
      <w:r w:rsidRPr="00F52CB9">
        <w:rPr>
          <w:rFonts w:ascii="Times New Roman" w:hAnsi="Times New Roman" w:cs="Times New Roman"/>
        </w:rPr>
        <w:t>/</w:t>
      </w:r>
      <w:r w:rsidR="00F52CB9">
        <w:rPr>
          <w:rFonts w:ascii="Times New Roman" w:hAnsi="Times New Roman" w:cs="Times New Roman"/>
        </w:rPr>
        <w:t>116</w:t>
      </w:r>
    </w:p>
    <w:p w14:paraId="264C5252" w14:textId="64A41CDA" w:rsidR="00C3465F" w:rsidRPr="00F52CB9" w:rsidRDefault="00D5040E" w:rsidP="00863024">
      <w:pPr>
        <w:pStyle w:val="Sarakstarindkopa"/>
        <w:jc w:val="both"/>
        <w:rPr>
          <w:rFonts w:ascii="Times New Roman" w:hAnsi="Times New Roman" w:cs="Times New Roman"/>
          <w:b/>
          <w:bCs/>
        </w:rPr>
      </w:pPr>
      <w:r w:rsidRPr="00F52CB9">
        <w:rPr>
          <w:rFonts w:ascii="Times New Roman" w:hAnsi="Times New Roman" w:cs="Times New Roman"/>
          <w:b/>
          <w:bCs/>
        </w:rPr>
        <w:t>1</w:t>
      </w:r>
      <w:r w:rsidR="00C3465F" w:rsidRPr="00F52CB9">
        <w:rPr>
          <w:rFonts w:ascii="Times New Roman" w:hAnsi="Times New Roman" w:cs="Times New Roman"/>
          <w:b/>
          <w:bCs/>
        </w:rPr>
        <w:t>.jautājums</w:t>
      </w:r>
    </w:p>
    <w:p w14:paraId="0AFA4FF8" w14:textId="77777777" w:rsidR="00F52CB9" w:rsidRPr="00F52CB9" w:rsidRDefault="00F52CB9" w:rsidP="00F52CB9">
      <w:pPr>
        <w:pStyle w:val="Sarakstarindkopa"/>
        <w:numPr>
          <w:ilvl w:val="0"/>
          <w:numId w:val="3"/>
        </w:numPr>
        <w:tabs>
          <w:tab w:val="left" w:pos="1134"/>
        </w:tabs>
        <w:spacing w:after="0" w:line="360" w:lineRule="auto"/>
        <w:contextualSpacing w:val="0"/>
        <w:jc w:val="both"/>
        <w:rPr>
          <w:rFonts w:ascii="Times New Roman" w:hAnsi="Times New Roman" w:cs="Times New Roman"/>
        </w:rPr>
      </w:pPr>
      <w:r w:rsidRPr="00F52CB9">
        <w:rPr>
          <w:rFonts w:ascii="Times New Roman" w:hAnsi="Times New Roman" w:cs="Times New Roman"/>
        </w:rPr>
        <w:t>Tehniskās specifikācijas 5.3. punktā ir norādīts, ka dzinēja darba tilpums ir ne lielāks kā 2000 cm3. Mūsu ieskatā dzinēja darba tilpums pats par sevi nav objektīvs transportlīdzekļa ekspluatācijas īpašību vai veiktspējas rādītājs. Mūsdienu transportlīdzekļu konstrukcijā veiktspēju, degvielas patēriņu un emisijas nosaka vairāku tehnisko risinājumu kopums, tostarp turbokompresora tehnoloģija, degvielas iesmidzināšanas sistēma, dzinēja vadības sistēma un pēcapstrādes emisiju tehnoloģijas, nevis tikai dzinēja darba tilpums. Vienlaikus jānorāda, ka tehniskajā specifikācijā jau ir noteiktas prasības attiecībā uz motora jaudu, emisiju klasi un citiem ekspluatācijai būtiskiem parametriem. Šīs prasības objektīvi nodrošina Pasūtītāja vajadzības neatkarīgi no dzinēja darba tilpuma.</w:t>
      </w:r>
    </w:p>
    <w:p w14:paraId="3FDA8435" w14:textId="77777777" w:rsidR="00F52CB9" w:rsidRPr="00F52CB9" w:rsidRDefault="00F52CB9" w:rsidP="00F52CB9">
      <w:pPr>
        <w:pStyle w:val="Sarakstarindkopa"/>
        <w:tabs>
          <w:tab w:val="left" w:pos="1134"/>
        </w:tabs>
        <w:spacing w:line="360" w:lineRule="auto"/>
        <w:jc w:val="both"/>
        <w:rPr>
          <w:rFonts w:ascii="Times New Roman" w:hAnsi="Times New Roman" w:cs="Times New Roman"/>
        </w:rPr>
      </w:pPr>
      <w:r w:rsidRPr="00F52CB9">
        <w:rPr>
          <w:rFonts w:ascii="Times New Roman" w:hAnsi="Times New Roman" w:cs="Times New Roman"/>
        </w:rPr>
        <w:t>Līdz ar to prasība par maksimālo dzinēja darba tilpumu 2000 cm³ neietekmē autobusa spēju nodrošināt Pasūtītāja noteiktās ekspluatācijas prasības, bet vienlaikus būtiski ierobežo konkurenci, izslēdzot no dalības ražotājus, kuru transportlīdzekļi pilnībā atbilst visām pārējām tehniskās specifikācijas prasībām. Papildus vēlamies norādīt, ka lielāka darba tilpuma dzinējs ne vienmēr nozīmē lielāku degvielas patēriņu vai augstākas emisijas. Gluži pretēji, ekspluatācijā ar biežu apstāšanos, lielu pasažieru noslodzi un intensīvu pilsētas satiksmi lielāka darba tilpuma dzinējs bieži darbojas ar zemāku īpatnējo noslodzi, kas var pozitīvi ietekmēt tā ilgmūžību, ekspluatācijas drošumu un apkopes izmaksas visā transportlīdzekļa dzīves ciklā.</w:t>
      </w:r>
    </w:p>
    <w:p w14:paraId="3D0EB80D" w14:textId="77777777" w:rsidR="00F52CB9" w:rsidRPr="00F52CB9" w:rsidRDefault="00F52CB9" w:rsidP="00F52CB9">
      <w:pPr>
        <w:pStyle w:val="Sarakstarindkopa"/>
        <w:tabs>
          <w:tab w:val="left" w:pos="1134"/>
        </w:tabs>
        <w:spacing w:line="360" w:lineRule="auto"/>
        <w:jc w:val="both"/>
        <w:rPr>
          <w:rFonts w:ascii="Times New Roman" w:hAnsi="Times New Roman" w:cs="Times New Roman"/>
        </w:rPr>
      </w:pPr>
      <w:r w:rsidRPr="00F52CB9">
        <w:rPr>
          <w:rFonts w:ascii="Times New Roman" w:hAnsi="Times New Roman" w:cs="Times New Roman"/>
        </w:rPr>
        <w:t xml:space="preserve">Ņemot vērā iepriekš minēto, lūdzam Komisiju izvērtēt iespēju grozīt tehniskās specifikācijas 5.3. punktu, aizstājot skaitli "2000" ar "3000" un nosakot, ka tiek pieļauti arī autobusi ar dzinēja darba tilpumu ne lielāku par 3000 cm³, ja tie pilnībā atbilst visām pārējām tehniskās </w:t>
      </w:r>
      <w:r w:rsidRPr="00F52CB9">
        <w:rPr>
          <w:rFonts w:ascii="Times New Roman" w:hAnsi="Times New Roman" w:cs="Times New Roman"/>
        </w:rPr>
        <w:lastRenderedPageBreak/>
        <w:t>specifikācijas prasībām, tostarp prasībām attiecībā uz jaudu, emisiju klasi, degvielas patēriņu un ekspluatācijas īpašībām.</w:t>
      </w:r>
    </w:p>
    <w:p w14:paraId="78B7998B" w14:textId="77777777" w:rsidR="00F52CB9" w:rsidRPr="00F52CB9" w:rsidRDefault="00F52CB9" w:rsidP="00F52CB9">
      <w:pPr>
        <w:pStyle w:val="Sarakstarindkopa"/>
        <w:tabs>
          <w:tab w:val="left" w:pos="1134"/>
        </w:tabs>
        <w:spacing w:line="360" w:lineRule="auto"/>
        <w:jc w:val="both"/>
        <w:rPr>
          <w:rFonts w:ascii="Times New Roman" w:hAnsi="Times New Roman" w:cs="Times New Roman"/>
        </w:rPr>
      </w:pPr>
      <w:r w:rsidRPr="00F52CB9">
        <w:rPr>
          <w:rFonts w:ascii="Times New Roman" w:hAnsi="Times New Roman" w:cs="Times New Roman"/>
        </w:rPr>
        <w:t>Mūsu ieskatā šāds risinājums nodrošinātu plašāku konkurenci, vienlaikus nekādā veidā nepasliktinot Pasūtītāja ekspluatācijas prasību izpildi vai transportlīdzekļu kvalitāti.</w:t>
      </w:r>
    </w:p>
    <w:p w14:paraId="368A6CFF" w14:textId="77777777" w:rsidR="00F52CB9" w:rsidRPr="00F52CB9" w:rsidRDefault="00F52CB9" w:rsidP="00F52CB9">
      <w:pPr>
        <w:pStyle w:val="Sarakstarindkopa"/>
        <w:tabs>
          <w:tab w:val="left" w:pos="1134"/>
        </w:tabs>
        <w:spacing w:line="360" w:lineRule="auto"/>
        <w:jc w:val="both"/>
        <w:rPr>
          <w:rFonts w:ascii="Times New Roman" w:hAnsi="Times New Roman" w:cs="Times New Roman"/>
        </w:rPr>
      </w:pPr>
      <w:r w:rsidRPr="00F52CB9">
        <w:rPr>
          <w:rFonts w:ascii="Times New Roman" w:hAnsi="Times New Roman" w:cs="Times New Roman"/>
        </w:rPr>
        <w:t>Lūdzam paskaidrot, kādu tieši ekspluatācijas vai tehnisko mērķi nodrošina prasība ierobežot dzinēja darba tilpumu līdz 2000 cm³, ja transportlīdzeklis pilnībā atbilst visām pārējām tehniskās specifikācijas prasībām, tai skaitā attiecībā uz jaudu, emisiju līmeni un degvielas patēriņu.</w:t>
      </w:r>
    </w:p>
    <w:p w14:paraId="4FD9EEF5" w14:textId="3AC03A6B" w:rsidR="00C3465F" w:rsidRPr="00F52CB9" w:rsidRDefault="00C3465F" w:rsidP="00C3465F">
      <w:pPr>
        <w:jc w:val="both"/>
        <w:rPr>
          <w:rFonts w:ascii="Times New Roman" w:hAnsi="Times New Roman" w:cs="Times New Roman"/>
        </w:rPr>
      </w:pPr>
      <w:r w:rsidRPr="00F52CB9">
        <w:rPr>
          <w:rFonts w:ascii="Times New Roman" w:hAnsi="Times New Roman" w:cs="Times New Roman"/>
          <w:b/>
          <w:bCs/>
        </w:rPr>
        <w:t xml:space="preserve">Atbilde: </w:t>
      </w:r>
      <w:r w:rsidR="00F52CB9" w:rsidRPr="00F52CB9">
        <w:rPr>
          <w:rFonts w:ascii="Times New Roman" w:hAnsi="Times New Roman" w:cs="Times New Roman"/>
        </w:rPr>
        <w:t>Nolikuma prasība netiek grozīta.</w:t>
      </w:r>
    </w:p>
    <w:p w14:paraId="299E672A" w14:textId="75F33E3E" w:rsidR="00C3465F" w:rsidRPr="00F52CB9" w:rsidRDefault="00D5040E" w:rsidP="00C3465F">
      <w:pPr>
        <w:ind w:left="360"/>
        <w:jc w:val="both"/>
        <w:rPr>
          <w:rFonts w:ascii="Times New Roman" w:hAnsi="Times New Roman" w:cs="Times New Roman"/>
          <w:b/>
          <w:bCs/>
        </w:rPr>
      </w:pPr>
      <w:r w:rsidRPr="00F52CB9">
        <w:rPr>
          <w:rFonts w:ascii="Times New Roman" w:hAnsi="Times New Roman" w:cs="Times New Roman"/>
          <w:b/>
          <w:bCs/>
        </w:rPr>
        <w:t>2</w:t>
      </w:r>
      <w:r w:rsidR="00C3465F" w:rsidRPr="00F52CB9">
        <w:rPr>
          <w:rFonts w:ascii="Times New Roman" w:hAnsi="Times New Roman" w:cs="Times New Roman"/>
          <w:b/>
          <w:bCs/>
        </w:rPr>
        <w:t>.jautājums</w:t>
      </w:r>
    </w:p>
    <w:p w14:paraId="36149720"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Lūdzam grozīt minēto prasību, jo tā nepamatoti ierobežo konkurenci un neatbilst Publisko iepirkumu likumā un Eiropas Savienības publisko iepirkumu regulējumā nostiprinātajiem vienlīdzīgas attieksmes, samērīguma un brīvas konkurences principiem.</w:t>
      </w:r>
    </w:p>
    <w:p w14:paraId="4EF682DC"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Saskaņā ar Publisko iepirkumu likuma 2. pantu pasūtītājam ir pienākums nodrošināt atklātu konkurenci, vienlīdzīgu attieksmi pret piegādātājiem, kā arī efektīvu publisko līdzekļu izmantošanu. Savukārt Publisko iepirkumu likuma 20. panta pirmajā daļā noteikts, ka tehniskās specifikācijas ir sagatavojamas tā, lai tās nepamatoti neierobežotu konkurenci.</w:t>
      </w:r>
    </w:p>
    <w:p w14:paraId="620722C3"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Vienlaikus Eiropas Parlamenta un Padomes Direktīvas 2014/24/ES 18. panta pirmajā daļā ir nostiprināts vienlīdzīgas attieksmes, nediskriminācijas, pārredzamības un samērīguma princips, kas uzliek pasūtītājam pienākumu noteikt tikai tādas prasības, kuras ir objektīvi nepieciešamas iepirkuma mērķa sasniegšanai.</w:t>
      </w:r>
    </w:p>
    <w:p w14:paraId="46CD81CF"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Prasība, ka autorizētai servisa darbnīcai jāatrodas ne tālāk kā 140 km no Limbažiem, automātiski izslēdz no dalības iepirkumā piegādātājus, kuru autorizētais serviss atrodas lielākā attālumā, neatkarīgi no tā, ka tie spēj pilnā apjomā un noteiktajos termiņos nodrošināt tehniskās apkopes un garantijas remonta pakalpojumus.</w:t>
      </w:r>
    </w:p>
    <w:p w14:paraId="54F9BC69"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Attālums pats par sevi nav objektīvs rādītājs, kas apliecina pakalpojuma kvalitāti vai izpildes operativitāti. Pakalpojuma savlaicīgu izpildi iespējams nodrošināt ar dažādiem organizatoriskiem risinājumiem, piemēram:</w:t>
      </w:r>
    </w:p>
    <w:p w14:paraId="0BBDFCA9" w14:textId="77777777" w:rsidR="00F52CB9" w:rsidRPr="00F52CB9" w:rsidRDefault="00F52CB9" w:rsidP="00F52CB9">
      <w:pPr>
        <w:numPr>
          <w:ilvl w:val="0"/>
          <w:numId w:val="4"/>
        </w:numPr>
        <w:jc w:val="both"/>
        <w:rPr>
          <w:rFonts w:ascii="Times New Roman" w:hAnsi="Times New Roman" w:cs="Times New Roman"/>
          <w:lang w:val="lt-LT"/>
        </w:rPr>
      </w:pPr>
      <w:r w:rsidRPr="00F52CB9">
        <w:rPr>
          <w:rFonts w:ascii="Times New Roman" w:hAnsi="Times New Roman" w:cs="Times New Roman"/>
          <w:lang w:val="lt-LT"/>
        </w:rPr>
        <w:t>nodrošinot autorizētu tehniķu izbraukumu uz Pasūtītāja atrašanās vietu;</w:t>
      </w:r>
    </w:p>
    <w:p w14:paraId="1292A42F" w14:textId="77777777" w:rsidR="00F52CB9" w:rsidRPr="00F52CB9" w:rsidRDefault="00F52CB9" w:rsidP="00F52CB9">
      <w:pPr>
        <w:numPr>
          <w:ilvl w:val="0"/>
          <w:numId w:val="4"/>
        </w:numPr>
        <w:jc w:val="both"/>
        <w:rPr>
          <w:rFonts w:ascii="Times New Roman" w:hAnsi="Times New Roman" w:cs="Times New Roman"/>
          <w:lang w:val="lt-LT"/>
        </w:rPr>
      </w:pPr>
      <w:r w:rsidRPr="00F52CB9">
        <w:rPr>
          <w:rFonts w:ascii="Times New Roman" w:hAnsi="Times New Roman" w:cs="Times New Roman"/>
          <w:lang w:val="lt-LT"/>
        </w:rPr>
        <w:t>organizējot transportlīdzekļa nogādāšanu uz autorizētu servisu un atpakaļ par pretendenta līdzekļiem;</w:t>
      </w:r>
    </w:p>
    <w:p w14:paraId="1EB148D0" w14:textId="77777777" w:rsidR="00F52CB9" w:rsidRPr="00F52CB9" w:rsidRDefault="00F52CB9" w:rsidP="00F52CB9">
      <w:pPr>
        <w:numPr>
          <w:ilvl w:val="0"/>
          <w:numId w:val="4"/>
        </w:numPr>
        <w:jc w:val="both"/>
        <w:rPr>
          <w:rFonts w:ascii="Times New Roman" w:hAnsi="Times New Roman" w:cs="Times New Roman"/>
          <w:lang w:val="lt-LT"/>
        </w:rPr>
      </w:pPr>
      <w:r w:rsidRPr="00F52CB9">
        <w:rPr>
          <w:rFonts w:ascii="Times New Roman" w:hAnsi="Times New Roman" w:cs="Times New Roman"/>
          <w:lang w:val="lt-LT"/>
        </w:rPr>
        <w:t>sedzot visas transportēšanas izmaksas un nodrošinot, ka Pasūtītājam nerodas papildu izmaksas vai administratīvs slogs.</w:t>
      </w:r>
    </w:p>
    <w:p w14:paraId="12430DB6"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Līdz ar to iepirkuma mērķi – savlaicīgu un kvalitatīvu garantijas remonta un tehniskās apkopes pakalpojumu sniegšanu – iespējams sasniegt arī bez ģeogrāfiska attāluma ierobežojuma.</w:t>
      </w:r>
    </w:p>
    <w:p w14:paraId="3171B0CC"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lastRenderedPageBreak/>
        <w:t>Pasūtītājs ir tiesīgs noteikt prasības attiecībā uz pakalpojuma rezultātu, piemēram, maksimālo reakcijas laiku, transportlīdzekļa pieņemšanas termiņu vai remonta izpildes termiņu. Tomēr pasūtītājs nav tiesīgs bez objektīva pamatojuma ierobežot piegādātāju izvēlētos pakalpojuma organizēšanas risinājumus, ja tie nodrošina tādu pašu rezultātu un nerada Pasūtītājam papildu izmaksas vai riskus.</w:t>
      </w:r>
    </w:p>
    <w:p w14:paraId="719845FE"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Turklāt iepirkuma dokumentācijas 2.9. punktā Pasūtītājs jau ir noteicis konkrētu pakalpojuma izpildes prasību, paredzot, ka "Piegādātājs nodrošina transportlīdzekļa tehniskās apkopes uzsākšanu ne ilgāk kā 72 stundu laikā no pieteikuma saņemšanas brīža."</w:t>
      </w:r>
    </w:p>
    <w:p w14:paraId="79C210D7"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Tādējādi Pasūtītāja leģitīmā interese par savlaicīgu tehniskās apkopes un garantijas remonta uzsākšanu jau ir pilnībā nodrošināta ar konkrētu izpildes termiņu. Ja pretendents spēj izpildīt šo prasību, nav juridiska vai objektīva pamata papildus noteikt ierobežojumu attiecībā uz autorizētās servisa darbnīcas atrašanās vietu.</w:t>
      </w:r>
    </w:p>
    <w:p w14:paraId="250CF3C8"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Līdz ar to prasība par maksimālo 140 km attālumu nedod Pasūtītājam papildu garantiju par pakalpojuma savlaicīgu sniegšanu, bet vienīgi nepamatoti ierobežo iespējamo pretendentu loku. Šāda dubulta prasība neatbilst samērīguma principam, jo viens un tas pats iepirkuma mērķis – savlaicīga pakalpojuma sniegšana – jau tiek nodrošināts ar 2.9. punktā noteikto pienākumu uzsākt tehnisko apkopi 72 stundu laikā.</w:t>
      </w:r>
    </w:p>
    <w:p w14:paraId="7CF0F3E1"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Ņemot vērā iepriekš minēto, lūdzam svītrot vai grozīt iepirkuma dokumentācijas 2.1. punktu, aizstājot prasību par autorizētās servisa darbnīcas maksimālo attālumu ar prasību nodrošināt tehniskās apkopes un garantijas remonta pakalpojumu izpildi iepirkuma dokumentācijā noteiktajos termiņos neatkarīgi no pretendenta izvēlētā pakalpojuma organizēšanas modeļa, ja tas pilnībā nodrošina Pasūtītāja intereses un nerada tam papildu izmaksas.</w:t>
      </w:r>
    </w:p>
    <w:p w14:paraId="42C8EFBB" w14:textId="77777777" w:rsidR="00F52CB9" w:rsidRPr="00F52CB9" w:rsidRDefault="00F52CB9" w:rsidP="00F52CB9">
      <w:pPr>
        <w:jc w:val="both"/>
        <w:rPr>
          <w:rFonts w:ascii="Times New Roman" w:hAnsi="Times New Roman" w:cs="Times New Roman"/>
          <w:lang w:val="lt-LT"/>
        </w:rPr>
      </w:pPr>
      <w:r w:rsidRPr="00F52CB9">
        <w:rPr>
          <w:rFonts w:ascii="Times New Roman" w:hAnsi="Times New Roman" w:cs="Times New Roman"/>
          <w:lang w:val="lt-LT"/>
        </w:rPr>
        <w:t>Šāds risinājums nodrošinās atbilstību Publisko iepirkumu likuma un Eiropas Savienības publisko iepirkumu principiem, vienlaikus paplašinot konkurenci un ļaujot Pasūtītājam saņemt ekonomiski izdevīgākos piedāvājumus.</w:t>
      </w:r>
    </w:p>
    <w:p w14:paraId="681717E7" w14:textId="7312DF7C" w:rsidR="00863024" w:rsidRPr="00F52CB9" w:rsidRDefault="00863024" w:rsidP="00C3465F">
      <w:pPr>
        <w:jc w:val="both"/>
        <w:rPr>
          <w:rFonts w:ascii="Times New Roman" w:hAnsi="Times New Roman" w:cs="Times New Roman"/>
        </w:rPr>
      </w:pPr>
    </w:p>
    <w:p w14:paraId="464A25D4" w14:textId="5A711978" w:rsidR="007D1D75" w:rsidRPr="00F52CB9" w:rsidRDefault="00C3465F" w:rsidP="00F52CB9">
      <w:pPr>
        <w:pStyle w:val="Sarakstarindkopa"/>
        <w:ind w:hanging="720"/>
        <w:jc w:val="both"/>
        <w:rPr>
          <w:rFonts w:ascii="Times New Roman" w:hAnsi="Times New Roman" w:cs="Times New Roman"/>
          <w:u w:val="single"/>
        </w:rPr>
      </w:pPr>
      <w:r w:rsidRPr="00F52CB9">
        <w:rPr>
          <w:rFonts w:ascii="Times New Roman" w:hAnsi="Times New Roman" w:cs="Times New Roman"/>
          <w:b/>
          <w:bCs/>
        </w:rPr>
        <w:t xml:space="preserve">Atbilde: </w:t>
      </w:r>
      <w:r w:rsidR="00F52CB9" w:rsidRPr="00F52CB9">
        <w:rPr>
          <w:rFonts w:ascii="Times New Roman" w:hAnsi="Times New Roman" w:cs="Times New Roman"/>
        </w:rPr>
        <w:t>Nolikuma prasība netiek grozīta.</w:t>
      </w:r>
    </w:p>
    <w:p w14:paraId="05C088BB" w14:textId="77777777" w:rsidR="007D1D75" w:rsidRPr="00F52CB9" w:rsidRDefault="007D1D75" w:rsidP="00C3465F">
      <w:pPr>
        <w:pStyle w:val="Sarakstarindkopa"/>
        <w:ind w:hanging="720"/>
        <w:jc w:val="both"/>
        <w:rPr>
          <w:rFonts w:ascii="Times New Roman" w:hAnsi="Times New Roman" w:cs="Times New Roman"/>
          <w:b/>
          <w:bCs/>
        </w:rPr>
      </w:pPr>
    </w:p>
    <w:p w14:paraId="04E36EA1" w14:textId="77777777" w:rsidR="00C3465F" w:rsidRPr="00F52CB9" w:rsidRDefault="00C3465F" w:rsidP="00C3465F">
      <w:pPr>
        <w:spacing w:before="240" w:line="276" w:lineRule="auto"/>
        <w:jc w:val="both"/>
        <w:textAlignment w:val="baseline"/>
        <w:rPr>
          <w:rFonts w:ascii="Times New Roman" w:hAnsi="Times New Roman" w:cs="Times New Roman"/>
        </w:rPr>
      </w:pPr>
      <w:r w:rsidRPr="00F52CB9">
        <w:rPr>
          <w:rFonts w:ascii="Times New Roman" w:hAnsi="Times New Roman" w:cs="Times New Roman"/>
        </w:rPr>
        <w:t>Iepirkumu komisijas priekšsēdētājs</w:t>
      </w:r>
      <w:r w:rsidRPr="00F52CB9">
        <w:rPr>
          <w:rFonts w:ascii="Times New Roman" w:hAnsi="Times New Roman" w:cs="Times New Roman"/>
        </w:rPr>
        <w:tab/>
      </w:r>
      <w:r w:rsidRPr="00F52CB9">
        <w:rPr>
          <w:rFonts w:ascii="Times New Roman" w:hAnsi="Times New Roman" w:cs="Times New Roman"/>
        </w:rPr>
        <w:tab/>
      </w:r>
      <w:r w:rsidRPr="00F52CB9">
        <w:rPr>
          <w:rFonts w:ascii="Times New Roman" w:hAnsi="Times New Roman" w:cs="Times New Roman"/>
        </w:rPr>
        <w:tab/>
      </w:r>
      <w:r w:rsidRPr="00F52CB9">
        <w:rPr>
          <w:rFonts w:ascii="Times New Roman" w:hAnsi="Times New Roman" w:cs="Times New Roman"/>
        </w:rPr>
        <w:tab/>
      </w:r>
      <w:r w:rsidRPr="00F52CB9">
        <w:rPr>
          <w:rFonts w:ascii="Times New Roman" w:hAnsi="Times New Roman" w:cs="Times New Roman"/>
        </w:rPr>
        <w:tab/>
      </w:r>
      <w:r w:rsidRPr="00F52CB9">
        <w:rPr>
          <w:rFonts w:ascii="Times New Roman" w:hAnsi="Times New Roman" w:cs="Times New Roman"/>
        </w:rPr>
        <w:tab/>
      </w:r>
      <w:r w:rsidRPr="00F52CB9">
        <w:rPr>
          <w:rFonts w:ascii="Times New Roman" w:hAnsi="Times New Roman" w:cs="Times New Roman"/>
        </w:rPr>
        <w:tab/>
        <w:t xml:space="preserve">      J. Graudiņš</w:t>
      </w:r>
    </w:p>
    <w:p w14:paraId="2417B97B" w14:textId="77777777" w:rsidR="00C3465F" w:rsidRPr="00F52CB9" w:rsidRDefault="00C3465F" w:rsidP="00C3465F">
      <w:pPr>
        <w:tabs>
          <w:tab w:val="left" w:pos="2340"/>
          <w:tab w:val="left" w:pos="9000"/>
        </w:tabs>
        <w:spacing w:after="0" w:line="276" w:lineRule="auto"/>
        <w:jc w:val="both"/>
        <w:rPr>
          <w:rFonts w:ascii="Times New Roman" w:hAnsi="Times New Roman" w:cs="Times New Roman"/>
        </w:rPr>
      </w:pPr>
      <w:r w:rsidRPr="00F52CB9">
        <w:rPr>
          <w:rFonts w:ascii="Times New Roman" w:hAnsi="Times New Roman" w:cs="Times New Roman"/>
        </w:rPr>
        <w:t>Mežinska</w:t>
      </w:r>
    </w:p>
    <w:p w14:paraId="3D3376DB" w14:textId="77777777" w:rsidR="00C3465F" w:rsidRDefault="00C3465F" w:rsidP="00C3465F">
      <w:pPr>
        <w:tabs>
          <w:tab w:val="left" w:pos="2340"/>
          <w:tab w:val="left" w:pos="9000"/>
        </w:tabs>
        <w:spacing w:after="0" w:line="276" w:lineRule="auto"/>
        <w:jc w:val="both"/>
        <w:rPr>
          <w:rFonts w:ascii="Times New Roman" w:hAnsi="Times New Roman" w:cs="Times New Roman"/>
        </w:rPr>
      </w:pPr>
      <w:r w:rsidRPr="00F52CB9">
        <w:rPr>
          <w:rFonts w:ascii="Times New Roman" w:hAnsi="Times New Roman" w:cs="Times New Roman"/>
        </w:rPr>
        <w:t>25157975</w:t>
      </w:r>
    </w:p>
    <w:p w14:paraId="05E98613" w14:textId="77777777" w:rsidR="005D14E9" w:rsidRDefault="005D14E9" w:rsidP="00C3465F">
      <w:pPr>
        <w:tabs>
          <w:tab w:val="left" w:pos="2340"/>
          <w:tab w:val="left" w:pos="9000"/>
        </w:tabs>
        <w:spacing w:after="0" w:line="276" w:lineRule="auto"/>
        <w:jc w:val="both"/>
        <w:rPr>
          <w:rFonts w:ascii="Times New Roman" w:hAnsi="Times New Roman" w:cs="Times New Roman"/>
        </w:rPr>
      </w:pPr>
    </w:p>
    <w:p w14:paraId="45EE001B" w14:textId="77777777" w:rsidR="005D14E9" w:rsidRPr="00F52CB9" w:rsidRDefault="005D14E9" w:rsidP="00C3465F">
      <w:pPr>
        <w:tabs>
          <w:tab w:val="left" w:pos="2340"/>
          <w:tab w:val="left" w:pos="9000"/>
        </w:tabs>
        <w:spacing w:after="0" w:line="276" w:lineRule="auto"/>
        <w:jc w:val="both"/>
        <w:rPr>
          <w:rFonts w:ascii="Times New Roman" w:hAnsi="Times New Roman" w:cs="Times New Roman"/>
        </w:rPr>
      </w:pPr>
    </w:p>
    <w:p w14:paraId="6F7E3BF1" w14:textId="77777777" w:rsidR="005D14E9" w:rsidRPr="00D5040E" w:rsidRDefault="005D14E9" w:rsidP="005D14E9">
      <w:pPr>
        <w:pStyle w:val="Kjene"/>
        <w:jc w:val="both"/>
        <w:rPr>
          <w:rFonts w:ascii="Times New Roman" w:hAnsi="Times New Roman" w:cs="Times New Roman"/>
        </w:rPr>
      </w:pPr>
      <w:r w:rsidRPr="00D5040E">
        <w:rPr>
          <w:rFonts w:ascii="Times New Roman" w:hAnsi="Times New Roman" w:cs="Times New Roman"/>
        </w:rPr>
        <w:t>ŠIS DOKUMENTS PARAKSTĪTS AR ELEKTRONISKU PARAKSTU UN SATUR LAIKA ZĪMOGU</w:t>
      </w:r>
    </w:p>
    <w:p w14:paraId="72F38FE0" w14:textId="77777777" w:rsidR="00C3465F" w:rsidRPr="00F52CB9" w:rsidRDefault="00C3465F">
      <w:pPr>
        <w:rPr>
          <w:rFonts w:ascii="Times New Roman" w:hAnsi="Times New Roman" w:cs="Times New Roman"/>
        </w:rPr>
      </w:pPr>
    </w:p>
    <w:sectPr w:rsidR="00C3465F" w:rsidRPr="00F52CB9" w:rsidSect="00C3465F">
      <w:footerReference w:type="default" r:id="rId7"/>
      <w:headerReference w:type="first" r:id="rId8"/>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D7AC" w14:textId="77777777" w:rsidR="00620FA5" w:rsidRDefault="00620FA5" w:rsidP="00C3465F">
      <w:pPr>
        <w:spacing w:after="0" w:line="240" w:lineRule="auto"/>
      </w:pPr>
      <w:r>
        <w:separator/>
      </w:r>
    </w:p>
  </w:endnote>
  <w:endnote w:type="continuationSeparator" w:id="0">
    <w:p w14:paraId="36824067" w14:textId="77777777" w:rsidR="00620FA5" w:rsidRDefault="00620FA5" w:rsidP="00C3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A8C5" w14:textId="7A96FA3E" w:rsidR="00C3465F" w:rsidRPr="00C3465F" w:rsidRDefault="00C3465F" w:rsidP="00C3465F">
    <w:pPr>
      <w:spacing w:after="0" w:line="276" w:lineRule="auto"/>
      <w:ind w:right="-2"/>
      <w:jc w:val="both"/>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0622" w14:textId="77777777" w:rsidR="00620FA5" w:rsidRDefault="00620FA5" w:rsidP="00C3465F">
      <w:pPr>
        <w:spacing w:after="0" w:line="240" w:lineRule="auto"/>
      </w:pPr>
      <w:r>
        <w:separator/>
      </w:r>
    </w:p>
  </w:footnote>
  <w:footnote w:type="continuationSeparator" w:id="0">
    <w:p w14:paraId="3E153EAB" w14:textId="77777777" w:rsidR="00620FA5" w:rsidRDefault="00620FA5" w:rsidP="00C34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5F50" w14:textId="77777777" w:rsidR="00C3465F" w:rsidRPr="00D66EB0" w:rsidRDefault="00C3465F" w:rsidP="00C3465F">
    <w:pPr>
      <w:spacing w:after="0" w:line="240" w:lineRule="auto"/>
      <w:jc w:val="center"/>
      <w:rPr>
        <w:rFonts w:ascii="Times New Roman" w:eastAsia="Times New Roman" w:hAnsi="Times New Roman" w:cs="Times New Roman"/>
        <w:caps/>
        <w:kern w:val="0"/>
        <w:lang w:val="en-GB"/>
        <w14:ligatures w14:val="none"/>
      </w:rPr>
    </w:pPr>
    <w:r w:rsidRPr="00D66EB0">
      <w:rPr>
        <w:rFonts w:ascii="Times New Roman" w:eastAsia="Times New Roman" w:hAnsi="Times New Roman" w:cs="Times New Roman"/>
        <w:b/>
        <w:bCs/>
        <w:caps/>
        <w:noProof/>
        <w:kern w:val="0"/>
        <w:lang w:eastAsia="lv-LV"/>
        <w14:ligatures w14:val="none"/>
      </w:rPr>
      <w:drawing>
        <wp:anchor distT="0" distB="0" distL="114300" distR="114300" simplePos="0" relativeHeight="251659264" behindDoc="0" locked="0" layoutInCell="1" allowOverlap="1" wp14:anchorId="4ED376F6" wp14:editId="5DEDA10E">
          <wp:simplePos x="0" y="0"/>
          <wp:positionH relativeFrom="margin">
            <wp:align>center</wp:align>
          </wp:positionH>
          <wp:positionV relativeFrom="paragraph">
            <wp:posOffset>-76200</wp:posOffset>
          </wp:positionV>
          <wp:extent cx="757905" cy="901065"/>
          <wp:effectExtent l="0" t="0" r="4445" b="0"/>
          <wp:wrapTopAndBottom/>
          <wp:docPr id="428815714" name="Attēls 42881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EB0">
      <w:rPr>
        <w:rFonts w:ascii="Times New Roman" w:eastAsia="Times New Roman" w:hAnsi="Times New Roman" w:cs="Times New Roman"/>
        <w:b/>
        <w:bCs/>
        <w:caps/>
        <w:noProof/>
        <w:kern w:val="0"/>
        <w:lang w:val="en-GB"/>
        <w14:ligatures w14:val="none"/>
      </w:rPr>
      <w:t>Limbažu novada pašvaldība</w:t>
    </w:r>
  </w:p>
  <w:p w14:paraId="01DE4167" w14:textId="77777777" w:rsidR="00C3465F" w:rsidRPr="00D66EB0" w:rsidRDefault="00C3465F" w:rsidP="00C3465F">
    <w:pPr>
      <w:spacing w:after="0" w:line="259" w:lineRule="auto"/>
      <w:jc w:val="center"/>
      <w:rPr>
        <w:rFonts w:ascii="Times New Roman" w:eastAsia="Calibri" w:hAnsi="Times New Roman" w:cs="Times New Roman"/>
        <w:b/>
        <w:caps/>
        <w:kern w:val="0"/>
        <w:sz w:val="28"/>
        <w:szCs w:val="28"/>
        <w14:ligatures w14:val="none"/>
      </w:rPr>
    </w:pPr>
    <w:r w:rsidRPr="00D66EB0">
      <w:rPr>
        <w:rFonts w:ascii="Times New Roman" w:eastAsia="Calibri" w:hAnsi="Times New Roman" w:cs="Times New Roman"/>
        <w:b/>
        <w:caps/>
        <w:noProof/>
        <w:kern w:val="0"/>
        <w:sz w:val="28"/>
        <w:szCs w:val="28"/>
        <w14:ligatures w14:val="none"/>
      </w:rPr>
      <w:t>Iepirkumu komisija</w:t>
    </w:r>
  </w:p>
  <w:p w14:paraId="467FCEE1" w14:textId="77777777" w:rsidR="00C3465F" w:rsidRPr="00D66EB0" w:rsidRDefault="00C3465F" w:rsidP="00C3465F">
    <w:pPr>
      <w:spacing w:after="0" w:line="259" w:lineRule="auto"/>
      <w:jc w:val="center"/>
      <w:rPr>
        <w:rFonts w:ascii="Times New Roman" w:eastAsia="Calibri" w:hAnsi="Times New Roman" w:cs="Times New Roman"/>
        <w:kern w:val="0"/>
        <w:sz w:val="18"/>
        <w:szCs w:val="20"/>
        <w14:ligatures w14:val="none"/>
      </w:rPr>
    </w:pPr>
    <w:proofErr w:type="spellStart"/>
    <w:r w:rsidRPr="00D66EB0">
      <w:rPr>
        <w:rFonts w:ascii="Times New Roman" w:eastAsia="Calibri" w:hAnsi="Times New Roman" w:cs="Times New Roman"/>
        <w:kern w:val="0"/>
        <w:sz w:val="18"/>
        <w:szCs w:val="20"/>
        <w14:ligatures w14:val="none"/>
      </w:rPr>
      <w:t>Reģ</w:t>
    </w:r>
    <w:proofErr w:type="spellEnd"/>
    <w:r w:rsidRPr="00D66EB0">
      <w:rPr>
        <w:rFonts w:ascii="Times New Roman" w:eastAsia="Calibri" w:hAnsi="Times New Roman" w:cs="Times New Roman"/>
        <w:kern w:val="0"/>
        <w:sz w:val="18"/>
        <w:szCs w:val="20"/>
        <w14:ligatures w14:val="none"/>
      </w:rPr>
      <w:t xml:space="preserve">. Nr. </w:t>
    </w:r>
    <w:r w:rsidRPr="00D66EB0">
      <w:rPr>
        <w:rFonts w:ascii="Times New Roman" w:eastAsia="Calibri" w:hAnsi="Times New Roman" w:cs="Times New Roman"/>
        <w:noProof/>
        <w:kern w:val="0"/>
        <w:sz w:val="18"/>
        <w:szCs w:val="20"/>
        <w14:ligatures w14:val="none"/>
      </w:rPr>
      <w:t>90009114631</w:t>
    </w:r>
    <w:r w:rsidRPr="00D66EB0">
      <w:rPr>
        <w:rFonts w:ascii="Times New Roman" w:eastAsia="Calibri" w:hAnsi="Times New Roman" w:cs="Times New Roman"/>
        <w:kern w:val="0"/>
        <w:sz w:val="18"/>
        <w:szCs w:val="20"/>
        <w14:ligatures w14:val="none"/>
      </w:rPr>
      <w:t xml:space="preserve">; </w:t>
    </w:r>
    <w:r w:rsidRPr="00D66EB0">
      <w:rPr>
        <w:rFonts w:ascii="Times New Roman" w:eastAsia="Calibri" w:hAnsi="Times New Roman" w:cs="Times New Roman"/>
        <w:noProof/>
        <w:kern w:val="0"/>
        <w:sz w:val="18"/>
        <w:szCs w:val="20"/>
        <w14:ligatures w14:val="none"/>
      </w:rPr>
      <w:t>Rīgas iela 16, Limbaži, Limbažu novads, LV-4001</w:t>
    </w:r>
    <w:r w:rsidRPr="00D66EB0">
      <w:rPr>
        <w:rFonts w:ascii="Times New Roman" w:eastAsia="Calibri" w:hAnsi="Times New Roman" w:cs="Times New Roman"/>
        <w:kern w:val="0"/>
        <w:sz w:val="18"/>
        <w:szCs w:val="20"/>
        <w14:ligatures w14:val="none"/>
      </w:rPr>
      <w:t xml:space="preserve">; </w:t>
    </w:r>
  </w:p>
  <w:p w14:paraId="30307A60" w14:textId="5F0762C6" w:rsidR="00C3465F" w:rsidRPr="00D66EB0" w:rsidRDefault="00C3465F" w:rsidP="00C3465F">
    <w:pPr>
      <w:spacing w:after="0" w:line="259" w:lineRule="auto"/>
      <w:jc w:val="center"/>
      <w:rPr>
        <w:rFonts w:ascii="Times New Roman" w:eastAsia="Calibri" w:hAnsi="Times New Roman" w:cs="Times New Roman"/>
        <w:kern w:val="0"/>
        <w:sz w:val="18"/>
        <w:szCs w:val="20"/>
        <w14:ligatures w14:val="none"/>
      </w:rPr>
    </w:pPr>
    <w:r w:rsidRPr="00D66EB0">
      <w:rPr>
        <w:rFonts w:ascii="Times New Roman" w:eastAsia="Calibri" w:hAnsi="Times New Roman" w:cs="Times New Roman"/>
        <w:kern w:val="0"/>
        <w:sz w:val="18"/>
        <w:szCs w:val="20"/>
        <w14:ligatures w14:val="none"/>
      </w:rPr>
      <w:t>E-pasts</w:t>
    </w:r>
    <w:r w:rsidRPr="00D66EB0">
      <w:rPr>
        <w:rFonts w:ascii="Times New Roman" w:eastAsia="Calibri" w:hAnsi="Times New Roman" w:cs="Times New Roman"/>
        <w:iCs/>
        <w:kern w:val="0"/>
        <w:sz w:val="18"/>
        <w:szCs w:val="20"/>
        <w14:ligatures w14:val="none"/>
      </w:rPr>
      <w:t xml:space="preserve"> </w:t>
    </w:r>
    <w:r w:rsidRPr="00D66EB0">
      <w:rPr>
        <w:rFonts w:ascii="Times New Roman" w:eastAsia="Calibri" w:hAnsi="Times New Roman" w:cs="Times New Roman"/>
        <w:iCs/>
        <w:noProof/>
        <w:kern w:val="0"/>
        <w:sz w:val="18"/>
        <w:szCs w:val="20"/>
        <w14:ligatures w14:val="none"/>
      </w:rPr>
      <w:t>iepirkumi@limbazunovads.lv</w:t>
    </w:r>
  </w:p>
  <w:p w14:paraId="0EC6B6D1" w14:textId="77777777" w:rsidR="00C3465F" w:rsidRDefault="00C3465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074F3"/>
    <w:multiLevelType w:val="hybridMultilevel"/>
    <w:tmpl w:val="605AD9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071A0"/>
    <w:multiLevelType w:val="multilevel"/>
    <w:tmpl w:val="E5581826"/>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380"/>
        </w:tabs>
        <w:ind w:left="1380" w:hanging="480"/>
      </w:pPr>
      <w:rPr>
        <w:rFonts w:cs="Times New Roman" w:hint="default"/>
        <w:i w:val="0"/>
        <w:iCs w:val="0"/>
        <w:color w:val="auto"/>
        <w:sz w:val="24"/>
      </w:rPr>
    </w:lvl>
    <w:lvl w:ilvl="2">
      <w:start w:val="1"/>
      <w:numFmt w:val="decimal"/>
      <w:lvlText w:val="%1.%2.%3."/>
      <w:lvlJc w:val="left"/>
      <w:pPr>
        <w:tabs>
          <w:tab w:val="num" w:pos="720"/>
        </w:tabs>
        <w:ind w:left="720" w:hanging="720"/>
      </w:pPr>
      <w:rPr>
        <w:rFonts w:cs="Times New Roman" w:hint="default"/>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738C0AE8"/>
    <w:multiLevelType w:val="multilevel"/>
    <w:tmpl w:val="5486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D230F"/>
    <w:multiLevelType w:val="hybridMultilevel"/>
    <w:tmpl w:val="55E003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61522014">
    <w:abstractNumId w:val="3"/>
  </w:num>
  <w:num w:numId="2" w16cid:durableId="818306097">
    <w:abstractNumId w:val="1"/>
  </w:num>
  <w:num w:numId="3" w16cid:durableId="738555756">
    <w:abstractNumId w:val="0"/>
  </w:num>
  <w:num w:numId="4" w16cid:durableId="1147668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24"/>
    <w:rsid w:val="000C1079"/>
    <w:rsid w:val="000D5B93"/>
    <w:rsid w:val="000E6DE5"/>
    <w:rsid w:val="002B50F2"/>
    <w:rsid w:val="00340213"/>
    <w:rsid w:val="00445AF1"/>
    <w:rsid w:val="004468A6"/>
    <w:rsid w:val="0044733B"/>
    <w:rsid w:val="005D14E9"/>
    <w:rsid w:val="00620FA5"/>
    <w:rsid w:val="006830D6"/>
    <w:rsid w:val="00785CED"/>
    <w:rsid w:val="007D1D75"/>
    <w:rsid w:val="007D65EC"/>
    <w:rsid w:val="00863024"/>
    <w:rsid w:val="00A53235"/>
    <w:rsid w:val="00B5040F"/>
    <w:rsid w:val="00BD666B"/>
    <w:rsid w:val="00C3465F"/>
    <w:rsid w:val="00CC64A8"/>
    <w:rsid w:val="00CF0973"/>
    <w:rsid w:val="00D32787"/>
    <w:rsid w:val="00D5040E"/>
    <w:rsid w:val="00F52CB9"/>
    <w:rsid w:val="00FD7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33DA"/>
  <w15:chartTrackingRefBased/>
  <w15:docId w15:val="{D8DFA8A7-3FBC-40D6-9165-0D8CD8BD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63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3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302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302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302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302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302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302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302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302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302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302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302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302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302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302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302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302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3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302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302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302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302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3024"/>
    <w:rPr>
      <w:i/>
      <w:iCs/>
      <w:color w:val="404040" w:themeColor="text1" w:themeTint="BF"/>
    </w:rPr>
  </w:style>
  <w:style w:type="paragraph" w:styleId="Sarakstarindkopa">
    <w:name w:val="List Paragraph"/>
    <w:basedOn w:val="Parasts"/>
    <w:link w:val="SarakstarindkopaRakstz"/>
    <w:uiPriority w:val="34"/>
    <w:qFormat/>
    <w:rsid w:val="00863024"/>
    <w:pPr>
      <w:ind w:left="720"/>
      <w:contextualSpacing/>
    </w:pPr>
  </w:style>
  <w:style w:type="character" w:styleId="Intensvsizclums">
    <w:name w:val="Intense Emphasis"/>
    <w:basedOn w:val="Noklusjumarindkopasfonts"/>
    <w:uiPriority w:val="21"/>
    <w:qFormat/>
    <w:rsid w:val="00863024"/>
    <w:rPr>
      <w:i/>
      <w:iCs/>
      <w:color w:val="2F5496" w:themeColor="accent1" w:themeShade="BF"/>
    </w:rPr>
  </w:style>
  <w:style w:type="paragraph" w:styleId="Intensvscitts">
    <w:name w:val="Intense Quote"/>
    <w:basedOn w:val="Parasts"/>
    <w:next w:val="Parasts"/>
    <w:link w:val="IntensvscittsRakstz"/>
    <w:uiPriority w:val="30"/>
    <w:qFormat/>
    <w:rsid w:val="00863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3024"/>
    <w:rPr>
      <w:i/>
      <w:iCs/>
      <w:color w:val="2F5496" w:themeColor="accent1" w:themeShade="BF"/>
    </w:rPr>
  </w:style>
  <w:style w:type="character" w:styleId="Intensvaatsauce">
    <w:name w:val="Intense Reference"/>
    <w:basedOn w:val="Noklusjumarindkopasfonts"/>
    <w:uiPriority w:val="32"/>
    <w:qFormat/>
    <w:rsid w:val="00863024"/>
    <w:rPr>
      <w:b/>
      <w:bCs/>
      <w:smallCaps/>
      <w:color w:val="2F5496" w:themeColor="accent1" w:themeShade="BF"/>
      <w:spacing w:val="5"/>
    </w:rPr>
  </w:style>
  <w:style w:type="paragraph" w:styleId="Galvene">
    <w:name w:val="header"/>
    <w:basedOn w:val="Parasts"/>
    <w:link w:val="GalveneRakstz"/>
    <w:uiPriority w:val="99"/>
    <w:unhideWhenUsed/>
    <w:rsid w:val="00C346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3465F"/>
  </w:style>
  <w:style w:type="paragraph" w:styleId="Kjene">
    <w:name w:val="footer"/>
    <w:basedOn w:val="Parasts"/>
    <w:link w:val="KjeneRakstz"/>
    <w:uiPriority w:val="99"/>
    <w:unhideWhenUsed/>
    <w:rsid w:val="00C346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3465F"/>
  </w:style>
  <w:style w:type="character" w:customStyle="1" w:styleId="SarakstarindkopaRakstz">
    <w:name w:val="Saraksta rindkopa Rakstz."/>
    <w:link w:val="Sarakstarindkopa"/>
    <w:uiPriority w:val="34"/>
    <w:rsid w:val="00F5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4429</Words>
  <Characters>2525</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Limbazu Novads</cp:lastModifiedBy>
  <cp:revision>9</cp:revision>
  <dcterms:created xsi:type="dcterms:W3CDTF">2025-12-22T11:46:00Z</dcterms:created>
  <dcterms:modified xsi:type="dcterms:W3CDTF">2026-07-09T13:19:00Z</dcterms:modified>
</cp:coreProperties>
</file>