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812E9A" w:rsidRPr="00B1622C" w:rsidP="00812E9A">
      <w:pPr>
        <w:pStyle w:val="NoSpacing"/>
        <w:jc w:val="center"/>
        <w:rPr>
          <w:rFonts w:ascii="Times New Roman" w:eastAsia="Times New Roman" w:hAnsi="Times New Roman"/>
          <w:b/>
          <w:color w:val="231F20"/>
          <w:sz w:val="24"/>
          <w:szCs w:val="24"/>
          <w:lang w:val="lv-LV"/>
        </w:rPr>
      </w:pPr>
      <w:r w:rsidRPr="00B1622C">
        <w:rPr>
          <w:rFonts w:ascii="Times New Roman" w:eastAsia="Times New Roman" w:hAnsi="Times New Roman"/>
          <w:b/>
          <w:noProof/>
          <w:color w:val="231F20"/>
          <w:sz w:val="24"/>
          <w:szCs w:val="24"/>
          <w:lang w:val="lv-LV"/>
        </w:rPr>
        <w:t>VALSTS SOCIĀLĀS APRŪPES CENTRS “ZEMGALE”</w:t>
      </w:r>
    </w:p>
    <w:p w:rsidR="00812E9A" w:rsidRPr="00B1622C" w:rsidP="00812E9A">
      <w:pPr>
        <w:spacing w:after="0" w:line="194" w:lineRule="exact"/>
        <w:ind w:left="20" w:right="-45"/>
        <w:jc w:val="center"/>
        <w:rPr>
          <w:rFonts w:ascii="Times New Roman" w:eastAsia="Times New Roman" w:hAnsi="Times New Roman"/>
          <w:color w:val="231F20"/>
          <w:sz w:val="17"/>
          <w:szCs w:val="17"/>
          <w:lang w:val="lv-LV"/>
        </w:rPr>
      </w:pPr>
      <w:r w:rsidRPr="00B1622C">
        <w:rPr>
          <w:rFonts w:ascii="Times New Roman" w:eastAsia="Times New Roman" w:hAnsi="Times New Roman"/>
          <w:color w:val="231F20"/>
          <w:sz w:val="17"/>
          <w:szCs w:val="17"/>
          <w:lang w:val="lv-LV"/>
        </w:rPr>
        <w:t>_________________________________________________________________________________</w:t>
      </w:r>
    </w:p>
    <w:p w:rsidR="00812E9A" w:rsidRPr="00B1622C" w:rsidP="00812E9A">
      <w:pPr>
        <w:spacing w:after="0" w:line="194" w:lineRule="exact"/>
        <w:ind w:left="20" w:right="-45"/>
        <w:jc w:val="center"/>
        <w:rPr>
          <w:rFonts w:ascii="Times New Roman" w:eastAsia="Times New Roman" w:hAnsi="Times New Roman"/>
          <w:color w:val="231F20"/>
          <w:sz w:val="17"/>
          <w:szCs w:val="17"/>
          <w:lang w:val="lv-LV"/>
        </w:rPr>
      </w:pPr>
    </w:p>
    <w:p w:rsidR="00812E9A" w:rsidRPr="00B1622C" w:rsidP="00812E9A">
      <w:pPr>
        <w:spacing w:after="120" w:line="194" w:lineRule="exact"/>
        <w:ind w:left="23" w:right="-45"/>
        <w:jc w:val="center"/>
        <w:rPr>
          <w:rFonts w:ascii="Times New Roman" w:eastAsia="Times New Roman" w:hAnsi="Times New Roman"/>
          <w:caps/>
          <w:sz w:val="20"/>
          <w:szCs w:val="20"/>
          <w:lang w:val="lv-LV"/>
        </w:rPr>
      </w:pPr>
      <w:r w:rsidRPr="00B1622C">
        <w:rPr>
          <w:rFonts w:ascii="Times New Roman" w:eastAsia="Times New Roman" w:hAnsi="Times New Roman"/>
          <w:caps/>
          <w:sz w:val="20"/>
          <w:szCs w:val="20"/>
          <w:lang w:val="lv-LV"/>
        </w:rPr>
        <w:t>iEPIRKUMS</w:t>
      </w:r>
    </w:p>
    <w:p w:rsidR="00812E9A" w:rsidRPr="00B1622C" w:rsidP="00812E9A">
      <w:pPr>
        <w:spacing w:after="120" w:line="194" w:lineRule="exact"/>
        <w:ind w:left="23" w:right="-45"/>
        <w:jc w:val="center"/>
        <w:rPr>
          <w:rFonts w:ascii="Times New Roman" w:eastAsia="Times New Roman" w:hAnsi="Times New Roman"/>
          <w:color w:val="231F20"/>
          <w:sz w:val="20"/>
          <w:szCs w:val="20"/>
          <w:lang w:val="lv-LV"/>
        </w:rPr>
      </w:pPr>
      <w:r w:rsidRPr="00B1622C">
        <w:rPr>
          <w:rFonts w:ascii="Times New Roman" w:eastAsia="Times New Roman" w:hAnsi="Times New Roman"/>
          <w:color w:val="231F20"/>
          <w:sz w:val="20"/>
          <w:szCs w:val="20"/>
          <w:lang w:val="lv-LV"/>
        </w:rPr>
        <w:t>“</w:t>
      </w:r>
      <w:r w:rsidRPr="00B1622C">
        <w:rPr>
          <w:rFonts w:ascii="Times New Roman" w:hAnsi="Times New Roman"/>
          <w:bCs/>
          <w:sz w:val="20"/>
          <w:szCs w:val="20"/>
          <w:lang w:val="lv-LV"/>
        </w:rPr>
        <w:t>Ēdināšanas pakalpojumu nodrošināšana VSAC “Zemgale” filiāļu vajadzībām</w:t>
      </w:r>
      <w:r w:rsidRPr="00B1622C">
        <w:rPr>
          <w:rFonts w:ascii="Times New Roman" w:eastAsia="Times New Roman" w:hAnsi="Times New Roman"/>
          <w:color w:val="231F20"/>
          <w:sz w:val="20"/>
          <w:szCs w:val="20"/>
          <w:lang w:val="lv-LV"/>
        </w:rPr>
        <w:t xml:space="preserve">” </w:t>
      </w:r>
    </w:p>
    <w:p w:rsidR="00812E9A" w:rsidRPr="00B1622C" w:rsidP="00812E9A">
      <w:pPr>
        <w:spacing w:after="120" w:line="194" w:lineRule="exact"/>
        <w:ind w:left="23" w:right="-45"/>
        <w:jc w:val="center"/>
        <w:rPr>
          <w:rFonts w:ascii="Times New Roman" w:eastAsia="Times New Roman" w:hAnsi="Times New Roman"/>
          <w:color w:val="231F20"/>
          <w:sz w:val="20"/>
          <w:szCs w:val="20"/>
          <w:lang w:val="lv-LV"/>
        </w:rPr>
      </w:pPr>
      <w:r w:rsidRPr="00B1622C">
        <w:rPr>
          <w:rFonts w:ascii="Times New Roman" w:eastAsia="Times New Roman" w:hAnsi="Times New Roman"/>
          <w:color w:val="231F20"/>
          <w:sz w:val="20"/>
          <w:szCs w:val="20"/>
          <w:lang w:val="lv-LV"/>
        </w:rPr>
        <w:t>Nr. VSACZ 2026/5</w:t>
      </w:r>
    </w:p>
    <w:p w:rsidR="00812E9A" w:rsidRPr="00B1622C" w:rsidP="00812E9A">
      <w:pPr>
        <w:autoSpaceDE w:val="0"/>
        <w:autoSpaceDN w:val="0"/>
        <w:adjustRightInd w:val="0"/>
        <w:spacing w:after="0" w:line="240" w:lineRule="auto"/>
        <w:rPr>
          <w:rFonts w:ascii="Times New Roman" w:eastAsia="Times New Roman" w:hAnsi="Times New Roman"/>
          <w:b/>
          <w:iCs/>
          <w:sz w:val="24"/>
          <w:szCs w:val="24"/>
          <w:lang w:val="lv-LV"/>
        </w:rPr>
      </w:pPr>
    </w:p>
    <w:tbl>
      <w:tblPr>
        <w:tblW w:w="0" w:type="auto"/>
        <w:tblLayout w:type="fixed"/>
        <w:tblLook w:val="04A0"/>
      </w:tblPr>
      <w:tblGrid>
        <w:gridCol w:w="675"/>
        <w:gridCol w:w="1560"/>
        <w:gridCol w:w="708"/>
        <w:gridCol w:w="2127"/>
      </w:tblGrid>
      <w:tr w:rsidTr="002D4009">
        <w:tblPrEx>
          <w:tblW w:w="0" w:type="auto"/>
          <w:tblLayout w:type="fixed"/>
          <w:tblLook w:val="04A0"/>
        </w:tblPrEx>
        <w:tc>
          <w:tcPr>
            <w:tcW w:w="2235" w:type="dxa"/>
            <w:gridSpan w:val="2"/>
            <w:tcBorders>
              <w:bottom w:val="single" w:sz="4" w:space="0" w:color="auto"/>
            </w:tcBorders>
            <w:shd w:val="clear" w:color="auto" w:fill="auto"/>
          </w:tcPr>
          <w:p w:rsidR="00812E9A" w:rsidRPr="00B1622C" w:rsidP="002D4009">
            <w:pPr>
              <w:widowControl/>
              <w:spacing w:after="0" w:line="240" w:lineRule="auto"/>
              <w:jc w:val="both"/>
              <w:rPr>
                <w:rFonts w:ascii="Times New Roman" w:eastAsia="Times New Roman" w:hAnsi="Times New Roman"/>
                <w:sz w:val="24"/>
                <w:szCs w:val="24"/>
                <w:lang w:val="lv-LV" w:eastAsia="lv-LV"/>
              </w:rPr>
            </w:pPr>
            <w:r w:rsidRPr="00B1622C">
              <w:rPr>
                <w:rFonts w:ascii="Times New Roman" w:eastAsia="Times New Roman" w:hAnsi="Times New Roman"/>
                <w:sz w:val="24"/>
                <w:szCs w:val="24"/>
                <w:lang w:val="lv-LV" w:eastAsia="lv-LV"/>
              </w:rPr>
              <w:t>25.06.2026.</w:t>
            </w:r>
          </w:p>
        </w:tc>
        <w:tc>
          <w:tcPr>
            <w:tcW w:w="708" w:type="dxa"/>
            <w:shd w:val="clear" w:color="auto" w:fill="auto"/>
          </w:tcPr>
          <w:p w:rsidR="00812E9A" w:rsidRPr="00B1622C" w:rsidP="002D4009">
            <w:pPr>
              <w:widowControl/>
              <w:spacing w:after="0" w:line="240" w:lineRule="auto"/>
              <w:jc w:val="both"/>
              <w:rPr>
                <w:rFonts w:ascii="Times New Roman" w:eastAsia="Times New Roman" w:hAnsi="Times New Roman"/>
                <w:sz w:val="24"/>
                <w:szCs w:val="24"/>
                <w:lang w:val="lv-LV" w:eastAsia="lv-LV"/>
              </w:rPr>
            </w:pPr>
            <w:r w:rsidRPr="00B1622C">
              <w:rPr>
                <w:rFonts w:ascii="Times New Roman" w:eastAsia="Times New Roman" w:hAnsi="Times New Roman"/>
                <w:sz w:val="24"/>
                <w:szCs w:val="24"/>
                <w:lang w:val="lv-LV" w:eastAsia="lv-LV"/>
              </w:rPr>
              <w:t>Nr.</w:t>
            </w:r>
          </w:p>
        </w:tc>
        <w:tc>
          <w:tcPr>
            <w:tcW w:w="2127" w:type="dxa"/>
            <w:tcBorders>
              <w:bottom w:val="single" w:sz="4" w:space="0" w:color="auto"/>
            </w:tcBorders>
            <w:shd w:val="clear" w:color="auto" w:fill="auto"/>
          </w:tcPr>
          <w:p w:rsidR="00812E9A" w:rsidRPr="00B1622C" w:rsidP="002D4009">
            <w:pPr>
              <w:widowControl/>
              <w:spacing w:after="0" w:line="240" w:lineRule="auto"/>
              <w:rPr>
                <w:rFonts w:ascii="Times New Roman" w:eastAsia="Times New Roman" w:hAnsi="Times New Roman"/>
                <w:sz w:val="24"/>
                <w:szCs w:val="24"/>
                <w:lang w:val="lv-LV" w:eastAsia="lv-LV"/>
              </w:rPr>
            </w:pPr>
            <w:r w:rsidRPr="00B1622C">
              <w:rPr>
                <w:rFonts w:ascii="Times New Roman" w:eastAsia="Times New Roman" w:hAnsi="Times New Roman"/>
                <w:sz w:val="24"/>
                <w:szCs w:val="24"/>
                <w:lang w:val="lv-LV" w:eastAsia="lv-LV"/>
              </w:rPr>
              <w:t>1.15.1.483</w:t>
            </w:r>
          </w:p>
        </w:tc>
      </w:tr>
      <w:tr w:rsidTr="002D4009">
        <w:tblPrEx>
          <w:tblW w:w="0" w:type="auto"/>
          <w:tblLayout w:type="fixed"/>
          <w:tblLook w:val="04A0"/>
        </w:tblPrEx>
        <w:tc>
          <w:tcPr>
            <w:tcW w:w="675" w:type="dxa"/>
            <w:tcBorders>
              <w:top w:val="single" w:sz="4" w:space="0" w:color="auto"/>
            </w:tcBorders>
            <w:shd w:val="clear" w:color="auto" w:fill="auto"/>
          </w:tcPr>
          <w:p w:rsidR="00812E9A" w:rsidRPr="00B1622C" w:rsidP="002D4009">
            <w:pPr>
              <w:widowControl/>
              <w:spacing w:after="0" w:line="240" w:lineRule="auto"/>
              <w:jc w:val="both"/>
              <w:rPr>
                <w:rFonts w:ascii="Times New Roman" w:eastAsia="Times New Roman" w:hAnsi="Times New Roman"/>
                <w:sz w:val="24"/>
                <w:szCs w:val="24"/>
                <w:lang w:val="lv-LV" w:eastAsia="lv-LV"/>
              </w:rPr>
            </w:pPr>
            <w:r w:rsidRPr="00B1622C">
              <w:rPr>
                <w:rFonts w:ascii="Times New Roman" w:eastAsia="Times New Roman" w:hAnsi="Times New Roman"/>
                <w:sz w:val="24"/>
                <w:szCs w:val="24"/>
                <w:lang w:val="lv-LV" w:eastAsia="lv-LV"/>
              </w:rPr>
              <w:t>Uz</w:t>
            </w:r>
          </w:p>
        </w:tc>
        <w:tc>
          <w:tcPr>
            <w:tcW w:w="1560" w:type="dxa"/>
            <w:tcBorders>
              <w:top w:val="single" w:sz="4" w:space="0" w:color="auto"/>
              <w:bottom w:val="single" w:sz="4" w:space="0" w:color="auto"/>
            </w:tcBorders>
            <w:shd w:val="clear" w:color="auto" w:fill="auto"/>
          </w:tcPr>
          <w:p w:rsidR="00812E9A" w:rsidRPr="00B1622C" w:rsidP="002D4009">
            <w:pPr>
              <w:widowControl/>
              <w:spacing w:after="0" w:line="240" w:lineRule="auto"/>
              <w:jc w:val="both"/>
              <w:rPr>
                <w:rFonts w:ascii="Times New Roman" w:eastAsia="Times New Roman" w:hAnsi="Times New Roman"/>
                <w:sz w:val="24"/>
                <w:szCs w:val="24"/>
                <w:lang w:val="lv-LV" w:eastAsia="lv-LV"/>
              </w:rPr>
            </w:pPr>
            <w:r w:rsidRPr="00B1622C">
              <w:rPr>
                <w:rFonts w:ascii="Times New Roman" w:eastAsia="Times New Roman" w:hAnsi="Times New Roman"/>
                <w:sz w:val="24"/>
                <w:szCs w:val="24"/>
                <w:lang w:val="lv-LV" w:eastAsia="lv-LV"/>
              </w:rPr>
              <w:t>1</w:t>
            </w:r>
            <w:r w:rsidRPr="00B1622C" w:rsidR="008843C7">
              <w:rPr>
                <w:rFonts w:ascii="Times New Roman" w:eastAsia="Times New Roman" w:hAnsi="Times New Roman"/>
                <w:sz w:val="24"/>
                <w:szCs w:val="24"/>
                <w:lang w:val="lv-LV" w:eastAsia="lv-LV"/>
              </w:rPr>
              <w:t>7</w:t>
            </w:r>
            <w:r w:rsidRPr="00B1622C">
              <w:rPr>
                <w:rFonts w:ascii="Times New Roman" w:eastAsia="Times New Roman" w:hAnsi="Times New Roman"/>
                <w:sz w:val="24"/>
                <w:szCs w:val="24"/>
                <w:lang w:val="lv-LV" w:eastAsia="lv-LV"/>
              </w:rPr>
              <w:t>.06.2026.</w:t>
            </w:r>
          </w:p>
        </w:tc>
        <w:tc>
          <w:tcPr>
            <w:tcW w:w="708" w:type="dxa"/>
            <w:shd w:val="clear" w:color="auto" w:fill="auto"/>
          </w:tcPr>
          <w:p w:rsidR="00812E9A" w:rsidRPr="00B1622C" w:rsidP="002D4009">
            <w:pPr>
              <w:widowControl/>
              <w:spacing w:after="0" w:line="240" w:lineRule="auto"/>
              <w:jc w:val="both"/>
              <w:rPr>
                <w:rFonts w:ascii="Times New Roman" w:eastAsia="Times New Roman" w:hAnsi="Times New Roman"/>
                <w:sz w:val="24"/>
                <w:szCs w:val="24"/>
                <w:lang w:val="lv-LV" w:eastAsia="lv-LV"/>
              </w:rPr>
            </w:pPr>
          </w:p>
        </w:tc>
        <w:tc>
          <w:tcPr>
            <w:tcW w:w="2127" w:type="dxa"/>
            <w:tcBorders>
              <w:top w:val="single" w:sz="4" w:space="0" w:color="auto"/>
              <w:bottom w:val="single" w:sz="4" w:space="0" w:color="auto"/>
            </w:tcBorders>
            <w:shd w:val="clear" w:color="auto" w:fill="auto"/>
          </w:tcPr>
          <w:p w:rsidR="00812E9A" w:rsidRPr="00B1622C" w:rsidP="002D4009">
            <w:pPr>
              <w:widowControl/>
              <w:spacing w:after="0" w:line="240" w:lineRule="auto"/>
              <w:jc w:val="both"/>
              <w:rPr>
                <w:rFonts w:ascii="Times New Roman" w:eastAsia="Times New Roman" w:hAnsi="Times New Roman"/>
                <w:sz w:val="24"/>
                <w:szCs w:val="24"/>
                <w:lang w:val="lv-LV" w:eastAsia="lv-LV"/>
              </w:rPr>
            </w:pPr>
          </w:p>
        </w:tc>
      </w:tr>
    </w:tbl>
    <w:p w:rsidR="00812E9A" w:rsidRPr="00B1622C" w:rsidP="00812E9A">
      <w:pPr>
        <w:autoSpaceDE w:val="0"/>
        <w:autoSpaceDN w:val="0"/>
        <w:adjustRightInd w:val="0"/>
        <w:spacing w:after="0" w:line="240" w:lineRule="auto"/>
        <w:jc w:val="right"/>
        <w:rPr>
          <w:rFonts w:ascii="Times New Roman" w:eastAsia="Times New Roman" w:hAnsi="Times New Roman"/>
          <w:b/>
          <w:iCs/>
          <w:sz w:val="24"/>
          <w:szCs w:val="24"/>
          <w:lang w:val="lv-LV"/>
        </w:rPr>
      </w:pPr>
    </w:p>
    <w:p w:rsidR="00812E9A" w:rsidRPr="00B1622C" w:rsidP="00812E9A">
      <w:pPr>
        <w:autoSpaceDE w:val="0"/>
        <w:autoSpaceDN w:val="0"/>
        <w:adjustRightInd w:val="0"/>
        <w:spacing w:after="0" w:line="240" w:lineRule="auto"/>
        <w:jc w:val="right"/>
        <w:rPr>
          <w:rFonts w:ascii="Times New Roman" w:eastAsia="Times New Roman" w:hAnsi="Times New Roman"/>
          <w:b/>
          <w:iCs/>
          <w:sz w:val="24"/>
          <w:szCs w:val="24"/>
          <w:lang w:val="lv-LV"/>
        </w:rPr>
      </w:pPr>
    </w:p>
    <w:p w:rsidR="00812E9A" w:rsidRPr="00B1622C" w:rsidP="00812E9A">
      <w:pPr>
        <w:autoSpaceDE w:val="0"/>
        <w:autoSpaceDN w:val="0"/>
        <w:adjustRightInd w:val="0"/>
        <w:spacing w:after="0" w:line="240" w:lineRule="auto"/>
        <w:jc w:val="right"/>
        <w:rPr>
          <w:rFonts w:ascii="Times New Roman" w:eastAsia="Times New Roman" w:hAnsi="Times New Roman"/>
          <w:b/>
          <w:iCs/>
          <w:sz w:val="24"/>
          <w:szCs w:val="24"/>
          <w:lang w:val="lv-LV"/>
        </w:rPr>
      </w:pPr>
      <w:r w:rsidRPr="00B1622C">
        <w:rPr>
          <w:rFonts w:ascii="Times New Roman" w:eastAsia="Times New Roman" w:hAnsi="Times New Roman"/>
          <w:b/>
          <w:iCs/>
          <w:sz w:val="24"/>
          <w:szCs w:val="24"/>
          <w:lang w:val="lv-LV"/>
        </w:rPr>
        <w:t>Iespējamam piegādātājam</w:t>
      </w:r>
    </w:p>
    <w:p w:rsidR="00812E9A" w:rsidRPr="00B1622C" w:rsidP="00812E9A">
      <w:pPr>
        <w:spacing w:after="0" w:line="240" w:lineRule="auto"/>
        <w:rPr>
          <w:rFonts w:ascii="Times New Roman" w:hAnsi="Times New Roman"/>
          <w:b/>
          <w:i/>
          <w:sz w:val="24"/>
          <w:szCs w:val="24"/>
          <w:lang w:val="lv-LV"/>
        </w:rPr>
      </w:pPr>
      <w:bookmarkStart w:id="0" w:name="OLE_LINK1"/>
      <w:bookmarkStart w:id="1" w:name="OLE_LINK2"/>
    </w:p>
    <w:bookmarkEnd w:id="0"/>
    <w:bookmarkEnd w:id="1"/>
    <w:p w:rsidR="00812E9A" w:rsidRPr="00B1622C" w:rsidP="00812E9A">
      <w:pPr>
        <w:spacing w:after="0" w:line="240" w:lineRule="auto"/>
        <w:rPr>
          <w:rFonts w:ascii="Times New Roman" w:eastAsia="Times New Roman" w:hAnsi="Times New Roman"/>
          <w:b/>
          <w:iCs/>
          <w:sz w:val="24"/>
          <w:szCs w:val="24"/>
          <w:lang w:val="lv-LV"/>
        </w:rPr>
      </w:pPr>
      <w:r w:rsidRPr="00B1622C">
        <w:rPr>
          <w:rFonts w:ascii="Times New Roman" w:eastAsia="Times New Roman" w:hAnsi="Times New Roman"/>
          <w:b/>
          <w:iCs/>
          <w:sz w:val="24"/>
          <w:szCs w:val="24"/>
          <w:lang w:val="lv-LV"/>
        </w:rPr>
        <w:t>Atbilde uz iespējamā piegādātāja jautājum</w:t>
      </w:r>
      <w:r w:rsidRPr="00B1622C" w:rsidR="00265FFC">
        <w:rPr>
          <w:rFonts w:ascii="Times New Roman" w:eastAsia="Times New Roman" w:hAnsi="Times New Roman"/>
          <w:b/>
          <w:iCs/>
          <w:sz w:val="24"/>
          <w:szCs w:val="24"/>
          <w:lang w:val="lv-LV"/>
        </w:rPr>
        <w:t>iem</w:t>
      </w:r>
    </w:p>
    <w:p w:rsidR="00812E9A" w:rsidRPr="00B1622C" w:rsidP="00812E9A">
      <w:pPr>
        <w:spacing w:after="0" w:line="240" w:lineRule="auto"/>
        <w:rPr>
          <w:rFonts w:ascii="Times New Roman" w:eastAsia="Times New Roman" w:hAnsi="Times New Roman"/>
          <w:b/>
          <w:iCs/>
          <w:sz w:val="24"/>
          <w:szCs w:val="24"/>
          <w:lang w:val="lv-LV"/>
        </w:rPr>
      </w:pPr>
      <w:r w:rsidRPr="00B1622C">
        <w:rPr>
          <w:rFonts w:ascii="Times New Roman" w:eastAsia="Times New Roman" w:hAnsi="Times New Roman"/>
          <w:b/>
          <w:iCs/>
          <w:sz w:val="24"/>
          <w:szCs w:val="24"/>
          <w:lang w:val="lv-LV"/>
        </w:rPr>
        <w:t>iepirkumā Nr. VSACZ 202</w:t>
      </w:r>
      <w:r w:rsidRPr="00B1622C" w:rsidR="00CD3DA4">
        <w:rPr>
          <w:rFonts w:ascii="Times New Roman" w:eastAsia="Times New Roman" w:hAnsi="Times New Roman"/>
          <w:b/>
          <w:iCs/>
          <w:sz w:val="24"/>
          <w:szCs w:val="24"/>
          <w:lang w:val="lv-LV"/>
        </w:rPr>
        <w:t>6</w:t>
      </w:r>
      <w:r w:rsidRPr="00B1622C">
        <w:rPr>
          <w:rFonts w:ascii="Times New Roman" w:eastAsia="Times New Roman" w:hAnsi="Times New Roman"/>
          <w:b/>
          <w:iCs/>
          <w:sz w:val="24"/>
          <w:szCs w:val="24"/>
          <w:lang w:val="lv-LV"/>
        </w:rPr>
        <w:t>/</w:t>
      </w:r>
      <w:r w:rsidRPr="00B1622C" w:rsidR="00CD3DA4">
        <w:rPr>
          <w:rFonts w:ascii="Times New Roman" w:eastAsia="Times New Roman" w:hAnsi="Times New Roman"/>
          <w:b/>
          <w:iCs/>
          <w:sz w:val="24"/>
          <w:szCs w:val="24"/>
          <w:lang w:val="lv-LV"/>
        </w:rPr>
        <w:t>5</w:t>
      </w:r>
      <w:r w:rsidRPr="00B1622C">
        <w:rPr>
          <w:rFonts w:ascii="Times New Roman" w:eastAsia="Times New Roman" w:hAnsi="Times New Roman"/>
          <w:iCs/>
          <w:sz w:val="24"/>
          <w:szCs w:val="24"/>
          <w:lang w:val="lv-LV"/>
        </w:rPr>
        <w:tab/>
      </w:r>
    </w:p>
    <w:p w:rsidR="00812E9A" w:rsidRPr="00B1622C" w:rsidP="00812E9A">
      <w:pPr>
        <w:autoSpaceDE w:val="0"/>
        <w:autoSpaceDN w:val="0"/>
        <w:adjustRightInd w:val="0"/>
        <w:spacing w:after="0" w:line="240" w:lineRule="auto"/>
        <w:jc w:val="both"/>
        <w:rPr>
          <w:rFonts w:ascii="Times New Roman" w:eastAsia="Times New Roman" w:hAnsi="Times New Roman"/>
          <w:iCs/>
          <w:sz w:val="24"/>
          <w:szCs w:val="24"/>
          <w:lang w:val="lv-LV"/>
        </w:rPr>
      </w:pPr>
      <w:r w:rsidRPr="00B1622C">
        <w:rPr>
          <w:rFonts w:ascii="Times New Roman" w:eastAsia="Times New Roman" w:hAnsi="Times New Roman"/>
          <w:iCs/>
          <w:sz w:val="24"/>
          <w:szCs w:val="24"/>
          <w:lang w:val="lv-LV"/>
        </w:rPr>
        <w:tab/>
      </w:r>
      <w:bookmarkStart w:id="2" w:name="_Hlk531621196"/>
    </w:p>
    <w:p w:rsidR="008843C7" w:rsidRPr="00B1622C" w:rsidP="00B1622C">
      <w:pPr>
        <w:autoSpaceDE w:val="0"/>
        <w:autoSpaceDN w:val="0"/>
        <w:adjustRightInd w:val="0"/>
        <w:spacing w:after="0" w:line="240" w:lineRule="auto"/>
        <w:ind w:firstLine="720"/>
        <w:jc w:val="both"/>
        <w:rPr>
          <w:rFonts w:ascii="Times New Roman" w:eastAsia="Times New Roman" w:hAnsi="Times New Roman"/>
          <w:iCs/>
          <w:sz w:val="24"/>
          <w:szCs w:val="24"/>
          <w:lang w:val="lv-LV"/>
        </w:rPr>
      </w:pPr>
      <w:r w:rsidRPr="00B1622C">
        <w:rPr>
          <w:rFonts w:ascii="Times New Roman" w:eastAsia="Times New Roman" w:hAnsi="Times New Roman"/>
          <w:iCs/>
          <w:sz w:val="24"/>
          <w:szCs w:val="24"/>
          <w:lang w:val="lv-LV"/>
        </w:rPr>
        <w:t>Valsts sociālās aprūpes centra “Zemgale” iepirkuma Nr. VSACZ 2026/5 “Ēdināšanas pakalpojumu nodrošināšana VSAC “Zemgale” filiāļu vajadzībām” komisija ir saņēmusi iespējamā piegādātāja vēstuli, kurā uzdoti jautājumi un izteikti priekšlikumi par iepirkuma nolikuma prasībām.</w:t>
      </w:r>
    </w:p>
    <w:p w:rsidR="002740B9" w:rsidRPr="00B1622C" w:rsidP="00B1622C">
      <w:pPr>
        <w:autoSpaceDE w:val="0"/>
        <w:autoSpaceDN w:val="0"/>
        <w:adjustRightInd w:val="0"/>
        <w:spacing w:after="0" w:line="240" w:lineRule="auto"/>
        <w:ind w:firstLine="720"/>
        <w:jc w:val="both"/>
        <w:rPr>
          <w:rFonts w:ascii="Times New Roman" w:eastAsia="Times New Roman" w:hAnsi="Times New Roman"/>
          <w:iCs/>
          <w:sz w:val="24"/>
          <w:szCs w:val="24"/>
          <w:lang w:val="lv-LV"/>
        </w:rPr>
      </w:pPr>
      <w:r w:rsidRPr="00B1622C">
        <w:rPr>
          <w:rFonts w:ascii="Times New Roman" w:eastAsia="Times New Roman" w:hAnsi="Times New Roman"/>
          <w:iCs/>
          <w:sz w:val="24"/>
          <w:szCs w:val="24"/>
          <w:lang w:val="lv-LV"/>
        </w:rPr>
        <w:t xml:space="preserve">Iepirkuma komisija sniedz atbildes uz </w:t>
      </w:r>
      <w:r w:rsidRPr="00B1622C" w:rsidR="0012093C">
        <w:rPr>
          <w:rFonts w:ascii="Times New Roman" w:eastAsia="Times New Roman" w:hAnsi="Times New Roman"/>
          <w:iCs/>
          <w:sz w:val="24"/>
          <w:szCs w:val="24"/>
          <w:lang w:val="lv-LV"/>
        </w:rPr>
        <w:t>turpm</w:t>
      </w:r>
      <w:r w:rsidRPr="00B1622C">
        <w:rPr>
          <w:rFonts w:ascii="Times New Roman" w:eastAsia="Times New Roman" w:hAnsi="Times New Roman"/>
          <w:iCs/>
          <w:sz w:val="24"/>
          <w:szCs w:val="24"/>
          <w:lang w:val="lv-LV"/>
        </w:rPr>
        <w:t>āk norādītajiem jautājumiem.</w:t>
      </w:r>
    </w:p>
    <w:bookmarkEnd w:id="2"/>
    <w:p w:rsidR="005C1603" w:rsidRPr="00B1622C" w:rsidP="005C1603">
      <w:pPr>
        <w:spacing w:after="0" w:line="240" w:lineRule="auto"/>
        <w:jc w:val="both"/>
        <w:rPr>
          <w:rFonts w:ascii="Times New Roman" w:hAnsi="Times New Roman"/>
          <w:b/>
          <w:iCs/>
          <w:sz w:val="24"/>
          <w:szCs w:val="24"/>
          <w:lang w:val="lv-LV"/>
        </w:rPr>
      </w:pP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Jautājums Nr. 1:</w:t>
      </w:r>
    </w:p>
    <w:p w:rsidR="005C1603" w:rsidRPr="00B1622C" w:rsidP="005C1603">
      <w:pPr>
        <w:spacing w:after="0" w:line="240" w:lineRule="auto"/>
        <w:jc w:val="both"/>
        <w:rPr>
          <w:rFonts w:ascii="Times New Roman" w:hAnsi="Times New Roman"/>
          <w:b/>
          <w:iCs/>
          <w:sz w:val="24"/>
          <w:szCs w:val="24"/>
          <w:lang w:val="lv-LV"/>
        </w:rPr>
      </w:pPr>
    </w:p>
    <w:p w:rsidR="005C1603" w:rsidRPr="00B1622C" w:rsidP="00990BD3">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w:t>
      </w:r>
      <w:r w:rsidRPr="00B1622C">
        <w:rPr>
          <w:rFonts w:ascii="Times New Roman" w:hAnsi="Times New Roman"/>
          <w:b/>
          <w:iCs/>
          <w:sz w:val="24"/>
          <w:szCs w:val="24"/>
          <w:lang w:val="lv-LV"/>
        </w:rPr>
        <w:t>Zivju produkti un sertifikācija</w:t>
      </w:r>
    </w:p>
    <w:p w:rsidR="005C1603" w:rsidRPr="00B1622C" w:rsidP="00B1622C">
      <w:pPr>
        <w:spacing w:after="120" w:line="240" w:lineRule="auto"/>
        <w:ind w:firstLine="720"/>
        <w:jc w:val="both"/>
        <w:rPr>
          <w:rFonts w:ascii="Times New Roman" w:hAnsi="Times New Roman"/>
          <w:sz w:val="24"/>
          <w:szCs w:val="24"/>
          <w:lang w:val="lv-LV"/>
        </w:rPr>
      </w:pPr>
      <w:r w:rsidRPr="00B1622C">
        <w:rPr>
          <w:rFonts w:ascii="Times New Roman" w:hAnsi="Times New Roman"/>
          <w:sz w:val="24"/>
          <w:szCs w:val="24"/>
          <w:lang w:val="lv-LV"/>
        </w:rPr>
        <w:t xml:space="preserve">Veicot tirgus izpēti, SIA “MARNIKO” ir konstatējusi (kas tiek norādīts jau atkārtoti), ka pozīcijām Nr. 35 “Zivis </w:t>
      </w:r>
      <w:r w:rsidRPr="00B1622C">
        <w:rPr>
          <w:rFonts w:ascii="Times New Roman" w:hAnsi="Times New Roman"/>
          <w:i/>
          <w:iCs/>
          <w:sz w:val="24"/>
          <w:szCs w:val="24"/>
          <w:lang w:val="lv-LV"/>
        </w:rPr>
        <w:t>(jebkāds veids)</w:t>
      </w:r>
      <w:r w:rsidRPr="00B1622C">
        <w:rPr>
          <w:rFonts w:ascii="Times New Roman" w:hAnsi="Times New Roman"/>
          <w:sz w:val="24"/>
          <w:szCs w:val="24"/>
          <w:lang w:val="lv-LV"/>
        </w:rPr>
        <w:t>” un Nr. 36 “Zivju un jūras velšu produkti” šobrīd Latvijā nav pietiekama BL, NPKS vai LPIA sertificētu ražotāju loka, lai sertifikācijas prasību varētu piemērot samērīgi un bez konkurences ierobežošanas riska. Konkrēti:</w:t>
      </w:r>
    </w:p>
    <w:p w:rsidR="005C1603" w:rsidRPr="00B1622C" w:rsidP="00990BD3">
      <w:pPr>
        <w:pStyle w:val="ListParagraph"/>
        <w:numPr>
          <w:ilvl w:val="0"/>
          <w:numId w:val="1"/>
        </w:numPr>
        <w:spacing w:after="120"/>
        <w:jc w:val="both"/>
        <w:rPr>
          <w:lang w:val="lv-LV"/>
        </w:rPr>
      </w:pPr>
      <w:r w:rsidRPr="00B1622C">
        <w:rPr>
          <w:lang w:val="lv-LV"/>
        </w:rPr>
        <w:t>publiski pieejamajā NPKS sarakstā nav identificējami ražotāji, kas piedāvātu zivis, zivju vai jūras velšu produktus;</w:t>
      </w:r>
    </w:p>
    <w:p w:rsidR="005C1603" w:rsidRPr="00B1622C" w:rsidP="00990BD3">
      <w:pPr>
        <w:pStyle w:val="ListParagraph"/>
        <w:numPr>
          <w:ilvl w:val="0"/>
          <w:numId w:val="1"/>
        </w:numPr>
        <w:spacing w:after="120"/>
        <w:jc w:val="both"/>
        <w:rPr>
          <w:lang w:val="lv-LV"/>
        </w:rPr>
      </w:pPr>
      <w:r w:rsidRPr="00B1622C">
        <w:rPr>
          <w:lang w:val="lv-LV"/>
        </w:rPr>
        <w:t>LPIA sertifikāti aptver tikai augu valsts produkciju, tādēļ šī shēma zivju un jūras velšu produktiem nav piemērojama vispār;</w:t>
      </w:r>
    </w:p>
    <w:p w:rsidR="005C1603" w:rsidRPr="00B1622C" w:rsidP="00990BD3">
      <w:pPr>
        <w:pStyle w:val="ListParagraph"/>
        <w:numPr>
          <w:ilvl w:val="0"/>
          <w:numId w:val="1"/>
        </w:numPr>
        <w:spacing w:after="120"/>
        <w:ind w:left="714" w:hanging="357"/>
        <w:jc w:val="both"/>
        <w:rPr>
          <w:lang w:val="lv-LV"/>
        </w:rPr>
      </w:pPr>
      <w:r w:rsidRPr="00B1622C">
        <w:rPr>
          <w:lang w:val="lv-LV"/>
        </w:rPr>
        <w:t xml:space="preserve">BL publiskajos reģistros Latvijā identificējams viens ražotājs – SIA “Lat </w:t>
      </w:r>
      <w:r w:rsidRPr="00B1622C">
        <w:rPr>
          <w:lang w:val="lv-LV"/>
        </w:rPr>
        <w:t>Eko</w:t>
      </w:r>
      <w:r w:rsidRPr="00B1622C">
        <w:rPr>
          <w:lang w:val="lv-LV"/>
        </w:rPr>
        <w:t xml:space="preserve"> </w:t>
      </w:r>
      <w:r w:rsidRPr="00B1622C">
        <w:rPr>
          <w:lang w:val="lv-LV"/>
        </w:rPr>
        <w:t>Food</w:t>
      </w:r>
      <w:r w:rsidRPr="00B1622C">
        <w:rPr>
          <w:lang w:val="lv-LV"/>
        </w:rPr>
        <w:t>”, vienotais reģistrācijas Nr. 40103318662, savukārt pārējie uzņēmumi, kas piedāvā šādu produkciju, ir izplatītāji, nevis ražotāji.</w:t>
      </w:r>
    </w:p>
    <w:p w:rsidR="005C1603" w:rsidRPr="00B1622C" w:rsidP="00B1622C">
      <w:pPr>
        <w:spacing w:after="120" w:line="240" w:lineRule="auto"/>
        <w:ind w:firstLine="714"/>
        <w:jc w:val="both"/>
        <w:rPr>
          <w:rFonts w:ascii="Times New Roman" w:hAnsi="Times New Roman"/>
          <w:sz w:val="24"/>
          <w:szCs w:val="24"/>
          <w:lang w:val="lv-LV"/>
        </w:rPr>
      </w:pPr>
      <w:r w:rsidRPr="00B1622C">
        <w:rPr>
          <w:rFonts w:ascii="Times New Roman" w:hAnsi="Times New Roman"/>
          <w:sz w:val="24"/>
          <w:szCs w:val="24"/>
          <w:lang w:val="lv-LV"/>
        </w:rPr>
        <w:t>Papildus jānorāda, ka Iepirkuma nolikums nenorāda, ka zivju produktu grupai būtu noteikts obligāts kvalitātes sertifikācijas minimums. Proti, Iepirkuma nolikuma 1. pielikuma “Darba uzdevums –  tehniskais piedāvājums” 6.10. punkts noteic obligātu 45% NPKS minimumu četrām produktu grupām: piena produkti un olas, maize un miltu izstrādājumi, gaļas produkti un dārzeņi. Tāpat tehniskā piedāvājuma 6.8. punkts noteic 50% BL minimumu pienam un kefīram, bet 6.9. punkts – 20% BL minimumu graudaugu produktiem. Taču nevienā no šiem punktiem zivju produkti nav minēti. Līdz ar to secināms, ka Iepirkuma nolikums neatzīst zivju produktu sertifikāciju par būtisku kvalitātes prasību, kas šo pozīciju iekļaušanu produktu sarakstā ar BL/NPKS/LPIA nosacījumu padara par nepamatotu.</w:t>
      </w:r>
    </w:p>
    <w:p w:rsidR="005C1603" w:rsidRPr="00B1622C" w:rsidP="00B1622C">
      <w:pPr>
        <w:spacing w:after="120" w:line="240" w:lineRule="auto"/>
        <w:ind w:firstLine="714"/>
        <w:jc w:val="both"/>
        <w:rPr>
          <w:rFonts w:ascii="Times New Roman" w:hAnsi="Times New Roman"/>
          <w:sz w:val="24"/>
          <w:szCs w:val="24"/>
          <w:lang w:val="lv-LV"/>
        </w:rPr>
      </w:pPr>
      <w:r w:rsidRPr="00B1622C">
        <w:rPr>
          <w:rFonts w:ascii="Times New Roman" w:hAnsi="Times New Roman"/>
          <w:sz w:val="24"/>
          <w:szCs w:val="24"/>
          <w:lang w:val="lv-LV"/>
        </w:rPr>
        <w:t xml:space="preserve">Būtiski atzīmēt, ka pēc SIA “MARNIKO” rīcībā esošās informācijas, lai veicinātu konkurenci ēdināšanas iepirkumos, </w:t>
      </w:r>
      <w:r w:rsidRPr="00B1622C">
        <w:rPr>
          <w:rFonts w:ascii="Times New Roman" w:hAnsi="Times New Roman"/>
          <w:sz w:val="24"/>
          <w:szCs w:val="24"/>
          <w:lang w:val="lv-LV"/>
        </w:rPr>
        <w:t>citastarpā</w:t>
      </w:r>
      <w:r w:rsidRPr="00B1622C">
        <w:rPr>
          <w:rFonts w:ascii="Times New Roman" w:hAnsi="Times New Roman"/>
          <w:sz w:val="24"/>
          <w:szCs w:val="24"/>
          <w:lang w:val="lv-LV"/>
        </w:rPr>
        <w:t xml:space="preserve"> Konkurences Padome 2026. gada februārī </w:t>
      </w:r>
      <w:r w:rsidRPr="00B1622C">
        <w:rPr>
          <w:rFonts w:ascii="Times New Roman" w:hAnsi="Times New Roman"/>
          <w:sz w:val="24"/>
          <w:szCs w:val="24"/>
          <w:lang w:val="lv-LV"/>
        </w:rPr>
        <w:t>nosūtījusi pašvaldībām vēstuli “Par ēdināšanas iepirkumiem” (</w:t>
      </w:r>
      <w:r w:rsidRPr="00B1622C">
        <w:rPr>
          <w:rFonts w:ascii="Times New Roman" w:hAnsi="Times New Roman"/>
          <w:sz w:val="24"/>
          <w:szCs w:val="24"/>
          <w:u w:val="single"/>
          <w:lang w:val="lv-LV"/>
        </w:rPr>
        <w:t>pielikumā</w:t>
      </w:r>
      <w:r w:rsidRPr="00B1622C">
        <w:rPr>
          <w:rFonts w:ascii="Times New Roman" w:hAnsi="Times New Roman"/>
          <w:sz w:val="24"/>
          <w:szCs w:val="24"/>
          <w:lang w:val="lv-LV"/>
        </w:rPr>
        <w:t xml:space="preserve">). Minētajā vēstulē Konkurences Padome norādījusi, ka ēdināšanas iepirkumu prasībām jābūt samērīgām ar iepirkuma priekšmetu un tās nedrīkst nepamatoti ierobežot konkurenci. Galvenajam vērtēšanas kritērijam būtu jābūt </w:t>
      </w:r>
      <w:r w:rsidRPr="00B1622C">
        <w:rPr>
          <w:rFonts w:ascii="Times New Roman" w:hAnsi="Times New Roman"/>
          <w:b/>
          <w:bCs/>
          <w:sz w:val="24"/>
          <w:szCs w:val="24"/>
          <w:lang w:val="lv-LV"/>
        </w:rPr>
        <w:t>kopējai piedāvājuma kvalitātei – produktu daudzveidībai, uzturvērtībai, izcelsmei un ilgtspējai kopumā, nevis atsevišķu produktu grupu specifiskām sertifikācijas niansēm</w:t>
      </w:r>
      <w:r w:rsidRPr="00B1622C">
        <w:rPr>
          <w:rFonts w:ascii="Times New Roman" w:hAnsi="Times New Roman"/>
          <w:sz w:val="24"/>
          <w:szCs w:val="24"/>
          <w:lang w:val="lv-LV"/>
        </w:rPr>
        <w:t xml:space="preserve">, </w:t>
      </w:r>
      <w:r w:rsidRPr="00B1622C">
        <w:rPr>
          <w:rFonts w:ascii="Times New Roman" w:hAnsi="Times New Roman"/>
          <w:b/>
          <w:bCs/>
          <w:sz w:val="24"/>
          <w:szCs w:val="24"/>
          <w:lang w:val="lv-LV"/>
        </w:rPr>
        <w:t>kuras praksē var netikt faktiski nodrošinātas</w:t>
      </w:r>
      <w:r w:rsidRPr="00B1622C">
        <w:rPr>
          <w:rFonts w:ascii="Times New Roman" w:hAnsi="Times New Roman"/>
          <w:sz w:val="24"/>
          <w:szCs w:val="24"/>
          <w:lang w:val="lv-LV"/>
        </w:rPr>
        <w:t xml:space="preserve"> vai to īpatsvars kopējā sortimentā ir neliels. Konkurences Padome aicina ēdināšanas iepirkumos rūpīgi vērtēt iepirkuma prasību samērīgumu, kā arī nolikuma un tehniskās specifikācijas prasības formulēt tā, lai tās atbilstu tirgū pieejamo risinājumu daudzveidībai un iepirkuma iznākums nebūtu atkarīgs no iepirkumā iesniegta sertifikāta specifiskākam produktam. Svarīgi norādīt, ka</w:t>
      </w:r>
      <w:r w:rsidRPr="00B1622C">
        <w:rPr>
          <w:rFonts w:ascii="Times New Roman" w:hAnsi="Times New Roman"/>
          <w:b/>
          <w:bCs/>
          <w:sz w:val="24"/>
          <w:szCs w:val="24"/>
          <w:lang w:val="lv-LV"/>
        </w:rPr>
        <w:t xml:space="preserve"> šādu Konkurences padomes praksi ir atzinis Iepirkumu uzraudzības birojs</w:t>
      </w:r>
      <w:r w:rsidRPr="00B1622C">
        <w:rPr>
          <w:rFonts w:ascii="Times New Roman" w:hAnsi="Times New Roman"/>
          <w:sz w:val="24"/>
          <w:szCs w:val="24"/>
          <w:lang w:val="lv-LV"/>
        </w:rPr>
        <w:t>.</w:t>
      </w:r>
      <w:r w:rsidRPr="00B1622C">
        <w:rPr>
          <w:rFonts w:ascii="Times New Roman" w:hAnsi="Times New Roman"/>
          <w:b/>
          <w:bCs/>
          <w:sz w:val="24"/>
          <w:szCs w:val="24"/>
          <w:lang w:val="lv-LV"/>
        </w:rPr>
        <w:t xml:space="preserve"> </w:t>
      </w:r>
    </w:p>
    <w:p w:rsidR="005C1603" w:rsidRPr="00B1622C" w:rsidP="00B1622C">
      <w:pPr>
        <w:spacing w:after="120" w:line="240" w:lineRule="auto"/>
        <w:ind w:firstLine="714"/>
        <w:jc w:val="both"/>
        <w:rPr>
          <w:rFonts w:ascii="Times New Roman" w:hAnsi="Times New Roman"/>
          <w:sz w:val="24"/>
          <w:szCs w:val="24"/>
          <w:u w:val="single"/>
          <w:lang w:val="lv-LV"/>
        </w:rPr>
      </w:pPr>
      <w:r w:rsidRPr="00B1622C">
        <w:rPr>
          <w:rFonts w:ascii="Times New Roman" w:hAnsi="Times New Roman"/>
          <w:sz w:val="24"/>
          <w:szCs w:val="24"/>
          <w:u w:val="single"/>
          <w:lang w:val="lv-LV"/>
        </w:rPr>
        <w:t>Ņemot vērā iepriekš minēto, lūdzam Pasūtītāju sniegt rakstisku skaidrojumu par šādiem jautājumiem:</w:t>
      </w:r>
    </w:p>
    <w:p w:rsidR="005C1603" w:rsidRPr="00B1622C" w:rsidP="00990BD3">
      <w:pPr>
        <w:pStyle w:val="ListParagraph"/>
        <w:numPr>
          <w:ilvl w:val="0"/>
          <w:numId w:val="2"/>
        </w:numPr>
        <w:spacing w:after="120"/>
        <w:ind w:left="567" w:hanging="425"/>
        <w:jc w:val="both"/>
        <w:rPr>
          <w:lang w:val="lv-LV"/>
        </w:rPr>
      </w:pPr>
      <w:r w:rsidRPr="00B1622C">
        <w:rPr>
          <w:lang w:val="lv-LV"/>
        </w:rPr>
        <w:t xml:space="preserve">Kāda ir pamatotā saikne starp BL, NPKS vai LPIA sertifikācijas prasību izvirzīšanu produktu pozīcijām Nr. 35 un Nr. 36 un Iepirkuma kvalitātes mērķi, ņemot vērā reālo tirgus situāciju? </w:t>
      </w:r>
    </w:p>
    <w:p w:rsidR="005C1603" w:rsidRPr="00B1622C" w:rsidP="00990BD3">
      <w:pPr>
        <w:pStyle w:val="ListParagraph"/>
        <w:numPr>
          <w:ilvl w:val="0"/>
          <w:numId w:val="2"/>
        </w:numPr>
        <w:spacing w:after="120"/>
        <w:ind w:left="567" w:hanging="425"/>
        <w:jc w:val="both"/>
        <w:rPr>
          <w:lang w:val="lv-LV"/>
        </w:rPr>
      </w:pPr>
      <w:r w:rsidRPr="00B1622C">
        <w:rPr>
          <w:lang w:val="lv-LV"/>
        </w:rPr>
        <w:t xml:space="preserve">Vai komisija ir izvērtējusi risku, ka esošās prasības var radīt nepamatotu strukturālu priekšrocību konkrētam tirgus dalībniekam, kuram ir ekskluzīvas piegādes attiecības ar vienīgo identificējamo BL ražotāju attiecīgajām produktu pozīcijām? </w:t>
      </w:r>
    </w:p>
    <w:p w:rsidR="005C1603" w:rsidRPr="00B1622C" w:rsidP="00B1622C">
      <w:pPr>
        <w:spacing w:after="120" w:line="240" w:lineRule="auto"/>
        <w:ind w:firstLine="567"/>
        <w:jc w:val="both"/>
        <w:rPr>
          <w:rFonts w:ascii="Times New Roman" w:hAnsi="Times New Roman"/>
          <w:sz w:val="24"/>
          <w:szCs w:val="24"/>
          <w:lang w:val="lv-LV"/>
        </w:rPr>
      </w:pPr>
      <w:r w:rsidRPr="00B1622C">
        <w:rPr>
          <w:rFonts w:ascii="Times New Roman" w:hAnsi="Times New Roman"/>
          <w:sz w:val="24"/>
          <w:szCs w:val="24"/>
          <w:lang w:val="lv-LV"/>
        </w:rPr>
        <w:t>Gadījumā, ja Iepirkuma komisija nevar sniegt pietiekamu pamatojumu minēto prasību saglabāšanai Iepirkuma nolikumā, SIA “MARNIKO” lūdz Pasūtītāju:</w:t>
      </w:r>
    </w:p>
    <w:p w:rsidR="005C1603" w:rsidRPr="00B1622C" w:rsidP="00990BD3">
      <w:pPr>
        <w:pStyle w:val="ListParagraph"/>
        <w:numPr>
          <w:ilvl w:val="0"/>
          <w:numId w:val="1"/>
        </w:numPr>
        <w:spacing w:after="120"/>
        <w:ind w:left="426" w:hanging="284"/>
        <w:jc w:val="both"/>
        <w:rPr>
          <w:lang w:val="lv-LV"/>
        </w:rPr>
      </w:pPr>
      <w:r w:rsidRPr="00B1622C">
        <w:rPr>
          <w:lang w:val="lv-LV"/>
        </w:rPr>
        <w:t xml:space="preserve">svītrot pozīcijas Nr. 35 “Zivis </w:t>
      </w:r>
      <w:r w:rsidRPr="00B1622C">
        <w:rPr>
          <w:i/>
          <w:iCs/>
          <w:lang w:val="lv-LV"/>
        </w:rPr>
        <w:t>(jebkāds veids)</w:t>
      </w:r>
      <w:r w:rsidRPr="00B1622C">
        <w:rPr>
          <w:lang w:val="lv-LV"/>
        </w:rPr>
        <w:t>” un Nr. 36 “Zivju un jūras velšu produkti” no Iepirkuma nolikuma 1.2. pielikuma “Produktu saraksts”; vai</w:t>
      </w:r>
    </w:p>
    <w:p w:rsidR="005C1603" w:rsidRPr="00B1622C" w:rsidP="00990BD3">
      <w:pPr>
        <w:pStyle w:val="ListParagraph"/>
        <w:numPr>
          <w:ilvl w:val="0"/>
          <w:numId w:val="1"/>
        </w:numPr>
        <w:spacing w:after="120"/>
        <w:ind w:left="426" w:hanging="284"/>
        <w:jc w:val="both"/>
        <w:rPr>
          <w:lang w:val="lv-LV"/>
        </w:rPr>
      </w:pPr>
      <w:r w:rsidRPr="00B1622C">
        <w:rPr>
          <w:lang w:val="lv-LV"/>
        </w:rPr>
        <w:t>aizstāt BL/NPKS/LPIA sertifikācijas prasību minētajām pozīcijām ar funkcionālām kvalitātes prasībām, kas būtu samērīgas ar reālo tirgus situāciju un neierobežotu konkurenci.”</w:t>
      </w:r>
    </w:p>
    <w:p w:rsidR="005C1603" w:rsidRPr="00B1622C" w:rsidP="005C1603">
      <w:pPr>
        <w:spacing w:after="0" w:line="240" w:lineRule="auto"/>
        <w:jc w:val="both"/>
        <w:rPr>
          <w:rFonts w:ascii="Times New Roman" w:hAnsi="Times New Roman"/>
          <w:iCs/>
          <w:sz w:val="24"/>
          <w:szCs w:val="24"/>
          <w:lang w:val="lv-LV"/>
        </w:rPr>
      </w:pP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Atbilde Nr. 1:</w:t>
      </w:r>
    </w:p>
    <w:p w:rsidR="005C1603" w:rsidRPr="00B1622C" w:rsidP="005C1603">
      <w:pPr>
        <w:spacing w:after="0" w:line="240" w:lineRule="auto"/>
        <w:jc w:val="both"/>
        <w:rPr>
          <w:rFonts w:ascii="Times New Roman" w:hAnsi="Times New Roman"/>
          <w:iCs/>
          <w:sz w:val="24"/>
          <w:szCs w:val="24"/>
          <w:lang w:val="lv-LV"/>
        </w:rPr>
      </w:pPr>
    </w:p>
    <w:p w:rsidR="005C1603" w:rsidRPr="00B1622C" w:rsidP="00B1622C">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Iepirkuma komisija paskaidro, ka iepirkums tiek veikts Publisko iepirkumu likuma 10. panta kārtībā, ievērojot Publisko iepirkumu likuma 2. pantā noteiktos mērķus, tostarp iepirkuma atklātumu, piegādātāju brīvu konkurenci, vienlīdzīgu un taisnīgu attieksmi pret tiem, kā arī pasūtītāja līdzekļu efektīvu izmantošanu, maksimāli samazinot pasūtītāja risku.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sagatavojot iepirkuma dokumentāciju, ir ņēmusi vērā iepirkuma priekšmeta specifiku, proti, ilgstoša ēdināšanas pakalpojuma nodrošināšanu valsts sociālās aprūpes centra klientiem vairākās filiālēs, kā arī piegādātāju apspriedēs saņemtos komentārus un priekšlikumus.</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 xml:space="preserve">Komisija ir izvērtējusi arī vēstulei pievienoto Konkurences padomes 2026. gada 13. februāra vēstuli Nr. 1.7-8/229 un tai pievienoto Konkurences padomes 2026. gada 12. februāra sēdes protokola izrakstu. No minētās Konkurences padomes vēstules izriet, ka Konkurences padome, izvērtējot </w:t>
      </w:r>
      <w:r w:rsidRPr="00B1622C" w:rsidR="002C44CB">
        <w:rPr>
          <w:rFonts w:ascii="Times New Roman" w:hAnsi="Times New Roman"/>
          <w:iCs/>
          <w:sz w:val="24"/>
          <w:szCs w:val="24"/>
          <w:lang w:val="lv-LV"/>
        </w:rPr>
        <w:t xml:space="preserve">Konkurences padomei adresētajā </w:t>
      </w:r>
      <w:r w:rsidRPr="00B1622C">
        <w:rPr>
          <w:rFonts w:ascii="Times New Roman" w:hAnsi="Times New Roman"/>
          <w:iCs/>
          <w:sz w:val="24"/>
          <w:szCs w:val="24"/>
          <w:lang w:val="lv-LV"/>
        </w:rPr>
        <w:t xml:space="preserve">iesniegumā norādītos apstākļus par pašvaldību un to padotībā esošo izglītības iestāžu ēdināšanas pakalpojumu iepirkumiem, nav konstatējusi pietiekamu pamatu </w:t>
      </w:r>
      <w:r w:rsidRPr="00B1622C">
        <w:rPr>
          <w:rFonts w:ascii="Times New Roman" w:hAnsi="Times New Roman"/>
          <w:iCs/>
          <w:sz w:val="24"/>
          <w:szCs w:val="24"/>
          <w:lang w:val="lv-LV"/>
        </w:rPr>
        <w:t>pirmšķietami</w:t>
      </w:r>
      <w:r w:rsidRPr="00B1622C">
        <w:rPr>
          <w:rFonts w:ascii="Times New Roman" w:hAnsi="Times New Roman"/>
          <w:iCs/>
          <w:sz w:val="24"/>
          <w:szCs w:val="24"/>
          <w:lang w:val="lv-LV"/>
        </w:rPr>
        <w:t xml:space="preserve"> saskatīt Konkurences likuma 11. panta pirmajā daļā noteiktā aizliegtas vienošanās pārkāpuma sastāva pazīmes un nav ierosinājusi pārkāpuma izpētes lietu.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Vienlaikus komisija ņem vērā Konkurences padomes norādīto, ka apstāklis, ka atsevišķas sertificētas zemnieku saimniecības nespēj vai nevēlas sadarboties ar visiem ēdināšanas sektora tirgus dalībniekiem, pats par sevi nav pietiekams pamats secināt aizliegtas vienošanās esamību starp tirgus dalībniekiem. Līdz ar to vēstulē norādītais iespējamais atsevišķu ražotāju vai piegādātāju sadarbības ierobežojums pats par sevi nepierāda, ka konkrētā iepirkuma nolikuma prasības būtu nesamērīgas, diskriminējošas vai vērstas uz konkrēta pretendenta priekšrocību radīšanu.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vienlaikus ņem vērā arī Konkurences padomes vispārīgo aicinājumu pasūtītājiem ēdināšanas pakalpojumu iepirkumos rūpīgi vērtēt prasību samērīgumu, tirgū pieejamo risinājumu daudzveidību un nepieļaut situāciju, kurā iepirkuma iznākums būtu atkarīgs no specifiska sertifikāta atsevišķam produktam, kura faktiskā izmantošana līguma izpildē nav nodrošināma vai pārbaudāma.</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norāda, ka tieši šo apsvērumu dēļ iepirkuma Nr. VSACZ 2026/5 nolikuma prasības ir veidotas elastīgi. Nolikums neparedz pienākumu pretendentam aizpildīt visas “Pamatproduktu saraksta” pozīcijas, nav piesaistīts vienam konkrētam ražotājam, vienam konkrētam piegādātājam vai vienam konkrētam sertifikācijas veidam, kā arī paredz iespēju pretendentam dzēst tās pozīcijas, kurās tas nepiedāvā BL, NPKS vai LPIA prasībām atbilstošus produktus.</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Ja pretendents objektīvu tirgus apstākļu vai savas piegādes ķēdes dēļ konkrētās pozīcijās nepiedāvā BL, NPKS vai LPIA prasībām atbilstošus produktus, tam nav pienākuma šīs pozīcijas aizpildīt ar neatbilstošiem produktiem. Attiecīgi pozīciju Nr. 35 un Nr. 36 saglabāšana 1.2. pielikumā pati par sevi nerada pienākumu pretendentam obligāti šajās pozīcijās piedāvāt attiecīgus produktus.</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Nolikumā noteiktais minimālais “Pamatproduktu saraksta” pozīciju skaits, kurās pretendentam jāpiedāvā BL, NPKS vai LPIA prasībām atbilstoši produkti, ir 30 pozīcijas. Savukārt papildu punkti KT1 kritērijā tiek piešķirti par pozīciju skaitu, kas pārsniedz šo minimālo slieksni. Tādējādi iepirkuma rezultāts nav atkarīgs no vienas konkrētas produktu pozīcijas, viena konkrēta ražotāja, viena konkrēta piegādātāja vai viena konkrēta sertifikācijas veida.</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KT1 kritērijā tiek vērtēts nevis atsevišķs specifisks produkts vai konkrētu ražotāju skaits, bet kopējais nolikumam atbilstošo produktu pozīciju skaits virs minimālā sliekšņa. KT1 kritērijā tiek ieskaitīti tikai tādi produkti, kurus pretendents izmantos ēdināšanas pakalpojuma nodrošināšanai, kuri ir norādīti Produktu sarakstā, minēti ēdienkartēs un tehnoloģiskajās kartēs un atbilst nolikumā noteiktajām BL, NPKS vai LPIA prasībām. Produktiem netiek piemērots aizstāšanas princips, proti, Produktu sarakstā norādītajam produktam jāsakrīt ar ēdienkartē un tehnoloģiskajā kartē norādīto produktu.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neapstrīd, ka atsevišķās produktu grupās atbilstošu produktu pieejamība tirgū var būt ierobežota. Tieši šādu situāciju risināšanai nolikumā ir paredzēts elastīgs mehānisms — pretendents dzēš tās pozīcijas, kurās tas nepiedāvā BL, NPKS vai LPIA prasībām atbilstošus produktus. Šāda pieeja ir samērīga, jo tā vienlaikus ļauj pasūtītājam veicināt kvalitatīvu un ilgtspējīgu produktu izmantošanu ēdināšanas pakalpojuma sniegšanā, bet neuzliek pretendentiem pienākumu piedāvāt produktus konkrētās pozīcijās, ja tie attiecīgajam pretendentam nav objektīvi pieejami.</w:t>
      </w:r>
    </w:p>
    <w:p w:rsidR="001D3B0A" w:rsidRPr="00B1622C" w:rsidP="00B1622C">
      <w:pPr>
        <w:pStyle w:val="isselectedend"/>
        <w:spacing w:before="0" w:beforeAutospacing="0" w:after="0" w:afterAutospacing="0"/>
        <w:ind w:firstLine="720"/>
        <w:jc w:val="both"/>
      </w:pPr>
      <w:r w:rsidRPr="00B1622C">
        <w:t>Komisija papildus norāda, ka analoģiskas prasības attiecībā uz BL, NPKS un LPIA prasībām atbilstošu produktu izmantošanu tika piemērotas arī iepriekš organizētajā iepirkumā “Ēdināšanas pakalpojumu nodrošināšana Valsts sociālās aprūpes centra “Zemgale” filiāles “Ropaži” vajadzībām”, identifikācijas Nr. VSACZ 2023/24.</w:t>
      </w:r>
    </w:p>
    <w:p w:rsidR="001D3B0A" w:rsidRPr="00B1622C" w:rsidP="00B1622C">
      <w:pPr>
        <w:pStyle w:val="isselectedend"/>
        <w:spacing w:before="0" w:beforeAutospacing="0" w:after="0" w:afterAutospacing="0"/>
        <w:ind w:firstLine="720"/>
        <w:jc w:val="both"/>
      </w:pPr>
      <w:r w:rsidRPr="00B1622C">
        <w:t xml:space="preserve">Minētajā iepirkumā tika nodrošināta konkurence, saņemot vairākus piedāvājumus no tirgus dalībniekiem. Par iepirkuma dokumentācijā noteiktajām prasībām netika iesniegtas sūdzības Iepirkumu uzraudzības birojā, un iepirkuma rezultātā noslēgtais līgums tiek sekmīgi pildīts. </w:t>
      </w:r>
    </w:p>
    <w:p w:rsidR="001D3B0A" w:rsidRPr="00B1622C" w:rsidP="00B1622C">
      <w:pPr>
        <w:pStyle w:val="isselectedend"/>
        <w:spacing w:before="0" w:beforeAutospacing="0" w:after="0" w:afterAutospacing="0"/>
        <w:ind w:firstLine="720"/>
        <w:jc w:val="both"/>
      </w:pPr>
      <w:r w:rsidRPr="00B1622C">
        <w:t>Minētie apstākļi apliecina, ka prasības par BL, NPKS vai LPIA prasībām atbilstošu produktu piedāvāšanu pašas par sevi nav radījušas šķēršļus konkurencei vai liegušas tirgus dalībniekiem iesniegt piedāvājumus. Tāpat nav konstatēti apstākļi, kas liecinātu, ka šādas prasības būtu izveidotas konkrēta piegādātāja interesēs vai radītu nepamatotas priekšrocības atsevišķiem tirgus dalībniekiem.</w:t>
      </w:r>
    </w:p>
    <w:p w:rsidR="001D3B0A" w:rsidRPr="00B1622C" w:rsidP="00B1622C">
      <w:pPr>
        <w:pStyle w:val="NormalWeb"/>
        <w:spacing w:before="0" w:beforeAutospacing="0" w:after="0" w:afterAutospacing="0"/>
        <w:ind w:firstLine="720"/>
        <w:jc w:val="both"/>
      </w:pPr>
      <w:r w:rsidRPr="00B1622C">
        <w:t>Līdz ar to komisijas rīcībā esošā faktiskā pieredze neapstiprina vēstulē pausto pieņēmumu, ka produktu pozīciju Nr. 35 “zivis (jebkāds veids)” un Nr. 36 “Zivju un jūras velšu produkti” saglabāšana produktu sarakstā vai iespēja šajās pozīcijās norādīt BL, NPKS vai LPIA prasībām atbilstošus produktus pati par sevi radītu nesamērīgu konkurences ierobežojumu.</w:t>
      </w:r>
    </w:p>
    <w:p w:rsidR="001D3B0A" w:rsidRPr="00B1622C" w:rsidP="00B1622C">
      <w:pPr>
        <w:spacing w:after="0" w:line="240" w:lineRule="auto"/>
        <w:jc w:val="both"/>
        <w:rPr>
          <w:rFonts w:ascii="Times New Roman" w:hAnsi="Times New Roman"/>
          <w:iCs/>
          <w:sz w:val="24"/>
          <w:szCs w:val="24"/>
          <w:lang w:val="lv-LV"/>
        </w:rPr>
      </w:pP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papildus ņem vērā IUB praksē paustās atziņas ēdināšanas pakalpojumu iepirkumu lietās par nepieciešamību nodrošināt, lai piedāvājumā norādītie BL, NPKS vai LPIA prasībām atbilstošie produkti nebūtu norādīti tikai formāli, bet būtu pārbaudāmi pēc piedāvājumā iesniegtajiem dokumentiem un publiski pārbaudāmas informācijas. IUB praksē par būtisku atzīta ražotāju vai piegādātāju apliecinājumu, sertifikātu un citu pārbaudāmu dokumentu nozīme, kā arī norādīts, ka šaubu gadījumā komisijai jāpārliecinās par piedāvājumā norādītās informācijas atbilstību nolikuma prasībām.</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norāda, ka šajā iepirkumā minētie riski ir ņemti vērā, jo nolikums paredz pienākumu norādīt konkrēto BL, NPKS vai LPIA prasībām atbilstošo produktu, attiecīgā produkta apliecinošo sertifikātu vai reģistra informāciju, informāciju par produkta izcelsmes, audzēšanas vai ražošanas vietu, ciktāl tā norādāma atbilstoši nolikuma prasībām, kā arī sasaisti ar pretendenta iesniegtajām ēdienkartēm un tehnoloģiskajām kartēm. Tādējādi nolikuma prasības nav balstītas tikai uz formālu ražotāju vai sertifikātu skaitu, bet ir vērstas uz to, lai piedāvājumā norādītie produkti būtu identificējami, pārbaudāmi atbilstoši nolikumā noteiktajai kārtībai un saistīti ar piedāvātā ēdināšanas pakalpojuma saturu.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ņem vērā arī Iepirkumu uzraudzības biroja 2021. gada 7. jūlija lēmumā Nr. 4-1.2/21-144 paustās atziņas, vērtējot VSAC “Zemgale” ēdināšanas pakalpojumu iepirkuma prasības. Minētajā lēmumā tika atzīts, ka pasūtītājam ir tiesības ēdināšanas pakalpojumu iepirkumā noteikt ar iepirkuma priekšmetu saistītus kvalitātes un vides aizsardzības kritērijus, ja tie ir objektīvi pamatoti, samērīgi un nerada nesamērīgus ierobežojumus piegādātājiem. Minētajā lēmumā IUB arī norādīja, ka tas vien, ka konkrētam piegādātājam pasūtītāja noteiktie vērtēšanas kritēriji ir mazāk izdevīgi vai konkrētais piegādātājs tiem neatbilst, pats par sevi nav pamats uzskatīt kritērijus par nepamatotiem, ja prasības attaisno iepirkuma līguma priekšmets.</w:t>
      </w:r>
    </w:p>
    <w:p w:rsidR="005C1603" w:rsidRPr="00B1622C" w:rsidP="00E6605B">
      <w:pPr>
        <w:spacing w:after="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 xml:space="preserve">Ņemot vērā minēto, komisija neuzskata par pamatotu svītrot no 1.2. pielikuma “Produktu saraksts” pozīcijas Nr. 35 “Zivis (jebkāds veids)” un Nr. 36 “Zivju un jūras velšu produkti” vai aizstāt BL, NPKS vai LPIA prasībām atbilstošu produktu norādīšanas iespēju ar citām prasībām. </w:t>
      </w:r>
      <w:r w:rsidRPr="00B1622C" w:rsidR="005636EB">
        <w:rPr>
          <w:rFonts w:ascii="Times New Roman" w:hAnsi="Times New Roman"/>
          <w:iCs/>
          <w:sz w:val="24"/>
          <w:szCs w:val="24"/>
          <w:lang w:val="lv-LV"/>
        </w:rPr>
        <w:t>Komisijas ieskatā m</w:t>
      </w:r>
      <w:r w:rsidRPr="00B1622C">
        <w:rPr>
          <w:rFonts w:ascii="Times New Roman" w:hAnsi="Times New Roman"/>
          <w:iCs/>
          <w:sz w:val="24"/>
          <w:szCs w:val="24"/>
          <w:lang w:val="lv-LV"/>
        </w:rPr>
        <w:t>inēto pozīciju saglabāšana neierobežo konkurenci nesamērīgā veidā, jo tās nav obligāti aizpildāmas un pretendents var nodrošināt nolikumā noteikto minimālo pozīciju skaitu arī ar citām BL, NPKS vai LPIA prasībām atbilstošām produktu pozīcijām.</w:t>
      </w:r>
      <w:r w:rsidRPr="00B1622C" w:rsidR="001D3B0A">
        <w:rPr>
          <w:lang w:val="lv-LV"/>
        </w:rPr>
        <w:t xml:space="preserve"> </w:t>
      </w:r>
      <w:r w:rsidRPr="00B1622C" w:rsidR="001D3B0A">
        <w:rPr>
          <w:rFonts w:ascii="Times New Roman" w:hAnsi="Times New Roman"/>
          <w:sz w:val="24"/>
          <w:szCs w:val="24"/>
          <w:lang w:val="lv-LV"/>
        </w:rPr>
        <w:t>Šādu secinājumu papildus apstiprina arī pasūtītāja iepriekšējā pieredze iepirkumā Nr. VSACZ 2023/24, kurā līdzīgas prasības tika veiksmīgi piemērotas, nodrošinot konkurenci un sekmīgu līguma izpildi.</w:t>
      </w:r>
    </w:p>
    <w:p w:rsidR="005C1603" w:rsidRPr="00B1622C" w:rsidP="005C1603">
      <w:pPr>
        <w:spacing w:after="0" w:line="240" w:lineRule="auto"/>
        <w:jc w:val="both"/>
        <w:rPr>
          <w:rFonts w:ascii="Times New Roman" w:hAnsi="Times New Roman"/>
          <w:iCs/>
          <w:sz w:val="24"/>
          <w:szCs w:val="24"/>
          <w:lang w:val="lv-LV"/>
        </w:rPr>
      </w:pP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Jautājums Nr. 2:</w:t>
      </w:r>
    </w:p>
    <w:p w:rsidR="005C1603" w:rsidRPr="00B1622C" w:rsidP="005C1603">
      <w:pPr>
        <w:spacing w:after="0" w:line="240" w:lineRule="auto"/>
        <w:jc w:val="both"/>
        <w:rPr>
          <w:rFonts w:ascii="Times New Roman" w:hAnsi="Times New Roman"/>
          <w:iCs/>
          <w:sz w:val="24"/>
          <w:szCs w:val="24"/>
          <w:lang w:val="lv-LV"/>
        </w:rPr>
      </w:pPr>
    </w:p>
    <w:p w:rsidR="005C1603" w:rsidRPr="00B1622C" w:rsidP="00E833E1">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w:t>
      </w:r>
      <w:r w:rsidRPr="00B1622C">
        <w:rPr>
          <w:rFonts w:ascii="Times New Roman" w:hAnsi="Times New Roman"/>
          <w:b/>
          <w:iCs/>
          <w:sz w:val="24"/>
          <w:szCs w:val="24"/>
          <w:lang w:val="lv-LV"/>
        </w:rPr>
        <w:t>Apliecinājumu derīguma termiņš</w:t>
      </w:r>
    </w:p>
    <w:p w:rsidR="00AB0E46" w:rsidRPr="00B1622C" w:rsidP="00E6605B">
      <w:pPr>
        <w:spacing w:after="120" w:line="240" w:lineRule="auto"/>
        <w:ind w:firstLine="720"/>
        <w:jc w:val="both"/>
        <w:rPr>
          <w:rFonts w:ascii="Times New Roman" w:hAnsi="Times New Roman"/>
          <w:sz w:val="24"/>
          <w:szCs w:val="24"/>
          <w:lang w:val="lv-LV"/>
        </w:rPr>
      </w:pPr>
      <w:r w:rsidRPr="00B1622C">
        <w:rPr>
          <w:rFonts w:ascii="Times New Roman" w:hAnsi="Times New Roman"/>
          <w:sz w:val="24"/>
          <w:szCs w:val="24"/>
          <w:lang w:val="lv-LV"/>
        </w:rPr>
        <w:t xml:space="preserve">Iepirkuma apspriedes ietvaros sagatavotā Iepirkuma nolikuma projekta 5.1.2.3. un 5.1.2.4. punkti paredzēja, ka pretendentam savā piedāvājumā obligāti jāiekļauj ražotāju un piegādātāju apliecinājumi par sadarbību ar pretendentu, ja tie izdoti ne agrāk kā 36 kalendāros mēnešus pirms iepirkuma piedāvājuma iesniegšanas dienas. </w:t>
      </w:r>
    </w:p>
    <w:p w:rsidR="00AB0E46" w:rsidRPr="00B1622C" w:rsidP="00E6605B">
      <w:pPr>
        <w:spacing w:after="120" w:line="240" w:lineRule="auto"/>
        <w:ind w:firstLine="720"/>
        <w:jc w:val="both"/>
        <w:rPr>
          <w:rFonts w:ascii="Times New Roman" w:hAnsi="Times New Roman"/>
          <w:sz w:val="24"/>
          <w:szCs w:val="24"/>
          <w:lang w:val="lv-LV"/>
        </w:rPr>
      </w:pPr>
      <w:r w:rsidRPr="00B1622C">
        <w:rPr>
          <w:rFonts w:ascii="Times New Roman" w:hAnsi="Times New Roman"/>
          <w:sz w:val="24"/>
          <w:szCs w:val="24"/>
          <w:lang w:val="lv-LV"/>
        </w:rPr>
        <w:t xml:space="preserve">Pēc pieejamās informācijas, ne SIA “MARNIKO”, ne arī citiem potenciālajiem Iepirkuma pretendentiem nebija iebildumu par šādu apliecinājumu  izsniegšanas derīguma termiņu, jo tas ir samērīgs un pieņemams un konkurenci veicinošs. </w:t>
      </w:r>
    </w:p>
    <w:p w:rsidR="00AB0E46" w:rsidRPr="00B1622C" w:rsidP="00E6605B">
      <w:pPr>
        <w:spacing w:after="120" w:line="240" w:lineRule="auto"/>
        <w:ind w:firstLine="720"/>
        <w:jc w:val="both"/>
        <w:rPr>
          <w:rFonts w:ascii="Times New Roman" w:hAnsi="Times New Roman"/>
          <w:sz w:val="24"/>
          <w:szCs w:val="24"/>
          <w:lang w:val="lv-LV"/>
        </w:rPr>
      </w:pPr>
      <w:r w:rsidRPr="00B1622C">
        <w:rPr>
          <w:rFonts w:ascii="Times New Roman" w:hAnsi="Times New Roman"/>
          <w:sz w:val="24"/>
          <w:szCs w:val="24"/>
          <w:lang w:val="lv-LV"/>
        </w:rPr>
        <w:t xml:space="preserve">Tomēr, neskatoties uz minēto, Iepirkuma izsludinātajā nolikumā, šo </w:t>
      </w:r>
      <w:r w:rsidRPr="00B1622C">
        <w:rPr>
          <w:rFonts w:ascii="Times New Roman" w:hAnsi="Times New Roman"/>
          <w:b/>
          <w:bCs/>
          <w:sz w:val="24"/>
          <w:szCs w:val="24"/>
          <w:lang w:val="lv-LV"/>
        </w:rPr>
        <w:t>iesniedzamo apliecinājumu derīguma termiņš ir samazināts trīs reizes</w:t>
      </w:r>
      <w:r w:rsidRPr="00B1622C">
        <w:rPr>
          <w:rFonts w:ascii="Times New Roman" w:hAnsi="Times New Roman"/>
          <w:sz w:val="24"/>
          <w:szCs w:val="24"/>
          <w:lang w:val="lv-LV"/>
        </w:rPr>
        <w:t>. Proti, Iepirkuma nolikuma 5.1.2.3. un 5.1.2.4. punkti paredz, ka iesniedzamie ražotāju un piegādātāju apliecinājumi par sadarbību ar pretendentu nedrīkst būt izdoti vēlāk par 12 mēnešiem, tādējādi būtiski samazinot pretendenta iespējamos iesniedzamos apliecinājumus. Šādi grozījumi būtiski ietekmē konkurenci, jo šāda prasība būtiski pieprasa iesaisti no piegādātājiem un papildus jaunāku sertifikātu izsniegšanu, neskatoties uz to, ka piegādātāji jau iepriekš pēdējo 36 mēnešu laikā ir izsnieguši apliecinājumu.</w:t>
      </w:r>
    </w:p>
    <w:p w:rsidR="00AB0E46" w:rsidRPr="00B1622C" w:rsidP="00E6605B">
      <w:pPr>
        <w:spacing w:after="120" w:line="240" w:lineRule="auto"/>
        <w:ind w:firstLine="720"/>
        <w:jc w:val="both"/>
        <w:rPr>
          <w:rFonts w:ascii="Times New Roman" w:hAnsi="Times New Roman"/>
          <w:sz w:val="24"/>
          <w:szCs w:val="24"/>
          <w:u w:val="single"/>
          <w:lang w:val="lv-LV"/>
        </w:rPr>
      </w:pPr>
      <w:r w:rsidRPr="00B1622C">
        <w:rPr>
          <w:rFonts w:ascii="Times New Roman" w:hAnsi="Times New Roman"/>
          <w:sz w:val="24"/>
          <w:szCs w:val="24"/>
          <w:u w:val="single"/>
          <w:lang w:val="lv-LV"/>
        </w:rPr>
        <w:t>Ņemot vērā iepriekš minēto, lūdzam Pasūtītāju sniegt rakstisku skaidrojumu:</w:t>
      </w:r>
    </w:p>
    <w:p w:rsidR="00AB0E46" w:rsidRPr="00B1622C" w:rsidP="00E833E1">
      <w:pPr>
        <w:pStyle w:val="ListParagraph"/>
        <w:numPr>
          <w:ilvl w:val="0"/>
          <w:numId w:val="4"/>
        </w:numPr>
        <w:spacing w:after="120"/>
        <w:jc w:val="both"/>
        <w:rPr>
          <w:lang w:val="lv-LV"/>
        </w:rPr>
      </w:pPr>
      <w:r w:rsidRPr="00B1622C">
        <w:rPr>
          <w:lang w:val="lv-LV"/>
        </w:rPr>
        <w:t xml:space="preserve">Kāpēc iesniedzamo ražotāju un piegādātāju apliecinājumu derīguma termiņš samazināts trīs reizes – no sākotnēji paredzētajiem 36 mēnešiem uz 12 mēnešiem? </w:t>
      </w:r>
    </w:p>
    <w:p w:rsidR="00AB0E46" w:rsidRPr="00B1622C" w:rsidP="00E6605B">
      <w:pPr>
        <w:spacing w:after="120" w:line="240" w:lineRule="auto"/>
        <w:ind w:firstLine="568"/>
        <w:jc w:val="both"/>
        <w:rPr>
          <w:rFonts w:ascii="Times New Roman" w:hAnsi="Times New Roman"/>
          <w:sz w:val="24"/>
          <w:szCs w:val="24"/>
          <w:lang w:val="lv-LV"/>
        </w:rPr>
      </w:pPr>
      <w:r w:rsidRPr="00B1622C">
        <w:rPr>
          <w:rFonts w:ascii="Times New Roman" w:hAnsi="Times New Roman"/>
          <w:sz w:val="24"/>
          <w:szCs w:val="24"/>
          <w:lang w:val="lv-LV"/>
        </w:rPr>
        <w:t>Gadījumā, ja Iepirkuma komisija nevar sniegt pietiekamu pamatojumu minētās prasības izmaiņām, SIA “MARNIKO” lūdz Pasūtītāju izvērtēt šādu risinājumu:</w:t>
      </w:r>
    </w:p>
    <w:p w:rsidR="00AB0E46" w:rsidRPr="00B1622C" w:rsidP="00E833E1">
      <w:pPr>
        <w:widowControl/>
        <w:numPr>
          <w:ilvl w:val="0"/>
          <w:numId w:val="3"/>
        </w:numPr>
        <w:tabs>
          <w:tab w:val="clear" w:pos="720"/>
        </w:tabs>
        <w:spacing w:after="120" w:line="240" w:lineRule="auto"/>
        <w:ind w:left="568" w:hanging="284"/>
        <w:jc w:val="both"/>
        <w:rPr>
          <w:rFonts w:ascii="Times New Roman" w:hAnsi="Times New Roman"/>
          <w:sz w:val="24"/>
          <w:szCs w:val="24"/>
          <w:lang w:val="lv-LV"/>
        </w:rPr>
      </w:pPr>
      <w:r w:rsidRPr="00B1622C">
        <w:rPr>
          <w:rFonts w:ascii="Times New Roman" w:hAnsi="Times New Roman"/>
          <w:sz w:val="24"/>
          <w:szCs w:val="24"/>
          <w:lang w:val="lv-LV"/>
        </w:rPr>
        <w:t>atjaunot iesniedzamo ražotāju un piegādātāju apliecinājumu derīguma termiņu uz 36 mēnešiem (Iepirkuma nolikuma 5.1.2.3. un 5.1.2.4. punkts).</w:t>
      </w:r>
      <w:r w:rsidRPr="00B1622C" w:rsidR="00990BD3">
        <w:rPr>
          <w:rFonts w:ascii="Times New Roman" w:hAnsi="Times New Roman"/>
          <w:sz w:val="24"/>
          <w:szCs w:val="24"/>
          <w:lang w:val="lv-LV"/>
        </w:rPr>
        <w:t>”</w:t>
      </w:r>
      <w:r w:rsidRPr="00B1622C">
        <w:rPr>
          <w:rFonts w:ascii="Times New Roman" w:hAnsi="Times New Roman"/>
          <w:sz w:val="24"/>
          <w:szCs w:val="24"/>
          <w:lang w:val="lv-LV"/>
        </w:rPr>
        <w:t xml:space="preserve"> </w:t>
      </w:r>
    </w:p>
    <w:p w:rsidR="005C1603" w:rsidRPr="00B1622C" w:rsidP="005C1603">
      <w:pPr>
        <w:spacing w:after="0" w:line="240" w:lineRule="auto"/>
        <w:jc w:val="both"/>
        <w:rPr>
          <w:rFonts w:ascii="Times New Roman" w:hAnsi="Times New Roman"/>
          <w:iCs/>
          <w:sz w:val="24"/>
          <w:szCs w:val="24"/>
          <w:lang w:val="lv-LV"/>
        </w:rPr>
      </w:pP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Atbilde Nr. 2:</w:t>
      </w:r>
    </w:p>
    <w:p w:rsidR="005C1603" w:rsidRPr="00B1622C" w:rsidP="005C1603">
      <w:pPr>
        <w:spacing w:after="0" w:line="240" w:lineRule="auto"/>
        <w:jc w:val="both"/>
        <w:rPr>
          <w:rFonts w:ascii="Times New Roman" w:hAnsi="Times New Roman"/>
          <w:iCs/>
          <w:sz w:val="24"/>
          <w:szCs w:val="24"/>
          <w:lang w:val="lv-LV"/>
        </w:rPr>
      </w:pP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paskaidro, ka prasība par ražotāju un piegādātāju apliecinājumiem, kas izdoti ne agrāk kā 12 mēnešus pirms piedāvājum</w:t>
      </w:r>
      <w:r w:rsidRPr="00B1622C" w:rsidR="00CA14DF">
        <w:rPr>
          <w:rFonts w:ascii="Times New Roman" w:hAnsi="Times New Roman"/>
          <w:iCs/>
          <w:sz w:val="24"/>
          <w:szCs w:val="24"/>
          <w:lang w:val="lv-LV"/>
        </w:rPr>
        <w:t>u</w:t>
      </w:r>
      <w:r w:rsidRPr="00B1622C">
        <w:rPr>
          <w:rFonts w:ascii="Times New Roman" w:hAnsi="Times New Roman"/>
          <w:iCs/>
          <w:sz w:val="24"/>
          <w:szCs w:val="24"/>
          <w:lang w:val="lv-LV"/>
        </w:rPr>
        <w:t xml:space="preserve"> iesniegšanas </w:t>
      </w:r>
      <w:r w:rsidRPr="00B1622C" w:rsidR="00A734B7">
        <w:rPr>
          <w:rFonts w:ascii="Times New Roman" w:hAnsi="Times New Roman"/>
          <w:iCs/>
          <w:sz w:val="24"/>
          <w:szCs w:val="24"/>
          <w:lang w:val="lv-LV"/>
        </w:rPr>
        <w:t>termiņa</w:t>
      </w:r>
      <w:r w:rsidRPr="00B1622C">
        <w:rPr>
          <w:rFonts w:ascii="Times New Roman" w:hAnsi="Times New Roman"/>
          <w:iCs/>
          <w:sz w:val="24"/>
          <w:szCs w:val="24"/>
          <w:lang w:val="lv-LV"/>
        </w:rPr>
        <w:t>, ir noteikta, lai nodrošinātu, ka pretendenta piedāvājumā norādītā piegādes ķēde ir aktuāla, reāli pastāvoša un pārbaudāma piedāvājuma iesniegšanas brīdī.</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Nolikums paredz, ja produktu pretendentam piegādā pats ražotājs vai audzētājs, iesniedzams ražotāja vai audzētāja apliecinājums par sadarbību ar pretendentu. Savukārt, ja produktu pretendentam nepiegādā pats ražotājs vai audzētājs, bet piegādātājs, jāiesniedz gan ražotāja vai audzētāja apliecinājums par sadarbību ar piegādātāju, gan piegādātāja apliecinājums par sadarbību ar pretendentu, tādējādi apliecinot izsekojamu piegādes ķēdi: ražotājs/audzētājs → piegādātājs → pretendents.</w:t>
      </w:r>
    </w:p>
    <w:p w:rsidR="001D3B0A" w:rsidRPr="00B1622C" w:rsidP="00E6605B">
      <w:pPr>
        <w:spacing w:after="0" w:line="240" w:lineRule="auto"/>
        <w:ind w:firstLine="720"/>
        <w:jc w:val="both"/>
        <w:rPr>
          <w:rFonts w:ascii="Times New Roman" w:hAnsi="Times New Roman"/>
          <w:iCs/>
          <w:sz w:val="24"/>
          <w:szCs w:val="24"/>
          <w:lang w:val="lv-LV"/>
        </w:rPr>
      </w:pPr>
      <w:r w:rsidRPr="00B1622C">
        <w:rPr>
          <w:rFonts w:ascii="Times New Roman" w:hAnsi="Times New Roman"/>
          <w:sz w:val="24"/>
          <w:szCs w:val="24"/>
          <w:lang w:val="lv-LV"/>
        </w:rPr>
        <w:t>Komisija norāda, ka apliecinājums par sadarbību pēc būtības nav kvalitātes sertifikāts vai cits dokuments ar normatīvajos aktos noteiktu derīguma termiņu. Šāda apliecinājuma mērķis ir apliecināt faktiski pastāvošas sadarbības attiecības starp konkrētiem piegādes ķēdes dalībniekiem noteiktā laika posmā. Tādēļ pasūtītājam ir tiesības noteikt tādu apliecinājuma aktualitātes periodu, kas ir samērīgs ar nepieciešamību pārliecināties par piedāvājumā norādītās informācijas patiesumu un piegādes ķēdes faktisku pastāvēšanu.</w:t>
      </w:r>
    </w:p>
    <w:p w:rsidR="005C1603" w:rsidRPr="00B1622C" w:rsidP="00990BD3">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 xml:space="preserve">Ņemot vērā iepirkuma priekšmetu, līguma plānoto izpildes ilgumu un KT1 kritērija nozīmi piedāvājumu vērtēšanā, pasūtītājam ir būtiski pārliecināties, ka pretendenta norādītie </w:t>
      </w:r>
      <w:r w:rsidRPr="00B1622C">
        <w:rPr>
          <w:rFonts w:ascii="Times New Roman" w:hAnsi="Times New Roman"/>
          <w:iCs/>
          <w:sz w:val="24"/>
          <w:szCs w:val="24"/>
          <w:lang w:val="lv-LV"/>
        </w:rPr>
        <w:t>ražotāji, audzētāji vai piegādātāji ir apliecinājuši sadarbību aktuālā laika periodā. Trīs gadu laikā var mainīties ražotāja vai piegādātāja saimnieciskā darbība, produktu sortiments, sertifikācijas statuss, piegādes kapacitāte, sadarbības nosacījumi vai produkta faktiskā pieejamība.</w:t>
      </w:r>
    </w:p>
    <w:p w:rsidR="001D3B0A" w:rsidRPr="00B1622C" w:rsidP="00E6605B">
      <w:pPr>
        <w:spacing w:after="0" w:line="240" w:lineRule="auto"/>
        <w:ind w:firstLine="720"/>
        <w:jc w:val="both"/>
        <w:rPr>
          <w:rFonts w:ascii="Times New Roman" w:hAnsi="Times New Roman"/>
          <w:iCs/>
          <w:sz w:val="24"/>
          <w:szCs w:val="24"/>
          <w:lang w:val="lv-LV"/>
        </w:rPr>
      </w:pPr>
      <w:r w:rsidRPr="00B1622C">
        <w:rPr>
          <w:rFonts w:ascii="Times New Roman" w:hAnsi="Times New Roman"/>
          <w:sz w:val="24"/>
          <w:szCs w:val="24"/>
          <w:lang w:val="lv-LV"/>
        </w:rPr>
        <w:t>Komisijas ieskatā 36 mēnešus iepriekš izdots apliecinājums pats par sevi nesniedz pietiekamu pārliecību, ka sadarbības attiecības joprojām pastāv piedāvājuma iesniegšanas brīdī. Savukārt 12 mēnešu periods nodrošina saprātīgu līdzsvaru starp nepieciešamību pārbaudīt informācijas aktualitāti un administratīvo slogu pretendentiem.</w:t>
      </w:r>
    </w:p>
    <w:p w:rsidR="005C1603" w:rsidRPr="00B1622C" w:rsidP="00990BD3">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Prasība iesniegt aktuālus ražotāju vai piegādātāju apliecinājumus ir nozīmīga tieši ēdināšanas pakalpojumu iepirkumos, kuros piedāvājumā norādītie produkti tiek izmantoti piedāvājumu vērtēšanā. Aktuāls apliecinājums ļauj pasūtītājam pārliecināties ne tikai par sertifikāta vai reģistra informācijas esamību, bet arī par konkrētā produkta pieejamību un piegādes ķēdes aktualitāti piedāvājuma iesniegšanas brīdī.</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norāda, ka 12 mēnešu termiņš:</w:t>
      </w:r>
    </w:p>
    <w:p w:rsidR="005C1603" w:rsidRPr="00B1622C" w:rsidP="00990BD3">
      <w:pPr>
        <w:pStyle w:val="ListParagraph"/>
        <w:numPr>
          <w:ilvl w:val="0"/>
          <w:numId w:val="5"/>
        </w:numPr>
        <w:spacing w:after="120"/>
        <w:jc w:val="both"/>
        <w:rPr>
          <w:iCs/>
          <w:lang w:val="lv-LV"/>
        </w:rPr>
      </w:pPr>
      <w:r w:rsidRPr="00B1622C">
        <w:rPr>
          <w:iCs/>
          <w:lang w:val="lv-LV"/>
        </w:rPr>
        <w:t>vienādi attiecas uz visiem pretendentiem;</w:t>
      </w:r>
    </w:p>
    <w:p w:rsidR="005C1603" w:rsidRPr="00B1622C" w:rsidP="00990BD3">
      <w:pPr>
        <w:pStyle w:val="ListParagraph"/>
        <w:numPr>
          <w:ilvl w:val="0"/>
          <w:numId w:val="5"/>
        </w:numPr>
        <w:spacing w:after="120"/>
        <w:jc w:val="both"/>
        <w:rPr>
          <w:iCs/>
          <w:lang w:val="lv-LV"/>
        </w:rPr>
      </w:pPr>
      <w:r w:rsidRPr="00B1622C">
        <w:rPr>
          <w:iCs/>
          <w:lang w:val="lv-LV"/>
        </w:rPr>
        <w:t>neprasa konkrēta ražotāja vai piegādātāja izmantošanu;</w:t>
      </w:r>
    </w:p>
    <w:p w:rsidR="005C1603" w:rsidRPr="00B1622C" w:rsidP="00990BD3">
      <w:pPr>
        <w:pStyle w:val="ListParagraph"/>
        <w:numPr>
          <w:ilvl w:val="0"/>
          <w:numId w:val="5"/>
        </w:numPr>
        <w:spacing w:after="120"/>
        <w:jc w:val="both"/>
        <w:rPr>
          <w:iCs/>
          <w:lang w:val="lv-LV"/>
        </w:rPr>
      </w:pPr>
      <w:r w:rsidRPr="00B1622C">
        <w:rPr>
          <w:iCs/>
          <w:lang w:val="lv-LV"/>
        </w:rPr>
        <w:t>ir saistīts ar nepieciešamību pārliecināties par aktuālu produktu pieejamību un piegādes ķēdi piedāvājuma iesniegšanas brīdī;</w:t>
      </w:r>
    </w:p>
    <w:p w:rsidR="005C1603" w:rsidRPr="00B1622C" w:rsidP="00990BD3">
      <w:pPr>
        <w:pStyle w:val="ListParagraph"/>
        <w:numPr>
          <w:ilvl w:val="0"/>
          <w:numId w:val="5"/>
        </w:numPr>
        <w:spacing w:after="120"/>
        <w:jc w:val="both"/>
        <w:rPr>
          <w:iCs/>
          <w:lang w:val="lv-LV"/>
        </w:rPr>
      </w:pPr>
      <w:r w:rsidRPr="00B1622C">
        <w:rPr>
          <w:iCs/>
          <w:lang w:val="lv-LV"/>
        </w:rPr>
        <w:t>samazina risku, ka piedāvājumā tiek norādīti produkti vai piegādes ķēdes, kas faktiski vairs nav aktuālas;</w:t>
      </w:r>
    </w:p>
    <w:p w:rsidR="005C1603" w:rsidRPr="00B1622C" w:rsidP="00990BD3">
      <w:pPr>
        <w:pStyle w:val="ListParagraph"/>
        <w:numPr>
          <w:ilvl w:val="0"/>
          <w:numId w:val="5"/>
        </w:numPr>
        <w:spacing w:after="120"/>
        <w:jc w:val="both"/>
        <w:rPr>
          <w:iCs/>
          <w:lang w:val="lv-LV"/>
        </w:rPr>
      </w:pPr>
      <w:r w:rsidRPr="00B1622C">
        <w:rPr>
          <w:iCs/>
          <w:lang w:val="lv-LV"/>
        </w:rPr>
        <w:t>veicina piedāvājumu ticamību, salīdzināmību un pārbaudāmību.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neuzskata, ka 12 mēnešu termiņš būtu nesamērīgs vai nepamatoti ierobežotu konkurenci. Šāds termiņš ir pasūtītāja noteikts samērīgs risinājums, lai pārliecinātos, ka pretendenta piedāvājumā norādītajiem BL, NPKS vai LPIA prasībām atbilstošajiem produktiem ir aktuāla un pārbaudāma piegādes ķēde.</w:t>
      </w:r>
    </w:p>
    <w:p w:rsidR="001556F1"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sz w:val="24"/>
          <w:szCs w:val="24"/>
          <w:lang w:val="lv-LV"/>
        </w:rPr>
        <w:t>Komisija papildus norāda, ka prasības precizēšana no sākotnēji apspriedē piedāvātā 36 mēnešu perioda uz 12 mēnešu periodu veikta, izvērtējot nepieciešamību nodrošināt augstāku piedāvājumā norādītās informācijas ticamību, pārbaudāmību un atbilstību faktiskajai situācijai piedāvājuma iesniegšanas brīdī. Apstāklis, ka apspriedes laikā potenciālie piegādātāji nav izteikuši iebildumus pret citu iespējamo termiņu, pats par sevi nerada pasūtītājam pienākumu saglabāt sākotnēji apspriestajā dokumenta projektā ietverto regulējumu.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 xml:space="preserve">Ņemot vērā minēto, komisija neuzskata par pamatotu grozīt nolikuma </w:t>
      </w:r>
      <w:r w:rsidRPr="00B1622C" w:rsidR="001556F1">
        <w:rPr>
          <w:rFonts w:ascii="Times New Roman" w:hAnsi="Times New Roman"/>
          <w:sz w:val="24"/>
          <w:szCs w:val="24"/>
          <w:lang w:val="lv-LV"/>
        </w:rPr>
        <w:t>5.1.2.3. un 5.1.2.4.</w:t>
      </w:r>
      <w:r w:rsidRPr="00B1622C" w:rsidR="00B1622C">
        <w:rPr>
          <w:rFonts w:ascii="Times New Roman" w:hAnsi="Times New Roman"/>
          <w:sz w:val="24"/>
          <w:szCs w:val="24"/>
          <w:lang w:val="lv-LV"/>
        </w:rPr>
        <w:t> </w:t>
      </w:r>
      <w:r w:rsidRPr="00B1622C" w:rsidR="001556F1">
        <w:rPr>
          <w:rFonts w:ascii="Times New Roman" w:hAnsi="Times New Roman"/>
          <w:sz w:val="24"/>
          <w:szCs w:val="24"/>
          <w:lang w:val="lv-LV"/>
        </w:rPr>
        <w:t>punktā noteikto prasību</w:t>
      </w:r>
      <w:r w:rsidRPr="00B1622C">
        <w:rPr>
          <w:rFonts w:ascii="Times New Roman" w:hAnsi="Times New Roman"/>
          <w:iCs/>
          <w:sz w:val="24"/>
          <w:szCs w:val="24"/>
          <w:lang w:val="lv-LV"/>
        </w:rPr>
        <w:t xml:space="preserve"> un pagarināt ražotāju vai piegādātāju apliecinājumu izdošanas termiņu līdz 36 mēnešiem.</w:t>
      </w:r>
    </w:p>
    <w:p w:rsidR="002C44CB" w:rsidRPr="00B1622C" w:rsidP="005C1603">
      <w:pPr>
        <w:spacing w:after="0" w:line="240" w:lineRule="auto"/>
        <w:jc w:val="both"/>
        <w:rPr>
          <w:rFonts w:ascii="Times New Roman" w:hAnsi="Times New Roman"/>
          <w:b/>
          <w:iCs/>
          <w:sz w:val="24"/>
          <w:szCs w:val="24"/>
          <w:lang w:val="lv-LV"/>
        </w:rPr>
      </w:pP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Jautājums Nr. 3:</w:t>
      </w:r>
    </w:p>
    <w:p w:rsidR="005C1603" w:rsidRPr="00B1622C" w:rsidP="005C1603">
      <w:pPr>
        <w:spacing w:after="0" w:line="240" w:lineRule="auto"/>
        <w:jc w:val="both"/>
        <w:rPr>
          <w:rFonts w:ascii="Times New Roman" w:hAnsi="Times New Roman"/>
          <w:iCs/>
          <w:sz w:val="24"/>
          <w:szCs w:val="24"/>
          <w:lang w:val="lv-LV"/>
        </w:rPr>
      </w:pPr>
    </w:p>
    <w:p w:rsidR="005C1603" w:rsidRPr="00B1622C" w:rsidP="00617391">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w:t>
      </w:r>
      <w:r w:rsidRPr="00B1622C">
        <w:rPr>
          <w:rFonts w:ascii="Times New Roman" w:hAnsi="Times New Roman"/>
          <w:b/>
          <w:iCs/>
          <w:sz w:val="24"/>
          <w:szCs w:val="24"/>
          <w:lang w:val="lv-LV"/>
        </w:rPr>
        <w:t>Valsts sociālās apdrošināšanas obligātās iemaksas</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 xml:space="preserve">Saskaņā ar Iepirkuma nolikuma 8.4. punktu, viens no </w:t>
      </w:r>
      <w:r w:rsidRPr="00B1622C">
        <w:rPr>
          <w:rFonts w:ascii="Times New Roman" w:hAnsi="Times New Roman"/>
          <w:bCs/>
          <w:noProof/>
          <w:sz w:val="24"/>
          <w:szCs w:val="24"/>
          <w:lang w:val="lv-LV"/>
        </w:rPr>
        <w:t>Saimnieciski visizdevīgākā piedāvājuma noteikšanas kritērijiem</w:t>
      </w:r>
      <w:r w:rsidRPr="00B1622C">
        <w:rPr>
          <w:rFonts w:ascii="Times New Roman" w:hAnsi="Times New Roman"/>
          <w:b/>
          <w:noProof/>
          <w:sz w:val="24"/>
          <w:szCs w:val="24"/>
          <w:lang w:val="lv-LV"/>
        </w:rPr>
        <w:t xml:space="preserve"> </w:t>
      </w:r>
      <w:r w:rsidRPr="00B1622C">
        <w:rPr>
          <w:rFonts w:ascii="Times New Roman" w:hAnsi="Times New Roman"/>
          <w:sz w:val="24"/>
          <w:szCs w:val="24"/>
          <w:lang w:val="lv-LV"/>
        </w:rPr>
        <w:t xml:space="preserve">ir  KT3 “Sociālais kritērijs”.  </w:t>
      </w:r>
    </w:p>
    <w:p w:rsidR="00617391" w:rsidRPr="00B1622C" w:rsidP="00E6605B">
      <w:pPr>
        <w:tabs>
          <w:tab w:val="left" w:pos="5026"/>
        </w:tabs>
        <w:spacing w:after="120"/>
        <w:ind w:firstLine="709"/>
        <w:jc w:val="both"/>
        <w:rPr>
          <w:rFonts w:ascii="Times New Roman" w:hAnsi="Times New Roman"/>
          <w:color w:val="000000"/>
          <w:sz w:val="24"/>
          <w:szCs w:val="24"/>
          <w:lang w:val="lv-LV"/>
        </w:rPr>
      </w:pPr>
      <w:r w:rsidRPr="00B1622C">
        <w:rPr>
          <w:rFonts w:ascii="Times New Roman" w:hAnsi="Times New Roman"/>
          <w:color w:val="000000"/>
          <w:sz w:val="24"/>
          <w:szCs w:val="24"/>
          <w:lang w:val="lv-LV"/>
        </w:rPr>
        <w:t xml:space="preserve">Punkti šajā kritērijā </w:t>
      </w:r>
      <w:r w:rsidRPr="00B1622C">
        <w:rPr>
          <w:rFonts w:ascii="Times New Roman" w:hAnsi="Times New Roman"/>
          <w:b/>
          <w:bCs/>
          <w:color w:val="000000"/>
          <w:sz w:val="24"/>
          <w:szCs w:val="24"/>
          <w:lang w:val="lv-LV"/>
        </w:rPr>
        <w:t>tiek piešķirti pretendenta piedāvājumam par veiktajām darba ņēmēju valsts sociālās apdrošināšanas obligātajām iemaksām</w:t>
      </w:r>
      <w:r w:rsidRPr="00B1622C">
        <w:rPr>
          <w:rFonts w:ascii="Times New Roman" w:hAnsi="Times New Roman"/>
          <w:color w:val="000000"/>
          <w:sz w:val="24"/>
          <w:szCs w:val="24"/>
          <w:lang w:val="lv-LV"/>
        </w:rPr>
        <w:t xml:space="preserve"> (turpmāk – </w:t>
      </w:r>
      <w:r w:rsidRPr="00B1622C">
        <w:rPr>
          <w:rFonts w:ascii="Times New Roman" w:hAnsi="Times New Roman"/>
          <w:b/>
          <w:bCs/>
          <w:color w:val="000000"/>
          <w:sz w:val="24"/>
          <w:szCs w:val="24"/>
          <w:lang w:val="lv-LV"/>
        </w:rPr>
        <w:t>VSAOI</w:t>
      </w:r>
      <w:r w:rsidRPr="00B1622C">
        <w:rPr>
          <w:rFonts w:ascii="Times New Roman" w:hAnsi="Times New Roman"/>
          <w:color w:val="000000"/>
          <w:sz w:val="24"/>
          <w:szCs w:val="24"/>
          <w:lang w:val="lv-LV"/>
        </w:rPr>
        <w:t xml:space="preserve">), kas ir faktors, kas var būtiski ietekmēt iepirkuma līguma izpildes kvalitāti, jo tā ir </w:t>
      </w:r>
      <w:r w:rsidRPr="00B1622C">
        <w:rPr>
          <w:rFonts w:ascii="Times New Roman" w:hAnsi="Times New Roman"/>
          <w:color w:val="000000"/>
          <w:sz w:val="24"/>
          <w:szCs w:val="24"/>
          <w:lang w:val="lv-LV"/>
        </w:rPr>
        <w:t xml:space="preserve">atkarīga no iesaistītā personāla sociālās aizsardzības. Šajā kritērijā tiek vērtēta pretendenta iepriekšējā taksācijas gadā, tas ir, 2025. gadā, samaksātā darba ņēmēju VSAOI kopsumma </w:t>
      </w:r>
      <w:r w:rsidRPr="00B1622C">
        <w:rPr>
          <w:rFonts w:ascii="Times New Roman" w:hAnsi="Times New Roman"/>
          <w:i/>
          <w:color w:val="000000"/>
          <w:sz w:val="24"/>
          <w:szCs w:val="24"/>
          <w:lang w:val="lv-LV"/>
        </w:rPr>
        <w:t>euro</w:t>
      </w:r>
      <w:r w:rsidRPr="00B1622C">
        <w:rPr>
          <w:rFonts w:ascii="Times New Roman" w:hAnsi="Times New Roman"/>
          <w:color w:val="000000"/>
          <w:sz w:val="24"/>
          <w:szCs w:val="24"/>
          <w:lang w:val="lv-LV"/>
        </w:rPr>
        <w:t xml:space="preserve"> attiecībā pret pretendenta vidējo nodarbināto personu skaitu 2025. gadā. </w:t>
      </w:r>
      <w:r w:rsidRPr="00B1622C">
        <w:rPr>
          <w:rFonts w:ascii="Times New Roman" w:hAnsi="Times New Roman"/>
          <w:sz w:val="24"/>
          <w:szCs w:val="24"/>
          <w:lang w:val="lv-LV"/>
        </w:rPr>
        <w:t xml:space="preserve">KT3 kritērija vērtēšanai tiek aprēķināts pretendenta rādītājs, dalot 2025. gadā samaksāto darba ņēmēju VSAOI kopsummu </w:t>
      </w:r>
      <w:r w:rsidRPr="00B1622C">
        <w:rPr>
          <w:rFonts w:ascii="Times New Roman" w:hAnsi="Times New Roman"/>
          <w:i/>
          <w:iCs/>
          <w:sz w:val="24"/>
          <w:szCs w:val="24"/>
          <w:lang w:val="lv-LV"/>
        </w:rPr>
        <w:t>euro</w:t>
      </w:r>
      <w:r w:rsidRPr="00B1622C">
        <w:rPr>
          <w:rFonts w:ascii="Times New Roman" w:hAnsi="Times New Roman"/>
          <w:sz w:val="24"/>
          <w:szCs w:val="24"/>
          <w:lang w:val="lv-LV"/>
        </w:rPr>
        <w:t xml:space="preserve"> ar pretendenta vidējo nodarbināto personu skaitu 2025. gadā.</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b/>
          <w:bCs/>
          <w:sz w:val="24"/>
          <w:szCs w:val="24"/>
          <w:lang w:val="lv-LV"/>
        </w:rPr>
        <w:t>Šāds kritērijs pēc savas būtības nav samērīgs un rada nepamatoti nevienlīdzīgus konkurences apstākļus starp pretendentiem, kā arī tas nespēj sniegt rādītāju ar kuru būtu salīdzināma dažādu pretendentu pakalpojumu kvalitāti.</w:t>
      </w:r>
      <w:r w:rsidRPr="00B1622C">
        <w:rPr>
          <w:rFonts w:ascii="Times New Roman" w:hAnsi="Times New Roman"/>
          <w:sz w:val="24"/>
          <w:szCs w:val="24"/>
          <w:lang w:val="lv-LV"/>
        </w:rPr>
        <w:t xml:space="preserve"> Lai gan kritērijs formāli tiek normalizēts uz vienu nodarbināto (VSAOI kopsumma / vidējais nodarbināto skaits), tas tomēr faktiski atspoguļo nevis pretendenta spēju izpildīt konkrēto iepirkuma līgumu, bet gan pretendenta darbaspēka struktūru un atalgojuma politiku kopumā – tostarp nozarēm neraksturīgus administratīvos un vadības darbiniekus. </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 xml:space="preserve">Lielākiem uzņēmumiem ar apjomīgu komercdarbību (piemēram, ar apgrozījumu 30 miljoni EUR) ir objektīvi lielākas iespējas nodarbināt augstāk atalgotus vadības, finanšu, juridiskos un IT speciālistus, kuru ieguldījums konkrētā iepirkuma izpildē ir nulle vai minimāls, taču kuru augstākās VSAOI iemaksas tieši paaugstina šo uzņēmumu rādītāju šajā kritērijā. Savukārt mazāks pretendents ar apgrozījumu, piemēram, 3 miljoni EUR, kurš nodrošina tieši iepirkumam nepieciešamo personālu ar nozarei atbilstošu atalgojumu, šajā salīdzinājumā objektīvi zaudē – ne tāpēc, ka tā darbinieki ir sliktāk aizsargāti sociāli, bet tikai tāpēc, ka tam nav lielas vadības struktūras un citu augsti atalgotu speciālistu, kas šo rādītāju palielinātu. </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 xml:space="preserve">Tas nozīmē, ka </w:t>
      </w:r>
      <w:r w:rsidRPr="00B1622C">
        <w:rPr>
          <w:rFonts w:ascii="Times New Roman" w:hAnsi="Times New Roman"/>
          <w:b/>
          <w:bCs/>
          <w:sz w:val="24"/>
          <w:szCs w:val="24"/>
          <w:lang w:val="lv-LV"/>
        </w:rPr>
        <w:t xml:space="preserve">šāds kritērijs </w:t>
      </w:r>
      <w:r w:rsidRPr="00B1622C">
        <w:rPr>
          <w:rFonts w:ascii="Times New Roman" w:hAnsi="Times New Roman"/>
          <w:b/>
          <w:bCs/>
          <w:sz w:val="24"/>
          <w:szCs w:val="24"/>
          <w:lang w:val="lv-LV"/>
        </w:rPr>
        <w:t>de</w:t>
      </w:r>
      <w:r w:rsidRPr="00B1622C">
        <w:rPr>
          <w:rFonts w:ascii="Times New Roman" w:hAnsi="Times New Roman"/>
          <w:b/>
          <w:bCs/>
          <w:sz w:val="24"/>
          <w:szCs w:val="24"/>
          <w:lang w:val="lv-LV"/>
        </w:rPr>
        <w:t xml:space="preserve"> </w:t>
      </w:r>
      <w:r w:rsidRPr="00B1622C">
        <w:rPr>
          <w:rFonts w:ascii="Times New Roman" w:hAnsi="Times New Roman"/>
          <w:b/>
          <w:bCs/>
          <w:sz w:val="24"/>
          <w:szCs w:val="24"/>
          <w:lang w:val="lv-LV"/>
        </w:rPr>
        <w:t>facto</w:t>
      </w:r>
      <w:r w:rsidRPr="00B1622C">
        <w:rPr>
          <w:rFonts w:ascii="Times New Roman" w:hAnsi="Times New Roman"/>
          <w:b/>
          <w:bCs/>
          <w:sz w:val="24"/>
          <w:szCs w:val="24"/>
          <w:lang w:val="lv-LV"/>
        </w:rPr>
        <w:t xml:space="preserve"> vērtē uzņēmuma lielumu un resursu apjomu, nevis tā spēju kvalitatīvi izpildīt konkrēto iepirkuma priekšmetu</w:t>
      </w:r>
      <w:r w:rsidRPr="00B1622C">
        <w:rPr>
          <w:rFonts w:ascii="Times New Roman" w:hAnsi="Times New Roman"/>
          <w:sz w:val="24"/>
          <w:szCs w:val="24"/>
          <w:lang w:val="lv-LV"/>
        </w:rPr>
        <w:t xml:space="preserve">. Šāda pieeja ir pretrunā Publisko iepirkumu likuma pamatprincipiem, it īpaši samērīguma un vienlīdzīgas attieksmes principiem, jo </w:t>
      </w:r>
      <w:r w:rsidRPr="00B1622C">
        <w:rPr>
          <w:rFonts w:ascii="Times New Roman" w:hAnsi="Times New Roman"/>
          <w:b/>
          <w:bCs/>
          <w:sz w:val="24"/>
          <w:szCs w:val="24"/>
          <w:lang w:val="lv-LV"/>
        </w:rPr>
        <w:t>rada situāciju, kurā lieli, daudzprofilu uzņēmumi automātiski gūst priekšrocību, kas vispār nav saistīta ar iepirkuma līguma izpildes kvalitāti</w:t>
      </w:r>
      <w:r w:rsidRPr="00B1622C">
        <w:rPr>
          <w:rFonts w:ascii="Times New Roman" w:hAnsi="Times New Roman"/>
          <w:sz w:val="24"/>
          <w:szCs w:val="24"/>
          <w:lang w:val="lv-LV"/>
        </w:rPr>
        <w:t>.</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 xml:space="preserve">Turklāt, Pasūtītājs kritērija pamatojumā norāda, ka </w:t>
      </w:r>
      <w:r w:rsidRPr="00B1622C">
        <w:rPr>
          <w:rFonts w:ascii="Times New Roman" w:hAnsi="Times New Roman"/>
          <w:i/>
          <w:iCs/>
          <w:sz w:val="24"/>
          <w:szCs w:val="24"/>
          <w:lang w:val="lv-LV"/>
        </w:rPr>
        <w:t>“VSAOI iemaksas ir  faktors, kas var būtiski ietekmēt iepirkuma līguma izpildes kvalitāti”</w:t>
      </w:r>
      <w:r w:rsidRPr="00B1622C">
        <w:rPr>
          <w:rFonts w:ascii="Times New Roman" w:hAnsi="Times New Roman"/>
          <w:sz w:val="24"/>
          <w:szCs w:val="24"/>
          <w:lang w:val="lv-LV"/>
        </w:rPr>
        <w:t>. Šāds pamatojums nav pietiekams un nav loģisks, jo VSAOI kopsummas attiecība pret nodarbināto skaitu mēra vidējo atalgojumu uzņēmumā kopumā, nevis konkrēti pie šī iepirkuma norīkoto darbinieku atalgojumu vai sociālo aizsardzību. Ja Pasūtītāja patiesais mērķis ir nodrošināt pie līguma norīkotā personāla sociālo aizsardzību, tam būtu jāvērtē tieši tā personāla atalgojums, kurš tiks iesaistīts līguma izpildē, nevis viss uzņēmums kopumā.</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 xml:space="preserve">Papildus tam būtiski norādīt, ka VSAOI dati un nodarbināto skaits ir publiski pieejami uzņēmumu gada pārskatos. Tas nozīmē, ka </w:t>
      </w:r>
      <w:r w:rsidRPr="00B1622C">
        <w:rPr>
          <w:rFonts w:ascii="Times New Roman" w:hAnsi="Times New Roman"/>
          <w:b/>
          <w:bCs/>
          <w:sz w:val="24"/>
          <w:szCs w:val="24"/>
          <w:lang w:val="lv-LV"/>
        </w:rPr>
        <w:t>jebkurš pretendents jau piedāvājumu iesniegšanas brīdī var aprēķināt citu pretendentu KT3 rādītāju un faktiski zināt iznākumu šajā kritērijā vēl pirms Iepirkuma noslēguma</w:t>
      </w:r>
      <w:r w:rsidRPr="00B1622C">
        <w:rPr>
          <w:rFonts w:ascii="Times New Roman" w:hAnsi="Times New Roman"/>
          <w:sz w:val="24"/>
          <w:szCs w:val="24"/>
          <w:lang w:val="lv-LV"/>
        </w:rPr>
        <w:t xml:space="preserve">. Šāda situācija ir pretrunā ar iepirkuma procedūras caurskatāmības un godīgas konkurences principiem, jo kritērijs kļūst par priekšlaicīgi zināmu priekšrocību lielākiem tirgus dalībniekiem. Tā pat arī papildus, dažādu pretendentu darbības var ietvert dažāda veida uzņēmējdarbību, kas var nebūt saistītā vienā un tajā pašā industrijā vai tirgus nozarē, piemēram, publisko vai valsts iestāžu ēdināšana un privātu ēdnīcu/kafejnīcu uzturēšana, kas attiecīgi ietver darbiniekus no </w:t>
      </w:r>
      <w:r w:rsidRPr="00B1622C">
        <w:rPr>
          <w:rFonts w:ascii="Times New Roman" w:hAnsi="Times New Roman"/>
          <w:sz w:val="24"/>
          <w:szCs w:val="24"/>
          <w:lang w:val="lv-LV"/>
        </w:rPr>
        <w:t>dažādām industrijām, kur to algas un VSAOI iemaksas var būtiski atšķirties. Līdz ar to, tas nav samērīgi vērtēt šādu kritēriju uzņēmuma ietvaros, kur daļa darbinieku un veikto VSAOI iemaksu nav attiecināmas uz iepirkumā attiecināmo pakalpojumu sniegšanu.</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Līdz ar to KT3 kritērijs ir jāpārskata vai jāsvītro kā nesamērīgs, diskriminējošs attiecībā pret mazākiem, bet nozarē specializētiem pretendentiem, un neatbilstošs iepirkuma priekšmeta novērtēšanas leģitīmajam mērķim.</w:t>
      </w:r>
    </w:p>
    <w:p w:rsidR="00617391" w:rsidRPr="00B1622C" w:rsidP="00E6605B">
      <w:pPr>
        <w:spacing w:after="120"/>
        <w:ind w:firstLine="709"/>
        <w:jc w:val="both"/>
        <w:rPr>
          <w:rFonts w:ascii="Times New Roman" w:hAnsi="Times New Roman"/>
          <w:sz w:val="24"/>
          <w:szCs w:val="24"/>
          <w:u w:val="single"/>
          <w:lang w:val="lv-LV"/>
        </w:rPr>
      </w:pPr>
      <w:r w:rsidRPr="00B1622C">
        <w:rPr>
          <w:rFonts w:ascii="Times New Roman" w:hAnsi="Times New Roman"/>
          <w:sz w:val="24"/>
          <w:szCs w:val="24"/>
          <w:u w:val="single"/>
          <w:lang w:val="lv-LV"/>
        </w:rPr>
        <w:t>Ņemot vērā iepriekš minēto, lūdzam Pasūtītāju sniegt rakstisku pamatotu skaidrojumu:</w:t>
      </w:r>
    </w:p>
    <w:p w:rsidR="00617391" w:rsidRPr="00B1622C" w:rsidP="00617391">
      <w:pPr>
        <w:pStyle w:val="ListParagraph"/>
        <w:numPr>
          <w:ilvl w:val="0"/>
          <w:numId w:val="8"/>
        </w:numPr>
        <w:tabs>
          <w:tab w:val="left" w:pos="5026"/>
        </w:tabs>
        <w:spacing w:after="120" w:line="276" w:lineRule="auto"/>
        <w:ind w:left="709" w:hanging="425"/>
        <w:jc w:val="both"/>
        <w:rPr>
          <w:lang w:val="lv-LV"/>
        </w:rPr>
      </w:pPr>
      <w:r w:rsidRPr="00B1622C">
        <w:rPr>
          <w:lang w:val="lv-LV"/>
        </w:rPr>
        <w:t xml:space="preserve">Kā kritērijs KT3 pēc savas būtības nodrošina un vērtē pretendenta (uzņēmuma) spēju kvalitatīvi izpildīt konkrēto iepirkuma priekšmetu, ņemot vērā, ka šāds kritērijs faktiski vērtē uzņēmuma lielumu un resursu apjomu, nevis tā spēju kvalitatīvi izpildīt konkrēto iepirkuma priekšmetu? </w:t>
      </w:r>
    </w:p>
    <w:p w:rsidR="00617391" w:rsidRPr="00B1622C" w:rsidP="00E6605B">
      <w:pPr>
        <w:tabs>
          <w:tab w:val="left" w:pos="5026"/>
        </w:tabs>
        <w:spacing w:after="120"/>
        <w:ind w:firstLine="709"/>
        <w:jc w:val="both"/>
        <w:rPr>
          <w:rFonts w:ascii="Times New Roman" w:hAnsi="Times New Roman"/>
          <w:sz w:val="24"/>
          <w:szCs w:val="24"/>
          <w:lang w:val="lv-LV"/>
        </w:rPr>
      </w:pPr>
      <w:r w:rsidRPr="00B1622C">
        <w:rPr>
          <w:rFonts w:ascii="Times New Roman" w:hAnsi="Times New Roman"/>
          <w:sz w:val="24"/>
          <w:szCs w:val="24"/>
          <w:lang w:val="lv-LV"/>
        </w:rPr>
        <w:t>Gadījumā, ja Iepirkuma komisija nevar sniegt pietiekamu pamatojumu minētā kritērija nepieciešamībai un samērīgumam, SIA “MARNIKO” lūdz svītrot šādu kritēriju un rast alternatīvu kritēriju, kas būtu atbalstošs Iepirkuma priekšmeta novērtēšanas leģitīmajam mērķim.”</w:t>
      </w: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Atbilde Nr. 3:</w:t>
      </w:r>
    </w:p>
    <w:p w:rsidR="005C1603" w:rsidRPr="00B1622C" w:rsidP="005C1603">
      <w:pPr>
        <w:spacing w:after="0" w:line="240" w:lineRule="auto"/>
        <w:jc w:val="both"/>
        <w:rPr>
          <w:rFonts w:ascii="Times New Roman" w:hAnsi="Times New Roman"/>
          <w:iCs/>
          <w:sz w:val="24"/>
          <w:szCs w:val="24"/>
          <w:lang w:val="lv-LV"/>
        </w:rPr>
      </w:pPr>
    </w:p>
    <w:p w:rsidR="003755C1"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izvērtējot iespējamā piegādātāja norādītos argumentus par KT3 “Sociālais kritērijs” un ņemot vērā nepieciešamību mazināt iepirkuma dokumentācijas apstrīdēšanas risku, nolēma veikt iepirkuma dokumentācijas grozījumus, svītrojot KT3 kritēriju no saimnieciski visizdevīgākā piedāvājuma vērtēšanas kritērijiem.</w:t>
      </w:r>
    </w:p>
    <w:p w:rsidR="00F24D2E"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KT3 kritērijam paredzētie 5 punkti tiks pārdalīti cenas kritērijam, nosakot šādu piedāvājumu vērtēšanas kritēriju punktu sadalījumu:</w:t>
      </w:r>
    </w:p>
    <w:p w:rsidR="00F24D2E" w:rsidRPr="00B1622C" w:rsidP="00F24D2E">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KF cena — 50 punkti;</w:t>
      </w:r>
    </w:p>
    <w:p w:rsidR="00F24D2E" w:rsidRPr="00B1622C" w:rsidP="00F24D2E">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KT1 pārtikas produktu kvalitāte — 45 punkti;</w:t>
      </w:r>
    </w:p>
    <w:p w:rsidR="00F24D2E" w:rsidRPr="00B1622C" w:rsidP="00F24D2E">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KT2 transportlīdzekļu atbilstība vides prasībām — 5 punkti.</w:t>
      </w:r>
    </w:p>
    <w:p w:rsidR="001655CC" w:rsidRPr="00B1622C" w:rsidP="00E6605B">
      <w:pPr>
        <w:spacing w:after="120" w:line="240" w:lineRule="auto"/>
        <w:ind w:firstLine="720"/>
        <w:jc w:val="both"/>
        <w:rPr>
          <w:rFonts w:ascii="Times New Roman" w:hAnsi="Times New Roman"/>
          <w:b/>
          <w:iCs/>
          <w:sz w:val="24"/>
          <w:szCs w:val="24"/>
          <w:lang w:val="lv-LV"/>
        </w:rPr>
      </w:pPr>
      <w:r w:rsidRPr="00B1622C">
        <w:rPr>
          <w:rFonts w:ascii="Times New Roman" w:hAnsi="Times New Roman"/>
          <w:iCs/>
          <w:sz w:val="24"/>
          <w:szCs w:val="24"/>
          <w:lang w:val="lv-LV"/>
        </w:rPr>
        <w:t>Attiecīgi tiks sagatavoti un publicēti iepirkuma dokumentācijas grozījumi, kā arī pagarināts piedāvājumu iesniegšanas termiņš.</w:t>
      </w:r>
    </w:p>
    <w:p w:rsidR="00F24D2E" w:rsidRPr="00B1622C" w:rsidP="005C1603">
      <w:pPr>
        <w:spacing w:after="0" w:line="240" w:lineRule="auto"/>
        <w:jc w:val="both"/>
        <w:rPr>
          <w:rFonts w:ascii="Times New Roman" w:hAnsi="Times New Roman"/>
          <w:b/>
          <w:iCs/>
          <w:sz w:val="24"/>
          <w:szCs w:val="24"/>
          <w:lang w:val="lv-LV"/>
        </w:rPr>
      </w:pP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Jautājums Nr. 4:</w:t>
      </w:r>
    </w:p>
    <w:p w:rsidR="005C1603" w:rsidRPr="00B1622C" w:rsidP="005C1603">
      <w:pPr>
        <w:spacing w:after="0" w:line="240" w:lineRule="auto"/>
        <w:jc w:val="both"/>
        <w:rPr>
          <w:rFonts w:ascii="Times New Roman" w:hAnsi="Times New Roman"/>
          <w:iCs/>
          <w:sz w:val="24"/>
          <w:szCs w:val="24"/>
          <w:lang w:val="lv-LV"/>
        </w:rPr>
      </w:pPr>
    </w:p>
    <w:p w:rsidR="005C1603" w:rsidRPr="00B1622C" w:rsidP="001655CC">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w:t>
      </w:r>
      <w:r w:rsidRPr="00B1622C">
        <w:rPr>
          <w:rFonts w:ascii="Times New Roman" w:hAnsi="Times New Roman"/>
          <w:b/>
          <w:iCs/>
          <w:sz w:val="24"/>
          <w:szCs w:val="24"/>
          <w:lang w:val="lv-LV"/>
        </w:rPr>
        <w:t>Administratīvais slogs un piedāvājumu iesniegšanas termiņš</w:t>
      </w:r>
    </w:p>
    <w:p w:rsidR="001655CC" w:rsidRPr="00B1622C" w:rsidP="00E6605B">
      <w:pPr>
        <w:spacing w:after="120" w:line="240" w:lineRule="auto"/>
        <w:ind w:firstLine="720"/>
        <w:jc w:val="both"/>
        <w:rPr>
          <w:rFonts w:ascii="Times New Roman" w:hAnsi="Times New Roman"/>
          <w:sz w:val="24"/>
          <w:szCs w:val="24"/>
          <w:lang w:val="lv-LV"/>
        </w:rPr>
      </w:pPr>
      <w:r w:rsidRPr="00B1622C">
        <w:rPr>
          <w:rFonts w:ascii="Times New Roman" w:hAnsi="Times New Roman"/>
          <w:sz w:val="24"/>
          <w:szCs w:val="24"/>
          <w:lang w:val="lv-LV"/>
        </w:rPr>
        <w:t>Saskaņā ar Iepirkuma nolikuma 1.2. pielikuma “Produktu saraksts” veidlapu, pretendentam ir jānorāda informācija par ēdieniem, kuru gatavošanā tiks izmantoti BL, NPKS un LPIA prasībām atbilstoši produkti, tostarp attiecīgo ēdienkaršu un tehnoloģisko karšu numuri (1.2. pielikuma 6. kolonna). Vienlaikus ēdienkartes un tehnoloģiskās kartes tiek iesniegtas kā atsevišķi piedāvājuma dokumenti un jau satur pārbaudei nepieciešamo informāciju.</w:t>
      </w:r>
    </w:p>
    <w:p w:rsidR="001655CC" w:rsidRPr="00B1622C" w:rsidP="00E6605B">
      <w:pPr>
        <w:spacing w:after="120" w:line="240" w:lineRule="auto"/>
        <w:ind w:firstLine="720"/>
        <w:jc w:val="both"/>
        <w:rPr>
          <w:rFonts w:ascii="Times New Roman" w:hAnsi="Times New Roman"/>
          <w:sz w:val="24"/>
          <w:szCs w:val="24"/>
          <w:lang w:val="lv-LV"/>
        </w:rPr>
      </w:pPr>
      <w:r w:rsidRPr="00B1622C">
        <w:rPr>
          <w:rFonts w:ascii="Times New Roman" w:hAnsi="Times New Roman"/>
          <w:sz w:val="24"/>
          <w:szCs w:val="24"/>
          <w:lang w:val="lv-LV"/>
        </w:rPr>
        <w:t xml:space="preserve">Šī prasība rada būtisku administratīvo slogu un šķiet dublējoša attiecībā pret jau iesniedzamajām ēdienkartēm un tehnoloģiskajām kartēm. Pretendentu atbilstību BL, NPKS un LPIA prasībām komisija var pārbaudīt pēc produktu saraksta, ēdienkartēm un </w:t>
      </w:r>
      <w:r w:rsidRPr="00B1622C">
        <w:rPr>
          <w:rFonts w:ascii="Times New Roman" w:hAnsi="Times New Roman"/>
          <w:sz w:val="24"/>
          <w:szCs w:val="24"/>
          <w:lang w:val="lv-LV"/>
        </w:rPr>
        <w:t xml:space="preserve">tehnoloģiskajām kartēm arī bez atsevišķas tehnoloģisko karšu numuru krusteniskās sasaistes katrai pozīcijai. Līdz ar to lūdzam Iepirkuma komisiju izvērtēt iespēju atcelt vai mīkstināt prasību produktu sarakstā norādīt visu tehnoloģisko karšu numurus katram produktam. </w:t>
      </w:r>
    </w:p>
    <w:p w:rsidR="001655CC" w:rsidRPr="00B1622C" w:rsidP="00E6605B">
      <w:pPr>
        <w:spacing w:after="120" w:line="240" w:lineRule="auto"/>
        <w:ind w:firstLine="425"/>
        <w:jc w:val="both"/>
        <w:rPr>
          <w:rFonts w:ascii="Times New Roman" w:hAnsi="Times New Roman"/>
          <w:sz w:val="24"/>
          <w:szCs w:val="24"/>
          <w:u w:val="single"/>
          <w:lang w:val="lv-LV"/>
        </w:rPr>
      </w:pPr>
      <w:r w:rsidRPr="00B1622C">
        <w:rPr>
          <w:rFonts w:ascii="Times New Roman" w:hAnsi="Times New Roman"/>
          <w:sz w:val="24"/>
          <w:szCs w:val="24"/>
          <w:u w:val="single"/>
          <w:lang w:val="lv-LV"/>
        </w:rPr>
        <w:t>Ņemot vērā iepriekš minēto, lūdzam Pasūtītāju sniegt rakstisku skaidrojumu:</w:t>
      </w:r>
    </w:p>
    <w:p w:rsidR="001655CC" w:rsidRPr="00B1622C" w:rsidP="001655CC">
      <w:pPr>
        <w:pStyle w:val="ListParagraph"/>
        <w:numPr>
          <w:ilvl w:val="0"/>
          <w:numId w:val="9"/>
        </w:numPr>
        <w:spacing w:after="120"/>
        <w:ind w:left="782" w:hanging="357"/>
        <w:jc w:val="both"/>
        <w:rPr>
          <w:u w:val="single"/>
          <w:lang w:val="lv-LV"/>
        </w:rPr>
      </w:pPr>
      <w:r w:rsidRPr="00B1622C">
        <w:rPr>
          <w:lang w:val="lv-LV"/>
        </w:rPr>
        <w:t>Kāpēc šāda prasība ir nepieciešama?</w:t>
      </w:r>
    </w:p>
    <w:p w:rsidR="001655CC" w:rsidRPr="00B1622C" w:rsidP="001655CC">
      <w:pPr>
        <w:pStyle w:val="ListParagraph"/>
        <w:numPr>
          <w:ilvl w:val="0"/>
          <w:numId w:val="9"/>
        </w:numPr>
        <w:spacing w:after="120"/>
        <w:ind w:left="782" w:hanging="357"/>
        <w:jc w:val="both"/>
        <w:rPr>
          <w:lang w:val="lv-LV"/>
        </w:rPr>
      </w:pPr>
      <w:r w:rsidRPr="00B1622C">
        <w:rPr>
          <w:lang w:val="lv-LV"/>
        </w:rPr>
        <w:t xml:space="preserve">Kāpēc minētā prasība ir būtiska piedāvājuma izvērtēšanai? </w:t>
      </w:r>
    </w:p>
    <w:p w:rsidR="001655CC" w:rsidRPr="00B1622C" w:rsidP="00E6605B">
      <w:pPr>
        <w:spacing w:after="120" w:line="240" w:lineRule="auto"/>
        <w:ind w:firstLine="425"/>
        <w:jc w:val="both"/>
        <w:rPr>
          <w:rFonts w:ascii="Times New Roman" w:hAnsi="Times New Roman"/>
          <w:sz w:val="24"/>
          <w:szCs w:val="24"/>
          <w:lang w:val="lv-LV"/>
        </w:rPr>
      </w:pPr>
      <w:r w:rsidRPr="00B1622C">
        <w:rPr>
          <w:rFonts w:ascii="Times New Roman" w:hAnsi="Times New Roman"/>
          <w:sz w:val="24"/>
          <w:szCs w:val="24"/>
          <w:lang w:val="lv-LV"/>
        </w:rPr>
        <w:t>Gadījumā, ja Iepirkuma komisija nevarēs sniegt pietiekamu pamatojumu minēto prasību saglabāšanai Iepirkuma nolikumā, SIA “MARNIKO” lūdz Pasūtītāju izvērtēt šādus risinājumus:</w:t>
      </w:r>
    </w:p>
    <w:p w:rsidR="001655CC" w:rsidRPr="00B1622C" w:rsidP="001655CC">
      <w:pPr>
        <w:widowControl/>
        <w:numPr>
          <w:ilvl w:val="0"/>
          <w:numId w:val="3"/>
        </w:numPr>
        <w:tabs>
          <w:tab w:val="num" w:pos="567"/>
          <w:tab w:val="clear" w:pos="720"/>
        </w:tabs>
        <w:spacing w:after="120" w:line="240" w:lineRule="auto"/>
        <w:ind w:left="567" w:hanging="283"/>
        <w:jc w:val="both"/>
        <w:rPr>
          <w:rFonts w:ascii="Times New Roman" w:hAnsi="Times New Roman"/>
          <w:sz w:val="24"/>
          <w:szCs w:val="24"/>
          <w:lang w:val="lv-LV"/>
        </w:rPr>
      </w:pPr>
      <w:r w:rsidRPr="00B1622C">
        <w:rPr>
          <w:rFonts w:ascii="Times New Roman" w:hAnsi="Times New Roman"/>
          <w:sz w:val="24"/>
          <w:szCs w:val="24"/>
          <w:lang w:val="lv-LV"/>
        </w:rPr>
        <w:t>atcelt prasību produktu sarakstā (1.2. pielikums, 6. kolonna) norādīt tehnoloģisko karšu numurus, saglabājot šo informāciju ēdienkartēs un tehnoloģiskajās kartēs; vai</w:t>
      </w:r>
    </w:p>
    <w:p w:rsidR="001655CC" w:rsidRPr="00B1622C" w:rsidP="001655CC">
      <w:pPr>
        <w:widowControl/>
        <w:numPr>
          <w:ilvl w:val="0"/>
          <w:numId w:val="3"/>
        </w:numPr>
        <w:tabs>
          <w:tab w:val="num" w:pos="567"/>
          <w:tab w:val="clear" w:pos="720"/>
        </w:tabs>
        <w:spacing w:after="120" w:line="240" w:lineRule="auto"/>
        <w:ind w:left="567" w:hanging="283"/>
        <w:jc w:val="both"/>
        <w:rPr>
          <w:rFonts w:ascii="Times New Roman" w:hAnsi="Times New Roman"/>
          <w:sz w:val="24"/>
          <w:szCs w:val="24"/>
          <w:lang w:val="lv-LV"/>
        </w:rPr>
      </w:pPr>
      <w:r w:rsidRPr="00B1622C">
        <w:rPr>
          <w:rFonts w:ascii="Times New Roman" w:hAnsi="Times New Roman"/>
          <w:sz w:val="24"/>
          <w:szCs w:val="24"/>
          <w:lang w:val="lv-LV"/>
        </w:rPr>
        <w:t>alternatīvi pieļaut, ka produktu sarakstā tehnoloģisko karšu numuri netiek norādīti obligāti, bet atbilstība tiek pārbaudīta, salīdzinot produktu sarakstu ar iesniegtajām ēdienkartēm un tehnoloģiskajām kartēm.</w:t>
      </w:r>
    </w:p>
    <w:p w:rsidR="001655CC" w:rsidRPr="00B1622C" w:rsidP="00E6605B">
      <w:pPr>
        <w:spacing w:after="120" w:line="240" w:lineRule="auto"/>
        <w:ind w:firstLine="567"/>
        <w:jc w:val="both"/>
        <w:rPr>
          <w:rFonts w:ascii="Times New Roman" w:hAnsi="Times New Roman"/>
          <w:sz w:val="24"/>
          <w:szCs w:val="24"/>
          <w:lang w:val="lv-LV"/>
        </w:rPr>
      </w:pPr>
      <w:r w:rsidRPr="00B1622C">
        <w:rPr>
          <w:rFonts w:ascii="Times New Roman" w:hAnsi="Times New Roman"/>
          <w:sz w:val="24"/>
          <w:szCs w:val="24"/>
          <w:lang w:val="lv-LV"/>
        </w:rPr>
        <w:t xml:space="preserve">Papildus vēršam uzmanību, ka piedāvājumu sagatavošanas termiņš šajā Iepirkumā ir īss. Proti, </w:t>
      </w:r>
      <w:r w:rsidRPr="00B1622C">
        <w:rPr>
          <w:rFonts w:ascii="Times New Roman" w:hAnsi="Times New Roman"/>
          <w:b/>
          <w:bCs/>
          <w:sz w:val="24"/>
          <w:szCs w:val="24"/>
          <w:lang w:val="lv-LV"/>
        </w:rPr>
        <w:t>no kopējām 26 kalendārajām dienām</w:t>
      </w:r>
      <w:r w:rsidRPr="00B1622C">
        <w:rPr>
          <w:rFonts w:ascii="Times New Roman" w:hAnsi="Times New Roman"/>
          <w:sz w:val="24"/>
          <w:szCs w:val="24"/>
          <w:lang w:val="lv-LV"/>
        </w:rPr>
        <w:t xml:space="preserve"> (07.06.2026.- 03.07.2026. (neieskaitot 03.06.2026. darba laiku)) </w:t>
      </w:r>
      <w:r w:rsidRPr="00B1622C">
        <w:rPr>
          <w:rFonts w:ascii="Times New Roman" w:hAnsi="Times New Roman"/>
          <w:b/>
          <w:bCs/>
          <w:sz w:val="24"/>
          <w:szCs w:val="24"/>
          <w:lang w:val="lv-LV"/>
        </w:rPr>
        <w:t>reāli pieejamas ir tikai</w:t>
      </w:r>
      <w:r w:rsidRPr="00B1622C">
        <w:rPr>
          <w:rFonts w:ascii="Times New Roman" w:hAnsi="Times New Roman"/>
          <w:sz w:val="24"/>
          <w:szCs w:val="24"/>
          <w:lang w:val="lv-LV"/>
        </w:rPr>
        <w:t> </w:t>
      </w:r>
      <w:r w:rsidRPr="00B1622C">
        <w:rPr>
          <w:rFonts w:ascii="Times New Roman" w:hAnsi="Times New Roman"/>
          <w:b/>
          <w:bCs/>
          <w:sz w:val="24"/>
          <w:szCs w:val="24"/>
          <w:lang w:val="lv-LV"/>
        </w:rPr>
        <w:t>17 darba dienas</w:t>
      </w:r>
      <w:r w:rsidRPr="00B1622C">
        <w:rPr>
          <w:rFonts w:ascii="Times New Roman" w:hAnsi="Times New Roman"/>
          <w:sz w:val="24"/>
          <w:szCs w:val="24"/>
          <w:lang w:val="lv-LV"/>
        </w:rPr>
        <w:t xml:space="preserve">, ņemot vērā 6 nedēļas nogales, kā arī Līgo dienu (23.06.2026.) un Jāņus (24.06.2026.). </w:t>
      </w:r>
    </w:p>
    <w:p w:rsidR="001655CC" w:rsidRPr="00B1622C" w:rsidP="00E6605B">
      <w:pPr>
        <w:spacing w:after="120" w:line="240" w:lineRule="auto"/>
        <w:ind w:firstLine="567"/>
        <w:jc w:val="both"/>
        <w:rPr>
          <w:rFonts w:ascii="Times New Roman" w:hAnsi="Times New Roman"/>
          <w:sz w:val="24"/>
          <w:szCs w:val="24"/>
          <w:lang w:val="lv-LV"/>
        </w:rPr>
      </w:pPr>
      <w:r w:rsidRPr="00B1622C">
        <w:rPr>
          <w:rFonts w:ascii="Times New Roman" w:hAnsi="Times New Roman"/>
          <w:sz w:val="24"/>
          <w:szCs w:val="24"/>
          <w:lang w:val="lv-LV"/>
        </w:rPr>
        <w:t>Vienlaikus jāņem vērā, ka nolikuma KT1 vērtēšanas kritērijs (maksimāli 45 punkti no 100) ekonomiski stimulē pretendentus iekļaut produktu sarakstā pēc iespējas lielāku skaitu BL, NPKS un LPIA pozīciju – ievērojami virs nolikumā noteiktā minimuma (30 pozīcijas). Tādējādi faktiski iesniedzamo pozīciju skaits, kurām katrai manuāli jānorāda tehnoloģiskās kartes numurs, var sasniegt līdz pat 101 pozīcijai, kas kopā ar vienlaicīgi sagatavojamo ēdienkaršu un tehnoloģisko karšu apjomu rada nesamērīgu administratīvo slogu un var nepamatoti ierobežot konkurenci, liedzot citādi kvalificētiem pretendentiem savlaicīgi sagatavot pilnīgu piedāvājumu.</w:t>
      </w:r>
    </w:p>
    <w:p w:rsidR="001655CC" w:rsidRPr="00B1622C" w:rsidP="00E6605B">
      <w:pPr>
        <w:spacing w:after="120" w:line="240" w:lineRule="auto"/>
        <w:ind w:firstLine="567"/>
        <w:jc w:val="both"/>
        <w:rPr>
          <w:rFonts w:ascii="Times New Roman" w:hAnsi="Times New Roman"/>
          <w:sz w:val="24"/>
          <w:szCs w:val="24"/>
          <w:lang w:val="lv-LV"/>
        </w:rPr>
      </w:pPr>
      <w:r w:rsidRPr="00B1622C">
        <w:rPr>
          <w:rFonts w:ascii="Times New Roman" w:hAnsi="Times New Roman"/>
          <w:sz w:val="24"/>
          <w:szCs w:val="24"/>
          <w:lang w:val="lv-LV"/>
        </w:rPr>
        <w:t xml:space="preserve">Līdz ar to </w:t>
      </w:r>
      <w:r w:rsidRPr="00B1622C">
        <w:rPr>
          <w:rFonts w:ascii="Times New Roman" w:hAnsi="Times New Roman"/>
          <w:b/>
          <w:bCs/>
          <w:sz w:val="24"/>
          <w:szCs w:val="24"/>
          <w:lang w:val="lv-LV"/>
        </w:rPr>
        <w:t>SIA “MARNIKO” lūdz Pasūtītāju pagarināt piedāvājumu iesniegšanas termiņu, tādējādi nodrošinot samērīgu laiku pretendentiem sagatavot kvalitatīvus piedāvājumus.</w:t>
      </w:r>
      <w:r w:rsidRPr="00B1622C">
        <w:rPr>
          <w:rFonts w:ascii="Times New Roman" w:hAnsi="Times New Roman"/>
          <w:sz w:val="24"/>
          <w:szCs w:val="24"/>
          <w:lang w:val="lv-LV"/>
        </w:rPr>
        <w:t xml:space="preserve"> </w:t>
      </w:r>
    </w:p>
    <w:p w:rsidR="001655CC" w:rsidRPr="00B1622C" w:rsidP="00E6605B">
      <w:pPr>
        <w:spacing w:after="120" w:line="240" w:lineRule="auto"/>
        <w:ind w:firstLine="567"/>
        <w:jc w:val="both"/>
        <w:rPr>
          <w:rFonts w:ascii="Times New Roman" w:hAnsi="Times New Roman"/>
          <w:i/>
          <w:iCs/>
          <w:sz w:val="24"/>
          <w:szCs w:val="24"/>
          <w:lang w:val="lv-LV"/>
        </w:rPr>
      </w:pPr>
      <w:r w:rsidRPr="00B1622C">
        <w:rPr>
          <w:rFonts w:ascii="Times New Roman" w:hAnsi="Times New Roman"/>
          <w:i/>
          <w:iCs/>
          <w:sz w:val="24"/>
          <w:szCs w:val="24"/>
          <w:lang w:val="lv-LV"/>
        </w:rPr>
        <w:t xml:space="preserve">Papildus SIA “MARNIKO” informē, ka, ja Iepirkuma komisija nespēs sniegt pamatotu skaidrojumu vai minētie priekšlikumi netiks ņemti vērā, </w:t>
      </w:r>
      <w:r w:rsidRPr="00B1622C">
        <w:rPr>
          <w:rFonts w:ascii="Times New Roman" w:hAnsi="Times New Roman"/>
          <w:b/>
          <w:bCs/>
          <w:i/>
          <w:iCs/>
          <w:sz w:val="24"/>
          <w:szCs w:val="24"/>
          <w:lang w:val="lv-LV"/>
        </w:rPr>
        <w:t>SIA “MARNIKO” izvērtēs iespēju vērsties Iepirkumu uzraudzības birojā ar iesniegumu par Iepirkuma prasību neatbilstību Publisko iepirkumu likuma 2. pantā noteiktajiem principiem</w:t>
      </w:r>
      <w:r w:rsidRPr="00B1622C">
        <w:rPr>
          <w:rFonts w:ascii="Times New Roman" w:hAnsi="Times New Roman"/>
          <w:i/>
          <w:iCs/>
          <w:sz w:val="24"/>
          <w:szCs w:val="24"/>
          <w:lang w:val="lv-LV"/>
        </w:rPr>
        <w:t>. Vēršam uzmanību, ka gadījumā, ja Iepirkums tiks apstrīdēts, pastāv augsta iespējamība, ka šie vērtēšanas kritēriji tiks atzīti par nesamērīgiem, ņemot vērā Konkurences padomes un Iepirkumu uzraudzības biroja praksi, un tirgū faktiski pieejamo sertificēto ražotāju ierobežoto loku.”</w:t>
      </w:r>
    </w:p>
    <w:p w:rsidR="005C1603" w:rsidRPr="00B1622C" w:rsidP="005C1603">
      <w:pPr>
        <w:spacing w:after="0" w:line="240" w:lineRule="auto"/>
        <w:jc w:val="both"/>
        <w:rPr>
          <w:rFonts w:ascii="Times New Roman" w:hAnsi="Times New Roman"/>
          <w:b/>
          <w:iCs/>
          <w:sz w:val="24"/>
          <w:szCs w:val="24"/>
          <w:lang w:val="lv-LV"/>
        </w:rPr>
      </w:pPr>
      <w:r w:rsidRPr="00B1622C">
        <w:rPr>
          <w:rFonts w:ascii="Times New Roman" w:hAnsi="Times New Roman"/>
          <w:b/>
          <w:iCs/>
          <w:sz w:val="24"/>
          <w:szCs w:val="24"/>
          <w:lang w:val="lv-LV"/>
        </w:rPr>
        <w:t>Atbilde Nr. 4:</w:t>
      </w:r>
    </w:p>
    <w:p w:rsidR="005C1603" w:rsidRPr="00B1622C" w:rsidP="005C1603">
      <w:pPr>
        <w:spacing w:after="0" w:line="240" w:lineRule="auto"/>
        <w:jc w:val="both"/>
        <w:rPr>
          <w:rFonts w:ascii="Times New Roman" w:hAnsi="Times New Roman"/>
          <w:iCs/>
          <w:sz w:val="24"/>
          <w:szCs w:val="24"/>
          <w:lang w:val="lv-LV"/>
        </w:rPr>
      </w:pP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paskaidro, ka nolikuma prasība 1.2. pielikuma “Produktu saraksts” 6. kolonnā norādīt ēdienkaršu un tehnoloģisko karšu numurus nav formāla vai nepamatoti administratīva prasība. Tā ir nepieciešama, lai komisija varētu pārbaudīt, vai pretendenta piedāvātie BL, NPKS vai LPIA prasībām atbilstošie produkti faktiski ir saistīti ar pretendenta piedāvāto ēdināšanas pakalpojumu.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 xml:space="preserve">KT1 kritērijā punkti tiek piešķirti tikai par tādiem produktiem, kuri ir norādīti “Produktu sarakstā”, atbilst nolikuma prasībām, tiks izmantoti ēdināšanas pakalpojuma </w:t>
      </w:r>
      <w:r w:rsidRPr="00B1622C">
        <w:rPr>
          <w:rFonts w:ascii="Times New Roman" w:hAnsi="Times New Roman"/>
          <w:iCs/>
          <w:sz w:val="24"/>
          <w:szCs w:val="24"/>
          <w:lang w:val="lv-LV"/>
        </w:rPr>
        <w:t>nodrošināšanā un ir minēti ēdienkartēs un tehnoloģiskajās kartēs. Tādējādi 1.2. pielikuma 6. kolonna nodrošina savstarpēju sasaisti starp Produktu sarakstu, ēdienkartēm un tehnoloģiskajām kartēm, kā arī ļauj komisijai vienveidīgi un objektīvi pārbaudīt pretendenta piedāvājumu.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Bez šādas sasaistes pastāvētu risks, ka BL, NPKS vai LPIA prasībām atbilstoši produkti piedāvājumā tiktu norādīti tikai formāli, bet komisijai būtu apgrūtināta iespēja pārliecināties, vai tie ir iekļauti pretendenta piedāvātajā ēdināšanas pakalpojumā. Komisijas ieskatā šāda prasību pārbaudāmība ir būtiska, lai nodrošinātu vienlīdzīgu attieksmi pret pretendentiem un objektīvu piedāvājumu salīdzināšanu.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neuzskata par pamatotu atcelt vai padarīt fakultatīvu prasību 1.2. pielikuma 6.</w:t>
      </w:r>
      <w:r w:rsidRPr="00B1622C" w:rsidR="001655CC">
        <w:rPr>
          <w:rFonts w:ascii="Times New Roman" w:hAnsi="Times New Roman"/>
          <w:iCs/>
          <w:sz w:val="24"/>
          <w:szCs w:val="24"/>
          <w:lang w:val="lv-LV"/>
        </w:rPr>
        <w:t> </w:t>
      </w:r>
      <w:r w:rsidRPr="00B1622C">
        <w:rPr>
          <w:rFonts w:ascii="Times New Roman" w:hAnsi="Times New Roman"/>
          <w:iCs/>
          <w:sz w:val="24"/>
          <w:szCs w:val="24"/>
          <w:lang w:val="lv-LV"/>
        </w:rPr>
        <w:t>kolonnā norādīt ēdienkaršu un tehnoloģisko karšu numurus, jo šādas prasības atcelšana samazinātu piedāvājumu pārbaudāmību, palielinātu subjektīvas interpretācijas risku un apgrūtinātu vienlīdzīgu piedāvājumu salīdzināšanu.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Attiecībā uz piedāvājumu iesniegšanas termiņu komisija norāda, ka iepirkuma priekšmets ir apjomīgs un sarežģīts, tomēr iepirkuma dokumentācijā noteiktās prasības ir tieši saistītas ar pasūtītāja vajadzību saņemt kvalitatīvu, pārbaudāmu un normatīvajām prasībām atbilstošu ēdināšanas pakalpojumu valsts sociālās aprūpes centra klientiem.</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Prasība sagatavot ēdienkartes, tehnoloģiskās kartes un Produktu sarakstu nav pašmērķīga. Tā nodrošina iespēju komisijai pārbaudīt piedāvājuma atbilstību nolikumam, pārliecināties par piedāvāto produktu sasaisti ar ēdināšanas pakalpojuma saturu un objektīvi piemērot KT1 kritēriju.</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Vienlaikus komisija norāda, ka pretendentam nav pienākuma aizpildīt visas “Pamatproduktu saraksta” pozīcijas. Minimālais pozīciju skaits ir 30, savukārt papildu pozīciju piedāvāšana ir paša pretendenta izvēle, lai iegūtu augstāku vērtējumu KT1 kritērijā. Tādēļ dokumentu sagatavošanas apjoms lielā mērā ir atkarīgs no paša pretendenta izvēlētā piedāvājuma satura un tā stratēģijas piedāvājumu vērtēšanas kritēriju ietvaros.</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arī norāda, ka pirms iepirkuma izsludināšanas tika rīkotas divas apspriedes ar piegādātājiem. To laikā potenciālajiem piegādātājiem bija iespēja iepazīties ar plānotajām prasībām, sniegt komentārus un priekšlikumus, kā arī savlaicīgi gatavoties piedāvājuma sagatavošanai. Pēc atkārtotās apspriedes pasūtītājs secināja, ka precizētā nolikuma projekta redakcija ir pietiekami skaidra, pārbaudāma atbilstoši nolikumā noteiktajai kārtībai un samērīga, kā arī nodrošina vienlīdzīgu attieksmi pret visiem potenciālajiem pretendentiem.</w:t>
      </w:r>
    </w:p>
    <w:p w:rsidR="005C084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izvērtējot iespējamā piegādātāja norādītos argumentus, neuzskata par pamatotu grozīt 1.2. pielikuma “Produktu saraksts” 6. kolonnas aizpildīšanas prasības, jo minētā prasība ir nepieciešama piedāvājumu pārbaudāmības un salīdzināmības nodrošināšanai.</w:t>
      </w:r>
    </w:p>
    <w:p w:rsidR="005C084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Vienlaikus, ņemot vērā komisijas lēmumu veikt iepirkuma dokumentācijas grozījumus, svītrojot KT3 “Sociālais kritērijs” un pārdalot tam paredzētos punktus, tiks sagatavoti un publicēti iepirkuma dokumentācijas grozījumi, kā arī pagarināts piedāvājumu iesniegšanas termiņš.</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Komisijas secinājums:</w:t>
      </w:r>
    </w:p>
    <w:p w:rsidR="005C084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Izvērtējot iespējamā piegādātāja 2026. gada 17. jūnija vēstulē norādītos argumentus, pievienoto Konkurences padomes dokumentu, iepirkuma dokumentācijas prasības, IUB praksē paustās atziņas un iepriekš veikto piegādātāju apspriežu rezultātus, komisija secina, ka iepirkuma nolikuma prasības kopumā ir saistītas ar iepirkuma priekšmetu, ir pārbaudāmas atbilstoši nolikumā noteiktajai kārtībai un vienādi piemērojamas visiem pretendentiem.</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norāda, ka vēstulē norādītie Konkurences padomes apsvērumi un IUB praksē identificētie riski nav ignorēti, bet ir izvērtēti konkrētā iepirkuma nolikuma regulējuma kontekstā. Komisijas ieskatā šajā iepirkumā nav konstatējams, ka iepirkuma iznākums būtu atkarīgs no specifiska sertifikāta atsevišķam produktam, no formāla ražotāju skaita vai no viena konkrēta ražotāja pieejamības, jo nolikums paredz alternatīvus atbilstības veidus, minimālo pozīciju slieksni, iespēju dzēst nepiedāvātās pozīcijas, produkta identificēšanu un piedāvāto produktu sasaisti ar ēdienkartēm un tehnoloģiskajām kartēm.</w:t>
      </w:r>
    </w:p>
    <w:p w:rsidR="005C160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Komisija neuzskata par pamatotu:</w:t>
      </w:r>
    </w:p>
    <w:p w:rsidR="005C1603" w:rsidRPr="00B1622C" w:rsidP="00F51C1D">
      <w:pPr>
        <w:pStyle w:val="ListParagraph"/>
        <w:numPr>
          <w:ilvl w:val="0"/>
          <w:numId w:val="7"/>
        </w:numPr>
        <w:spacing w:after="120"/>
        <w:jc w:val="both"/>
        <w:rPr>
          <w:iCs/>
          <w:lang w:val="lv-LV"/>
        </w:rPr>
      </w:pPr>
      <w:r w:rsidRPr="00B1622C">
        <w:rPr>
          <w:iCs/>
          <w:lang w:val="lv-LV"/>
        </w:rPr>
        <w:t>svītrot vai grozīt 1.2. pielikuma “Produktu saraksts” pozīcijas Nr. 35 “Zivis (jebkāds veids)” un Nr. 36 “Zivju un jūras velšu produkti”;</w:t>
      </w:r>
    </w:p>
    <w:p w:rsidR="005C1603" w:rsidRPr="00B1622C" w:rsidP="00F51C1D">
      <w:pPr>
        <w:pStyle w:val="ListParagraph"/>
        <w:numPr>
          <w:ilvl w:val="0"/>
          <w:numId w:val="7"/>
        </w:numPr>
        <w:spacing w:after="120"/>
        <w:jc w:val="both"/>
        <w:rPr>
          <w:iCs/>
          <w:lang w:val="lv-LV"/>
        </w:rPr>
      </w:pPr>
      <w:r w:rsidRPr="00B1622C">
        <w:rPr>
          <w:iCs/>
          <w:lang w:val="lv-LV"/>
        </w:rPr>
        <w:t>grozīt 1.2. pielikuma “Produktu saraksts” 6. kolonnas aizpildīšanas prasības;</w:t>
      </w:r>
    </w:p>
    <w:p w:rsidR="005C1603" w:rsidRPr="00B1622C" w:rsidP="00F51C1D">
      <w:pPr>
        <w:pStyle w:val="ListParagraph"/>
        <w:numPr>
          <w:ilvl w:val="0"/>
          <w:numId w:val="7"/>
        </w:numPr>
        <w:spacing w:after="120"/>
        <w:jc w:val="both"/>
        <w:rPr>
          <w:iCs/>
          <w:lang w:val="lv-LV"/>
        </w:rPr>
      </w:pPr>
      <w:r w:rsidRPr="00B1622C">
        <w:rPr>
          <w:iCs/>
          <w:lang w:val="lv-LV"/>
        </w:rPr>
        <w:t>pagarināt ražotāju vai piegādātāju apliecinājumu izdošanas termiņu no 12 mēnešiem uz 36 mēnešiem</w:t>
      </w:r>
      <w:r w:rsidRPr="00B1622C" w:rsidR="00F51C1D">
        <w:rPr>
          <w:iCs/>
          <w:lang w:val="lv-LV"/>
        </w:rPr>
        <w:t>.</w:t>
      </w:r>
    </w:p>
    <w:p w:rsidR="00F51C1D"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Vienlaikus, izvērtējot iespējamā piegādātāja norādītos argumentus par KT3 “Sociālais kritērijs” un lai mazinātu iepirkuma dokumentācijas apstrīdēšanas risku, komisija nolēma veikt iepirkuma dokumentācijas grozījumus, svītrojot KT3 sociālo kritēriju un tam paredzētos 5 punktus pārdalot cenas kritērijam.</w:t>
      </w:r>
    </w:p>
    <w:p w:rsidR="00F51C1D"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Pēc grozījumu veikšanas saimnieciski visizdevīgākā piedāvājuma vērtēšanas kritēriju punktu sadalījums būs šāds:</w:t>
      </w:r>
    </w:p>
    <w:p w:rsidR="00F51C1D" w:rsidRPr="00B1622C" w:rsidP="00F51C1D">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KF cena — 50 punkti;</w:t>
      </w:r>
    </w:p>
    <w:p w:rsidR="00F51C1D" w:rsidRPr="00B1622C" w:rsidP="00F51C1D">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KT1 pārtikas produktu kvalitāte — 45 punkti;</w:t>
      </w:r>
    </w:p>
    <w:p w:rsidR="00F51C1D" w:rsidRPr="00B1622C" w:rsidP="00F51C1D">
      <w:pPr>
        <w:spacing w:after="120" w:line="240" w:lineRule="auto"/>
        <w:jc w:val="both"/>
        <w:rPr>
          <w:rFonts w:ascii="Times New Roman" w:hAnsi="Times New Roman"/>
          <w:iCs/>
          <w:sz w:val="24"/>
          <w:szCs w:val="24"/>
          <w:lang w:val="lv-LV"/>
        </w:rPr>
      </w:pPr>
      <w:r w:rsidRPr="00B1622C">
        <w:rPr>
          <w:rFonts w:ascii="Times New Roman" w:hAnsi="Times New Roman"/>
          <w:iCs/>
          <w:sz w:val="24"/>
          <w:szCs w:val="24"/>
          <w:lang w:val="lv-LV"/>
        </w:rPr>
        <w:t>KT2 transportlīdzekļu atbilstība vides prasībām — 5 punkti.</w:t>
      </w:r>
    </w:p>
    <w:p w:rsidR="00421F23" w:rsidRPr="00B1622C" w:rsidP="00E6605B">
      <w:pPr>
        <w:spacing w:after="120" w:line="240" w:lineRule="auto"/>
        <w:ind w:firstLine="720"/>
        <w:jc w:val="both"/>
        <w:rPr>
          <w:rFonts w:ascii="Times New Roman" w:hAnsi="Times New Roman"/>
          <w:iCs/>
          <w:sz w:val="24"/>
          <w:szCs w:val="24"/>
          <w:lang w:val="lv-LV"/>
        </w:rPr>
      </w:pPr>
      <w:r w:rsidRPr="00B1622C">
        <w:rPr>
          <w:rFonts w:ascii="Times New Roman" w:hAnsi="Times New Roman"/>
          <w:iCs/>
          <w:sz w:val="24"/>
          <w:szCs w:val="24"/>
          <w:lang w:val="lv-LV"/>
        </w:rPr>
        <w:t>Ņemot vērā komisijas lēmumu veikt iepirkuma dokumentācijas grozījumus, attiecīgie grozījumi tiks sagatavoti un publicēti Elektronisko iepirkumu sistēmā, kā arī tiks pagarināts piedāvājumu iesniegšanas termiņš.</w:t>
      </w:r>
    </w:p>
    <w:p w:rsidR="00F51C1D" w:rsidRPr="00B1622C" w:rsidP="00F51C1D">
      <w:pPr>
        <w:spacing w:after="0" w:line="240" w:lineRule="auto"/>
        <w:jc w:val="both"/>
        <w:rPr>
          <w:rFonts w:ascii="Times New Roman" w:hAnsi="Times New Roman"/>
          <w:iCs/>
          <w:sz w:val="24"/>
          <w:szCs w:val="24"/>
          <w:lang w:val="lv-LV"/>
        </w:rPr>
      </w:pPr>
    </w:p>
    <w:p w:rsidR="00F51C1D" w:rsidRPr="00B1622C" w:rsidP="00F51C1D">
      <w:pPr>
        <w:spacing w:after="0" w:line="240" w:lineRule="auto"/>
        <w:jc w:val="both"/>
        <w:rPr>
          <w:rFonts w:ascii="Times New Roman" w:hAnsi="Times New Roman"/>
          <w:iCs/>
          <w:sz w:val="24"/>
          <w:szCs w:val="24"/>
          <w:lang w:val="lv-LV"/>
        </w:rPr>
      </w:pPr>
    </w:p>
    <w:p w:rsidR="00812E9A" w:rsidRPr="00B1622C" w:rsidP="00812E9A">
      <w:pPr>
        <w:spacing w:after="0" w:line="240" w:lineRule="auto"/>
        <w:jc w:val="both"/>
        <w:rPr>
          <w:rFonts w:ascii="Times New Roman" w:hAnsi="Times New Roman"/>
          <w:iCs/>
          <w:sz w:val="24"/>
          <w:szCs w:val="24"/>
          <w:lang w:val="lv-LV"/>
        </w:rPr>
      </w:pPr>
      <w:r w:rsidRPr="00B1622C">
        <w:rPr>
          <w:rFonts w:ascii="Times New Roman" w:hAnsi="Times New Roman"/>
          <w:iCs/>
          <w:sz w:val="24"/>
          <w:szCs w:val="24"/>
          <w:lang w:val="lv-LV"/>
        </w:rPr>
        <w:t>Iepirkuma komisijas priekšsēdētāja</w:t>
      </w:r>
      <w:r w:rsidRPr="00B1622C">
        <w:rPr>
          <w:rFonts w:ascii="Times New Roman" w:hAnsi="Times New Roman"/>
          <w:iCs/>
          <w:sz w:val="24"/>
          <w:szCs w:val="24"/>
          <w:lang w:val="lv-LV"/>
        </w:rPr>
        <w:tab/>
      </w:r>
      <w:r w:rsidRPr="00B1622C">
        <w:rPr>
          <w:rFonts w:ascii="Times New Roman" w:hAnsi="Times New Roman"/>
          <w:i/>
          <w:sz w:val="24"/>
          <w:szCs w:val="24"/>
          <w:lang w:val="lv-LV"/>
        </w:rPr>
        <w:tab/>
      </w:r>
      <w:r w:rsidRPr="00B1622C">
        <w:rPr>
          <w:rFonts w:ascii="Times New Roman" w:hAnsi="Times New Roman"/>
          <w:i/>
          <w:sz w:val="24"/>
          <w:szCs w:val="24"/>
          <w:lang w:val="lv-LV"/>
        </w:rPr>
        <w:tab/>
      </w:r>
      <w:r w:rsidRPr="00B1622C">
        <w:rPr>
          <w:rFonts w:ascii="Times New Roman" w:hAnsi="Times New Roman"/>
          <w:i/>
          <w:sz w:val="24"/>
          <w:szCs w:val="24"/>
          <w:lang w:val="lv-LV"/>
        </w:rPr>
        <w:tab/>
      </w:r>
    </w:p>
    <w:tbl>
      <w:tblPr>
        <w:tblW w:w="6096" w:type="dxa"/>
        <w:tblInd w:w="2268" w:type="dxa"/>
        <w:tblLook w:val="04A0"/>
      </w:tblPr>
      <w:tblGrid>
        <w:gridCol w:w="6096"/>
      </w:tblGrid>
      <w:tr w:rsidTr="002D4009">
        <w:tblPrEx>
          <w:tblW w:w="6096" w:type="dxa"/>
          <w:tblInd w:w="2268" w:type="dxa"/>
          <w:tblLook w:val="04A0"/>
        </w:tblPrEx>
        <w:tc>
          <w:tcPr>
            <w:tcW w:w="6096" w:type="dxa"/>
            <w:shd w:val="clear" w:color="auto" w:fill="auto"/>
          </w:tcPr>
          <w:p w:rsidR="00812E9A" w:rsidRPr="00B1622C" w:rsidP="002D4009">
            <w:pPr>
              <w:widowControl/>
              <w:spacing w:after="0" w:line="240" w:lineRule="auto"/>
              <w:jc w:val="right"/>
              <w:rPr>
                <w:rFonts w:ascii="Times New Roman" w:eastAsia="Times New Roman" w:hAnsi="Times New Roman"/>
                <w:sz w:val="24"/>
                <w:szCs w:val="24"/>
                <w:lang w:val="lv-LV" w:eastAsia="lv-LV"/>
              </w:rPr>
            </w:pPr>
            <w:r w:rsidRPr="00B1622C">
              <w:rPr>
                <w:rFonts w:ascii="Times New Roman" w:eastAsia="Times New Roman" w:hAnsi="Times New Roman"/>
                <w:sz w:val="24"/>
                <w:szCs w:val="24"/>
                <w:lang w:val="lv-LV" w:eastAsia="lv-LV"/>
              </w:rPr>
              <w:t xml:space="preserve">                                </w:t>
            </w:r>
            <w:r w:rsidRPr="00B1622C">
              <w:rPr>
                <w:rFonts w:ascii="Times New Roman" w:eastAsia="Times New Roman" w:hAnsi="Times New Roman"/>
                <w:sz w:val="24"/>
                <w:szCs w:val="24"/>
                <w:lang w:val="lv-LV" w:eastAsia="lv-LV"/>
              </w:rPr>
              <w:t>L.Romaņenko</w:t>
            </w:r>
          </w:p>
        </w:tc>
      </w:tr>
    </w:tbl>
    <w:p w:rsidR="00812E9A" w:rsidRPr="00B1622C" w:rsidP="00812E9A">
      <w:pPr>
        <w:widowControl/>
        <w:spacing w:after="0" w:line="240" w:lineRule="auto"/>
        <w:jc w:val="both"/>
        <w:rPr>
          <w:rFonts w:ascii="Times New Roman" w:eastAsia="Times New Roman" w:hAnsi="Times New Roman"/>
          <w:sz w:val="20"/>
          <w:szCs w:val="20"/>
          <w:lang w:val="lv-LV" w:eastAsia="lv-LV"/>
        </w:rPr>
      </w:pPr>
      <w:r w:rsidRPr="00B1622C">
        <w:rPr>
          <w:rFonts w:ascii="Times New Roman" w:eastAsia="Times New Roman" w:hAnsi="Times New Roman"/>
          <w:sz w:val="20"/>
          <w:szCs w:val="20"/>
          <w:lang w:val="lv-LV" w:eastAsia="lv-LV"/>
        </w:rPr>
        <w:t xml:space="preserve">Romaņenko </w:t>
      </w:r>
      <w:r w:rsidR="00586D02">
        <w:rPr>
          <w:rFonts w:ascii="Times New Roman" w:eastAsia="Times New Roman" w:hAnsi="Times New Roman"/>
          <w:sz w:val="20"/>
          <w:szCs w:val="20"/>
          <w:lang w:val="lv-LV" w:eastAsia="lv-LV"/>
        </w:rPr>
        <w:t>28367094</w:t>
      </w:r>
      <w:bookmarkStart w:id="3" w:name="_GoBack"/>
      <w:bookmarkEnd w:id="3"/>
    </w:p>
    <w:p w:rsidR="00812E9A" w:rsidRPr="00B1622C" w:rsidP="00812E9A">
      <w:pPr>
        <w:widowControl/>
        <w:spacing w:after="0" w:line="240" w:lineRule="auto"/>
        <w:jc w:val="both"/>
        <w:rPr>
          <w:rFonts w:ascii="Times New Roman" w:eastAsia="Times New Roman" w:hAnsi="Times New Roman"/>
          <w:sz w:val="20"/>
          <w:szCs w:val="20"/>
          <w:lang w:val="lv-LV" w:eastAsia="lv-LV"/>
        </w:rPr>
      </w:pPr>
      <w:r w:rsidRPr="00B1622C">
        <w:rPr>
          <w:rFonts w:ascii="Times New Roman" w:eastAsia="Times New Roman" w:hAnsi="Times New Roman"/>
          <w:sz w:val="20"/>
          <w:szCs w:val="20"/>
          <w:lang w:val="lv-LV" w:eastAsia="lv-LV"/>
        </w:rPr>
        <w:t>Lolita.Romanenko@vsaczemgale.gov.lv</w:t>
      </w:r>
    </w:p>
    <w:p w:rsidR="003D12EF" w:rsidRPr="00B1622C">
      <w:pPr>
        <w:rPr>
          <w:lang w:val="lv-LV"/>
        </w:rPr>
      </w:pPr>
    </w:p>
    <w:sectPr w:rsidSect="002740B9">
      <w:footerReference w:type="default" r:id="rId5"/>
      <w:footerReference w:type="first" r:id="rId6"/>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2564340"/>
      <w:docPartObj>
        <w:docPartGallery w:val="Page Numbers (Bottom of Page)"/>
        <w:docPartUnique/>
      </w:docPartObj>
    </w:sdtPr>
    <w:sdtEndPr>
      <w:rPr>
        <w:rFonts w:ascii="Times New Roman" w:hAnsi="Times New Roman"/>
        <w:sz w:val="24"/>
        <w:szCs w:val="24"/>
      </w:rPr>
    </w:sdtEndPr>
    <w:sdtContent>
      <w:p w:rsidR="00C1613E" w:rsidRPr="00B1622C">
        <w:pPr>
          <w:pStyle w:val="Footer"/>
          <w:jc w:val="center"/>
          <w:rPr>
            <w:rFonts w:ascii="Times New Roman" w:hAnsi="Times New Roman"/>
            <w:sz w:val="24"/>
            <w:szCs w:val="24"/>
          </w:rPr>
        </w:pPr>
        <w:r w:rsidRPr="00B1622C">
          <w:rPr>
            <w:rFonts w:ascii="Times New Roman" w:hAnsi="Times New Roman"/>
            <w:sz w:val="24"/>
            <w:szCs w:val="24"/>
          </w:rPr>
          <w:fldChar w:fldCharType="begin"/>
        </w:r>
        <w:r w:rsidRPr="00B1622C">
          <w:rPr>
            <w:rFonts w:ascii="Times New Roman" w:hAnsi="Times New Roman"/>
            <w:sz w:val="24"/>
            <w:szCs w:val="24"/>
          </w:rPr>
          <w:instrText>PAGE   \* MERGEFORMAT</w:instrText>
        </w:r>
        <w:r w:rsidRPr="00B1622C">
          <w:rPr>
            <w:rFonts w:ascii="Times New Roman" w:hAnsi="Times New Roman"/>
            <w:sz w:val="24"/>
            <w:szCs w:val="24"/>
          </w:rPr>
          <w:fldChar w:fldCharType="separate"/>
        </w:r>
        <w:r w:rsidRPr="00B1622C">
          <w:rPr>
            <w:rFonts w:ascii="Times New Roman" w:hAnsi="Times New Roman"/>
            <w:sz w:val="24"/>
            <w:szCs w:val="24"/>
            <w:lang w:val="lv-LV"/>
          </w:rPr>
          <w:t>2</w:t>
        </w:r>
        <w:r w:rsidRPr="00B1622C">
          <w:rPr>
            <w:rFonts w:ascii="Times New Roman" w:hAnsi="Times New Roman"/>
            <w:sz w:val="24"/>
            <w:szCs w:val="24"/>
          </w:rPr>
          <w:fldChar w:fldCharType="end"/>
        </w:r>
      </w:p>
    </w:sdtContent>
  </w:sdt>
  <w:p w:rsidR="00C1613E">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4F608F"/>
    <w:multiLevelType w:val="hybridMultilevel"/>
    <w:tmpl w:val="2DDA8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8879B7"/>
    <w:multiLevelType w:val="hybridMultilevel"/>
    <w:tmpl w:val="CB9487A8"/>
    <w:lvl w:ilvl="0">
      <w:start w:val="1"/>
      <w:numFmt w:val="bullet"/>
      <w:lvlText w:val=""/>
      <w:lvlJc w:val="left"/>
      <w:pPr>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0AA468F"/>
    <w:multiLevelType w:val="hybridMultilevel"/>
    <w:tmpl w:val="25E04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4122F9"/>
    <w:multiLevelType w:val="hybridMultilevel"/>
    <w:tmpl w:val="B914ADA4"/>
    <w:lvl w:ilvl="0">
      <w:start w:val="1"/>
      <w:numFmt w:val="decimal"/>
      <w:lvlText w:val="%1)"/>
      <w:lvlJc w:val="left"/>
      <w:pPr>
        <w:ind w:left="783"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A87CED"/>
    <w:multiLevelType w:val="multilevel"/>
    <w:tmpl w:val="E52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B4B03"/>
    <w:multiLevelType w:val="hybridMultilevel"/>
    <w:tmpl w:val="B914ADA4"/>
    <w:lvl w:ilvl="0">
      <w:start w:val="1"/>
      <w:numFmt w:val="decimal"/>
      <w:lvlText w:val="%1)"/>
      <w:lvlJc w:val="left"/>
      <w:pPr>
        <w:ind w:left="783"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B60D26"/>
    <w:multiLevelType w:val="hybridMultilevel"/>
    <w:tmpl w:val="20C0E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9C2EB9"/>
    <w:multiLevelType w:val="hybridMultilevel"/>
    <w:tmpl w:val="270AF4DE"/>
    <w:lvl w:ilvl="0">
      <w:start w:val="1"/>
      <w:numFmt w:val="decimal"/>
      <w:lvlText w:val="%1)"/>
      <w:lvlJc w:val="left"/>
      <w:pPr>
        <w:ind w:left="783" w:hanging="360"/>
      </w:pPr>
      <w:rPr>
        <w:b/>
        <w:bCs/>
      </w:r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8">
    <w:nsid w:val="7E1844D2"/>
    <w:multiLevelType w:val="hybridMultilevel"/>
    <w:tmpl w:val="F6AE2FA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3"/>
  </w:num>
  <w:num w:numId="5">
    <w:abstractNumId w:val="2"/>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69"/>
    <w:rsid w:val="00017AD3"/>
    <w:rsid w:val="000A0C89"/>
    <w:rsid w:val="001143B9"/>
    <w:rsid w:val="0012093C"/>
    <w:rsid w:val="001556F1"/>
    <w:rsid w:val="001655CC"/>
    <w:rsid w:val="001D3B0A"/>
    <w:rsid w:val="00265FFC"/>
    <w:rsid w:val="002740B9"/>
    <w:rsid w:val="002823E6"/>
    <w:rsid w:val="002C44CB"/>
    <w:rsid w:val="002D4009"/>
    <w:rsid w:val="00324169"/>
    <w:rsid w:val="003755C1"/>
    <w:rsid w:val="003D12EF"/>
    <w:rsid w:val="00421F23"/>
    <w:rsid w:val="00545225"/>
    <w:rsid w:val="005636EB"/>
    <w:rsid w:val="00586D02"/>
    <w:rsid w:val="005C0843"/>
    <w:rsid w:val="005C1603"/>
    <w:rsid w:val="005D77CD"/>
    <w:rsid w:val="00617391"/>
    <w:rsid w:val="0066048E"/>
    <w:rsid w:val="0076002E"/>
    <w:rsid w:val="00812E9A"/>
    <w:rsid w:val="008843C7"/>
    <w:rsid w:val="008D712C"/>
    <w:rsid w:val="0097466A"/>
    <w:rsid w:val="00990BD3"/>
    <w:rsid w:val="009A1DE0"/>
    <w:rsid w:val="009D59F3"/>
    <w:rsid w:val="00A61C68"/>
    <w:rsid w:val="00A734B7"/>
    <w:rsid w:val="00AB0E46"/>
    <w:rsid w:val="00B1622C"/>
    <w:rsid w:val="00C1613E"/>
    <w:rsid w:val="00C20F77"/>
    <w:rsid w:val="00CA14DF"/>
    <w:rsid w:val="00CB4BBC"/>
    <w:rsid w:val="00CD3DA4"/>
    <w:rsid w:val="00D473E1"/>
    <w:rsid w:val="00E0495B"/>
    <w:rsid w:val="00E45496"/>
    <w:rsid w:val="00E6605B"/>
    <w:rsid w:val="00E833E1"/>
    <w:rsid w:val="00F24D2E"/>
    <w:rsid w:val="00F51C1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9DB77C6"/>
  <w15:chartTrackingRefBased/>
  <w15:docId w15:val="{6C421FD9-C255-4744-8252-0AF99B5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E9A"/>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E9A"/>
    <w:pPr>
      <w:widowControl w:val="0"/>
      <w:spacing w:after="0" w:line="240" w:lineRule="auto"/>
    </w:pPr>
    <w:rPr>
      <w:rFonts w:ascii="Calibri" w:eastAsia="Calibri" w:hAnsi="Calibri" w:cs="Times New Roman"/>
      <w:lang w:val="en-US"/>
    </w:rPr>
  </w:style>
  <w:style w:type="paragraph" w:styleId="ListParagraph">
    <w:name w:val="List Paragraph"/>
    <w:aliases w:val="Virsraksti,Syle 1,Normal bullet 2,Bullet list,Strip,H&amp;P List Paragraph,Saistīto dokumentu saraksts,Numurets,2,List Paragraph1,Numbered Para 1,Dot pt,No Spacing1,List Paragraph Char Char Char,Indicator Text,Bullet Points,MAIN CONTENT"/>
    <w:link w:val="SarakstarindkopaRakstz"/>
    <w:uiPriority w:val="34"/>
    <w:qFormat/>
    <w:rsid w:val="005C1603"/>
    <w:pPr>
      <w:spacing w:after="0" w:line="240" w:lineRule="auto"/>
    </w:pPr>
    <w:rPr>
      <w:rFonts w:ascii="Times New Roman" w:eastAsia="Times New Roman" w:hAnsi="Times New Roman" w:cs="Times New Roman"/>
      <w:sz w:val="24"/>
      <w:szCs w:val="24"/>
      <w:lang w:val="en-GB" w:eastAsia="en-GB"/>
    </w:rPr>
  </w:style>
  <w:style w:type="character" w:customStyle="1" w:styleId="SarakstarindkopaRakstz">
    <w:name w:val="Saraksta rindkopa Rakstz."/>
    <w:aliases w:val="Virsraksti Rakstz.,Syle 1 Rakstz.,Normal bullet 2 Rakstz.,Bullet list Rakstz.,Strip Rakstz.,H&amp;P List Paragraph Rakstz.,Saistīto dokumentu saraksts Rakstz.,Numurets Rakstz.,2 Rakstz.,List Paragraph1 Rakstz.,Dot pt Rakstz."/>
    <w:link w:val="ListParagraph"/>
    <w:uiPriority w:val="34"/>
    <w:qFormat/>
    <w:rsid w:val="005C1603"/>
    <w:rPr>
      <w:rFonts w:ascii="Times New Roman" w:eastAsia="Times New Roman" w:hAnsi="Times New Roman" w:cs="Times New Roman"/>
      <w:sz w:val="24"/>
      <w:szCs w:val="24"/>
      <w:lang w:val="en-GB" w:eastAsia="en-GB"/>
    </w:rPr>
  </w:style>
  <w:style w:type="paragraph" w:customStyle="1" w:styleId="isselectedend">
    <w:name w:val="isselectedend"/>
    <w:basedOn w:val="Normal"/>
    <w:rsid w:val="001D3B0A"/>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semiHidden/>
    <w:unhideWhenUsed/>
    <w:rsid w:val="001D3B0A"/>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alloonText">
    <w:name w:val="Balloon Text"/>
    <w:basedOn w:val="Normal"/>
    <w:link w:val="BalontekstsRakstz"/>
    <w:uiPriority w:val="99"/>
    <w:semiHidden/>
    <w:unhideWhenUsed/>
    <w:rsid w:val="001D3B0A"/>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1D3B0A"/>
    <w:rPr>
      <w:rFonts w:ascii="Segoe UI" w:eastAsia="Calibri" w:hAnsi="Segoe UI" w:cs="Segoe UI"/>
      <w:sz w:val="18"/>
      <w:szCs w:val="18"/>
      <w:lang w:val="en-US"/>
    </w:rPr>
  </w:style>
  <w:style w:type="paragraph" w:styleId="Header">
    <w:name w:val="header"/>
    <w:basedOn w:val="Normal"/>
    <w:link w:val="GalveneRakstz"/>
    <w:uiPriority w:val="99"/>
    <w:unhideWhenUsed/>
    <w:rsid w:val="00C1613E"/>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1613E"/>
    <w:rPr>
      <w:rFonts w:ascii="Calibri" w:eastAsia="Calibri" w:hAnsi="Calibri" w:cs="Times New Roman"/>
      <w:lang w:val="en-US"/>
    </w:rPr>
  </w:style>
  <w:style w:type="paragraph" w:styleId="Footer">
    <w:name w:val="footer"/>
    <w:basedOn w:val="Normal"/>
    <w:link w:val="KjeneRakstz"/>
    <w:uiPriority w:val="99"/>
    <w:unhideWhenUsed/>
    <w:rsid w:val="00C1613E"/>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1613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982C-CBF3-41B2-8504-EDF91EDA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21842</Words>
  <Characters>12450</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VSAC Zemgale</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 Romanenko</dc:creator>
  <cp:lastModifiedBy>Rita Strode</cp:lastModifiedBy>
  <cp:revision>5</cp:revision>
  <dcterms:created xsi:type="dcterms:W3CDTF">2026-06-22T09:26:00Z</dcterms:created>
  <dcterms:modified xsi:type="dcterms:W3CDTF">2026-06-25T12:05:00Z</dcterms:modified>
</cp:coreProperties>
</file>