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22A2" w14:textId="4E1A28A2" w:rsidR="00915B2C" w:rsidRPr="00915B2C" w:rsidRDefault="00915B2C" w:rsidP="00915B2C">
      <w:pPr>
        <w:spacing w:after="0" w:line="240" w:lineRule="auto"/>
        <w:ind w:right="-1"/>
        <w:jc w:val="right"/>
        <w:rPr>
          <w:rFonts w:ascii="Times New Roman" w:hAnsi="Times New Roman"/>
          <w:b/>
          <w:bCs/>
          <w:sz w:val="20"/>
          <w:szCs w:val="20"/>
        </w:rPr>
      </w:pPr>
      <w:r w:rsidRPr="00915B2C">
        <w:rPr>
          <w:rFonts w:ascii="Times New Roman" w:hAnsi="Times New Roman"/>
          <w:b/>
          <w:bCs/>
          <w:sz w:val="20"/>
          <w:szCs w:val="20"/>
        </w:rPr>
        <w:t>1.</w:t>
      </w:r>
      <w:r w:rsidR="002F53A8">
        <w:rPr>
          <w:rFonts w:ascii="Times New Roman" w:hAnsi="Times New Roman"/>
          <w:b/>
          <w:bCs/>
          <w:sz w:val="20"/>
          <w:szCs w:val="20"/>
        </w:rPr>
        <w:t xml:space="preserve"> </w:t>
      </w:r>
      <w:r w:rsidRPr="00915B2C">
        <w:rPr>
          <w:rFonts w:ascii="Times New Roman" w:hAnsi="Times New Roman"/>
          <w:b/>
          <w:bCs/>
          <w:sz w:val="20"/>
          <w:szCs w:val="20"/>
        </w:rPr>
        <w:t>pielikums</w:t>
      </w:r>
    </w:p>
    <w:p w14:paraId="3F2D82A4" w14:textId="224D0A8D" w:rsidR="00915B2C" w:rsidRPr="00B27545" w:rsidRDefault="00915B2C" w:rsidP="00915B2C">
      <w:pPr>
        <w:spacing w:after="0" w:line="240" w:lineRule="auto"/>
        <w:ind w:right="-1"/>
        <w:jc w:val="right"/>
        <w:rPr>
          <w:rFonts w:ascii="Times New Roman" w:hAnsi="Times New Roman" w:cs="Times New Roman"/>
          <w:sz w:val="20"/>
          <w:szCs w:val="20"/>
        </w:rPr>
      </w:pPr>
      <w:r w:rsidRPr="00207352">
        <w:rPr>
          <w:rFonts w:ascii="Times New Roman" w:hAnsi="Times New Roman"/>
          <w:sz w:val="20"/>
          <w:szCs w:val="20"/>
        </w:rPr>
        <w:t>(</w:t>
      </w:r>
      <w:r w:rsidR="009516D2">
        <w:rPr>
          <w:rFonts w:ascii="Times New Roman" w:hAnsi="Times New Roman" w:cs="Times New Roman"/>
          <w:sz w:val="20"/>
          <w:szCs w:val="20"/>
        </w:rPr>
        <w:t>08.07</w:t>
      </w:r>
      <w:r w:rsidR="0038485B">
        <w:rPr>
          <w:rFonts w:ascii="Times New Roman" w:hAnsi="Times New Roman" w:cs="Times New Roman"/>
          <w:sz w:val="20"/>
          <w:szCs w:val="20"/>
        </w:rPr>
        <w:t>.</w:t>
      </w:r>
      <w:r w:rsidR="00687B8A" w:rsidRPr="00207352">
        <w:rPr>
          <w:rFonts w:ascii="Times New Roman" w:hAnsi="Times New Roman" w:cs="Times New Roman"/>
          <w:sz w:val="20"/>
          <w:szCs w:val="20"/>
        </w:rPr>
        <w:t>2026</w:t>
      </w:r>
      <w:r w:rsidRPr="00207352">
        <w:rPr>
          <w:rFonts w:ascii="Times New Roman" w:hAnsi="Times New Roman" w:cs="Times New Roman"/>
          <w:sz w:val="20"/>
          <w:szCs w:val="20"/>
        </w:rPr>
        <w:t>.</w:t>
      </w:r>
      <w:r w:rsidRPr="00B27545">
        <w:rPr>
          <w:rFonts w:ascii="Times New Roman" w:hAnsi="Times New Roman" w:cs="Times New Roman"/>
          <w:sz w:val="20"/>
          <w:szCs w:val="20"/>
        </w:rPr>
        <w:t xml:space="preserve"> iepirkuma komisijas</w:t>
      </w:r>
    </w:p>
    <w:p w14:paraId="66BFCE1C" w14:textId="434C65BB" w:rsidR="00915B2C" w:rsidRDefault="00915B2C" w:rsidP="00915B2C">
      <w:pPr>
        <w:spacing w:after="0" w:line="240" w:lineRule="auto"/>
        <w:ind w:right="-1"/>
        <w:jc w:val="right"/>
        <w:rPr>
          <w:rFonts w:ascii="Times New Roman" w:hAnsi="Times New Roman" w:cs="Times New Roman"/>
          <w:sz w:val="20"/>
          <w:szCs w:val="20"/>
        </w:rPr>
      </w:pPr>
      <w:r w:rsidRPr="00B27545">
        <w:rPr>
          <w:rFonts w:ascii="Times New Roman" w:hAnsi="Times New Roman" w:cs="Times New Roman"/>
          <w:sz w:val="20"/>
          <w:szCs w:val="20"/>
        </w:rPr>
        <w:t xml:space="preserve"> sēdes protokolam Nr. </w:t>
      </w:r>
      <w:r w:rsidR="009516D2">
        <w:rPr>
          <w:rFonts w:ascii="Times New Roman" w:hAnsi="Times New Roman" w:cs="Times New Roman"/>
          <w:sz w:val="20"/>
          <w:szCs w:val="20"/>
        </w:rPr>
        <w:t>3</w:t>
      </w:r>
      <w:r w:rsidRPr="00915B2C">
        <w:rPr>
          <w:rFonts w:ascii="Times New Roman" w:hAnsi="Times New Roman" w:cs="Times New Roman"/>
          <w:sz w:val="20"/>
          <w:szCs w:val="20"/>
        </w:rPr>
        <w:t>)</w:t>
      </w:r>
    </w:p>
    <w:p w14:paraId="3473A9C1" w14:textId="77777777" w:rsidR="00915B2C" w:rsidRPr="00915B2C" w:rsidRDefault="00915B2C" w:rsidP="00915B2C">
      <w:pPr>
        <w:spacing w:after="0" w:line="240" w:lineRule="auto"/>
        <w:ind w:right="-1"/>
        <w:jc w:val="right"/>
        <w:rPr>
          <w:rFonts w:ascii="Times New Roman" w:hAnsi="Times New Roman"/>
          <w:sz w:val="20"/>
          <w:szCs w:val="20"/>
        </w:rPr>
      </w:pPr>
    </w:p>
    <w:tbl>
      <w:tblPr>
        <w:tblStyle w:val="TableGrid"/>
        <w:tblW w:w="9599" w:type="dxa"/>
        <w:tblLook w:val="04A0" w:firstRow="1" w:lastRow="0" w:firstColumn="1" w:lastColumn="0" w:noHBand="0" w:noVBand="1"/>
      </w:tblPr>
      <w:tblGrid>
        <w:gridCol w:w="903"/>
        <w:gridCol w:w="4497"/>
        <w:gridCol w:w="4199"/>
      </w:tblGrid>
      <w:tr w:rsidR="00915B2C" w:rsidRPr="00E6796E" w14:paraId="50455C2A" w14:textId="77777777" w:rsidTr="00E6796E">
        <w:trPr>
          <w:trHeight w:val="498"/>
        </w:trPr>
        <w:tc>
          <w:tcPr>
            <w:tcW w:w="903" w:type="dxa"/>
            <w:vAlign w:val="center"/>
          </w:tcPr>
          <w:p w14:paraId="363223B9" w14:textId="77777777" w:rsidR="00575306" w:rsidRPr="00E6796E" w:rsidRDefault="00915B2C" w:rsidP="00E6796E">
            <w:pPr>
              <w:jc w:val="center"/>
              <w:rPr>
                <w:rFonts w:ascii="Times New Roman" w:hAnsi="Times New Roman" w:cs="Times New Roman"/>
              </w:rPr>
            </w:pPr>
            <w:r w:rsidRPr="00E6796E">
              <w:rPr>
                <w:rFonts w:ascii="Times New Roman" w:hAnsi="Times New Roman" w:cs="Times New Roman"/>
              </w:rPr>
              <w:t>Nr.</w:t>
            </w:r>
          </w:p>
          <w:p w14:paraId="31453EE2" w14:textId="3C914CE5" w:rsidR="00915B2C" w:rsidRPr="00E6796E" w:rsidRDefault="00915B2C" w:rsidP="00E6796E">
            <w:pPr>
              <w:jc w:val="center"/>
              <w:rPr>
                <w:rFonts w:ascii="Times New Roman" w:hAnsi="Times New Roman" w:cs="Times New Roman"/>
              </w:rPr>
            </w:pPr>
            <w:r w:rsidRPr="00E6796E">
              <w:rPr>
                <w:rFonts w:ascii="Times New Roman" w:hAnsi="Times New Roman" w:cs="Times New Roman"/>
              </w:rPr>
              <w:t>p.</w:t>
            </w:r>
            <w:r w:rsidR="00575306" w:rsidRPr="00E6796E">
              <w:rPr>
                <w:rFonts w:ascii="Times New Roman" w:hAnsi="Times New Roman" w:cs="Times New Roman"/>
              </w:rPr>
              <w:t xml:space="preserve"> </w:t>
            </w:r>
            <w:r w:rsidRPr="00E6796E">
              <w:rPr>
                <w:rFonts w:ascii="Times New Roman" w:hAnsi="Times New Roman" w:cs="Times New Roman"/>
              </w:rPr>
              <w:t>k.</w:t>
            </w:r>
          </w:p>
        </w:tc>
        <w:tc>
          <w:tcPr>
            <w:tcW w:w="4497" w:type="dxa"/>
            <w:vAlign w:val="center"/>
          </w:tcPr>
          <w:p w14:paraId="488A2956" w14:textId="39952D52" w:rsidR="00915B2C" w:rsidRPr="00E6796E" w:rsidRDefault="00915B2C" w:rsidP="00E6796E">
            <w:pPr>
              <w:jc w:val="center"/>
              <w:rPr>
                <w:rFonts w:ascii="Times New Roman" w:hAnsi="Times New Roman" w:cs="Times New Roman"/>
              </w:rPr>
            </w:pPr>
            <w:r w:rsidRPr="00E6796E">
              <w:rPr>
                <w:rFonts w:ascii="Times New Roman" w:hAnsi="Times New Roman" w:cs="Times New Roman"/>
              </w:rPr>
              <w:t>Piegādātāj</w:t>
            </w:r>
            <w:r w:rsidR="00E87BBC" w:rsidRPr="00E6796E">
              <w:rPr>
                <w:rFonts w:ascii="Times New Roman" w:hAnsi="Times New Roman" w:cs="Times New Roman"/>
              </w:rPr>
              <w:t>a</w:t>
            </w:r>
            <w:r w:rsidR="008C3820">
              <w:rPr>
                <w:rFonts w:ascii="Times New Roman" w:hAnsi="Times New Roman" w:cs="Times New Roman"/>
              </w:rPr>
              <w:t xml:space="preserve"> </w:t>
            </w:r>
            <w:r w:rsidRPr="00E6796E">
              <w:rPr>
                <w:rFonts w:ascii="Times New Roman" w:hAnsi="Times New Roman" w:cs="Times New Roman"/>
              </w:rPr>
              <w:t>jautājums</w:t>
            </w:r>
          </w:p>
        </w:tc>
        <w:tc>
          <w:tcPr>
            <w:tcW w:w="4199" w:type="dxa"/>
            <w:vAlign w:val="center"/>
          </w:tcPr>
          <w:p w14:paraId="77609BC9" w14:textId="77777777" w:rsidR="00915B2C" w:rsidRPr="00E6796E" w:rsidRDefault="00915B2C" w:rsidP="00E6796E">
            <w:pPr>
              <w:jc w:val="center"/>
              <w:rPr>
                <w:rFonts w:ascii="Times New Roman" w:hAnsi="Times New Roman" w:cs="Times New Roman"/>
              </w:rPr>
            </w:pPr>
            <w:r w:rsidRPr="00E6796E">
              <w:rPr>
                <w:rFonts w:ascii="Times New Roman" w:hAnsi="Times New Roman" w:cs="Times New Roman"/>
              </w:rPr>
              <w:t>Sniegtā atbilde</w:t>
            </w:r>
          </w:p>
        </w:tc>
      </w:tr>
      <w:tr w:rsidR="00711A65" w14:paraId="734F8E0F" w14:textId="77777777" w:rsidTr="006F3362">
        <w:trPr>
          <w:trHeight w:val="3665"/>
        </w:trPr>
        <w:tc>
          <w:tcPr>
            <w:tcW w:w="903" w:type="dxa"/>
            <w:vAlign w:val="center"/>
          </w:tcPr>
          <w:p w14:paraId="0FED91B3" w14:textId="77777777" w:rsidR="00711A65" w:rsidRPr="00915B2C" w:rsidRDefault="00711A65" w:rsidP="00711A65">
            <w:pPr>
              <w:jc w:val="center"/>
              <w:rPr>
                <w:rFonts w:ascii="Times New Roman" w:hAnsi="Times New Roman" w:cs="Times New Roman"/>
                <w:b/>
                <w:bCs/>
              </w:rPr>
            </w:pPr>
            <w:r w:rsidRPr="00915B2C">
              <w:rPr>
                <w:rFonts w:ascii="Times New Roman" w:hAnsi="Times New Roman" w:cs="Times New Roman"/>
                <w:b/>
                <w:bCs/>
              </w:rPr>
              <w:t>1.</w:t>
            </w:r>
          </w:p>
        </w:tc>
        <w:tc>
          <w:tcPr>
            <w:tcW w:w="4497" w:type="dxa"/>
          </w:tcPr>
          <w:p w14:paraId="7F17B289" w14:textId="77777777" w:rsidR="000C42C3" w:rsidRPr="000C42C3" w:rsidRDefault="000C42C3" w:rsidP="000C42C3">
            <w:pPr>
              <w:pStyle w:val="NormalWeb"/>
              <w:tabs>
                <w:tab w:val="num" w:pos="256"/>
              </w:tabs>
              <w:spacing w:after="0"/>
              <w:ind w:firstLine="256"/>
              <w:jc w:val="both"/>
              <w:rPr>
                <w:rStyle w:val="Strong"/>
                <w:b w:val="0"/>
                <w:bCs w:val="0"/>
                <w:sz w:val="22"/>
                <w:szCs w:val="22"/>
              </w:rPr>
            </w:pPr>
            <w:r w:rsidRPr="000C42C3">
              <w:rPr>
                <w:rStyle w:val="Strong"/>
                <w:b w:val="0"/>
                <w:bCs w:val="0"/>
                <w:sz w:val="22"/>
                <w:szCs w:val="22"/>
              </w:rPr>
              <w:t>Iepazīstoties ar iepirkuma nolikumu, vēlamies vērst uzmanību uz Nolikuma 4.6. punktā ietverto prasību pretendentu tehniskajām un profesionālajām spējām, kas nosaka:</w:t>
            </w:r>
          </w:p>
          <w:p w14:paraId="4B2932F2" w14:textId="77777777" w:rsidR="000C42C3" w:rsidRPr="000C42C3" w:rsidRDefault="000C42C3" w:rsidP="000C42C3">
            <w:pPr>
              <w:pStyle w:val="NormalWeb"/>
              <w:tabs>
                <w:tab w:val="num" w:pos="256"/>
              </w:tabs>
              <w:spacing w:after="0"/>
              <w:ind w:firstLine="256"/>
              <w:jc w:val="both"/>
              <w:rPr>
                <w:rStyle w:val="Strong"/>
                <w:b w:val="0"/>
                <w:bCs w:val="0"/>
                <w:sz w:val="22"/>
                <w:szCs w:val="22"/>
              </w:rPr>
            </w:pPr>
            <w:r w:rsidRPr="000C42C3">
              <w:rPr>
                <w:rStyle w:val="Strong"/>
                <w:b w:val="0"/>
                <w:bCs w:val="0"/>
                <w:sz w:val="22"/>
                <w:szCs w:val="22"/>
              </w:rPr>
              <w:t>“.. iepriekšējo 3 (trīs) gadu laikā līdz piedāvājumu iesniegšanas dienai jābūt pieredzei vismaz 1 (viena) līdzīga rakstura darbu līguma izpildē, kas atbilst šādam nosacījumam: līguma ietvaros veiktie darbi – ierīkotā basketbola laukuma segums atbilst EN 14877 vai ekvivalenta šī standarta prasībām."</w:t>
            </w:r>
          </w:p>
          <w:p w14:paraId="06944D74" w14:textId="77777777" w:rsidR="000C42C3" w:rsidRPr="000C42C3" w:rsidRDefault="000C42C3" w:rsidP="000C42C3">
            <w:pPr>
              <w:pStyle w:val="NormalWeb"/>
              <w:tabs>
                <w:tab w:val="num" w:pos="256"/>
              </w:tabs>
              <w:spacing w:after="0"/>
              <w:ind w:firstLine="256"/>
              <w:jc w:val="both"/>
              <w:rPr>
                <w:rStyle w:val="Strong"/>
                <w:b w:val="0"/>
                <w:bCs w:val="0"/>
                <w:sz w:val="22"/>
                <w:szCs w:val="22"/>
              </w:rPr>
            </w:pPr>
            <w:r w:rsidRPr="000C42C3">
              <w:rPr>
                <w:rStyle w:val="Strong"/>
                <w:b w:val="0"/>
                <w:bCs w:val="0"/>
                <w:sz w:val="22"/>
                <w:szCs w:val="22"/>
              </w:rPr>
              <w:t>Vēlamies norādīt, ka specifiska sporta laukumu seguma ierīkošana atbilstoši EN 14877 standartam ir augsti specializēti būvdarbi, kas netiek veikti ikdienišķos vispārējos būvniecības projektos. Prasība pēc tik specifiskas pieredzes salīdzinoši īsā laika periodā – pēdējo 3 (trīs) gadu laikā – var nepamatoti ierobežot potenciālo pretendentu loku, kuriem ir nepieciešamās kompetences un tehnoloģiskais nodrošinājums, bet kuru pieredze (piemēram, kvalitatīvi izpildīts analogas sarežģītības līgums) ir gūta pirms 4 vai 5 gadiem.</w:t>
            </w:r>
          </w:p>
          <w:p w14:paraId="026BFEF6" w14:textId="77777777" w:rsidR="000C42C3" w:rsidRPr="000C42C3" w:rsidRDefault="000C42C3" w:rsidP="000C42C3">
            <w:pPr>
              <w:pStyle w:val="NormalWeb"/>
              <w:tabs>
                <w:tab w:val="num" w:pos="256"/>
              </w:tabs>
              <w:spacing w:after="0"/>
              <w:ind w:firstLine="256"/>
              <w:jc w:val="both"/>
              <w:rPr>
                <w:rStyle w:val="Strong"/>
                <w:b w:val="0"/>
                <w:bCs w:val="0"/>
                <w:sz w:val="22"/>
                <w:szCs w:val="22"/>
              </w:rPr>
            </w:pPr>
            <w:r w:rsidRPr="000C42C3">
              <w:rPr>
                <w:rStyle w:val="Strong"/>
                <w:b w:val="0"/>
                <w:bCs w:val="0"/>
                <w:sz w:val="22"/>
                <w:szCs w:val="22"/>
              </w:rPr>
              <w:t>Saskaņā ar Publisko iepirkumu likuma regulējumu, būvdarbu līgumu gadījumā pasūtītājs ir tiesīgs noteikt pretendentu profesionālās pieredzes periodu līdz pat 5 (pieciem) gadiem. Pieredzes termiņa pagarināšana tiešā veidā veicinātu brīvu pretendentu konkurenci un vienlīdzīgu attieksmi, kā arī sniegtu Pasūtītājam iespēju saņemt vairāk saimnieciski izdevīgu piedāvājumu, vienlaikus nekādā veidā nepasliktinot izpildāmo darbu kvalitātes prasības.</w:t>
            </w:r>
          </w:p>
          <w:p w14:paraId="0420D01A" w14:textId="77777777" w:rsidR="000C42C3" w:rsidRPr="000C42C3" w:rsidRDefault="000C42C3" w:rsidP="000C42C3">
            <w:pPr>
              <w:pStyle w:val="NormalWeb"/>
              <w:tabs>
                <w:tab w:val="num" w:pos="256"/>
              </w:tabs>
              <w:spacing w:after="0"/>
              <w:ind w:firstLine="256"/>
              <w:jc w:val="both"/>
              <w:rPr>
                <w:rStyle w:val="Strong"/>
                <w:b w:val="0"/>
                <w:bCs w:val="0"/>
                <w:sz w:val="22"/>
                <w:szCs w:val="22"/>
              </w:rPr>
            </w:pPr>
            <w:r w:rsidRPr="000C42C3">
              <w:rPr>
                <w:rStyle w:val="Strong"/>
                <w:b w:val="0"/>
                <w:bCs w:val="0"/>
                <w:sz w:val="22"/>
                <w:szCs w:val="22"/>
              </w:rPr>
              <w:t>Ņemot vērā iepriekš minēto, lūdzam Pasūtītāju izvērtēt iespēju veikt grozījumus Nolikuma 4.6. punktā, pagarinot pieredzes gūšanas laika periodu no 3 (trīs) uz 5 (pieciem) gadiem, un izteikt Nolikuma 4.6. šādā punktu (vai ekvivalentā) redakcijā:</w:t>
            </w:r>
          </w:p>
          <w:p w14:paraId="27FB3CB9" w14:textId="79DC39C7" w:rsidR="00711A65" w:rsidRPr="005B372B" w:rsidRDefault="000C42C3" w:rsidP="000C42C3">
            <w:pPr>
              <w:pStyle w:val="NormalWeb"/>
              <w:tabs>
                <w:tab w:val="num" w:pos="256"/>
              </w:tabs>
              <w:spacing w:before="0" w:beforeAutospacing="0" w:after="0" w:afterAutospacing="0"/>
              <w:ind w:firstLine="256"/>
              <w:jc w:val="both"/>
              <w:rPr>
                <w:b/>
                <w:bCs/>
                <w:sz w:val="22"/>
                <w:szCs w:val="22"/>
              </w:rPr>
            </w:pPr>
            <w:r w:rsidRPr="000C42C3">
              <w:rPr>
                <w:rStyle w:val="Strong"/>
                <w:b w:val="0"/>
                <w:bCs w:val="0"/>
                <w:sz w:val="22"/>
                <w:szCs w:val="22"/>
              </w:rPr>
              <w:lastRenderedPageBreak/>
              <w:t>"4.6. Pretendentam Nolikuma prasībām, iepriekšējo 5 (piecu) gadu laikā līdz piedāvājumu iesniegšanas dienai jābūt pieredzei vismaz 1 (viena) līdzīga rakstura darbu līguma izpildē, kas atbilst šādam nosacījumam: līguma ietvaros veiktie darbi – ierīkotā basketbola laukuma segums atbilst EN 14877 vai ekvivalenta šī standarta prasībām."</w:t>
            </w:r>
          </w:p>
        </w:tc>
        <w:tc>
          <w:tcPr>
            <w:tcW w:w="4199" w:type="dxa"/>
          </w:tcPr>
          <w:p w14:paraId="1885C712" w14:textId="1229F192" w:rsidR="00637C28" w:rsidRPr="00637C28" w:rsidRDefault="00D900AE" w:rsidP="00637C28">
            <w:pPr>
              <w:ind w:firstLine="278"/>
              <w:jc w:val="both"/>
              <w:rPr>
                <w:rFonts w:ascii="Times New Roman" w:hAnsi="Times New Roman" w:cs="Times New Roman"/>
              </w:rPr>
            </w:pPr>
            <w:r w:rsidRPr="00637C28">
              <w:rPr>
                <w:rFonts w:ascii="Times New Roman" w:hAnsi="Times New Roman" w:cs="Times New Roman"/>
              </w:rPr>
              <w:lastRenderedPageBreak/>
              <w:t xml:space="preserve">Pasūtītājs ir iepazinies </w:t>
            </w:r>
            <w:r w:rsidR="00FF0B17" w:rsidRPr="00637C28">
              <w:rPr>
                <w:rFonts w:ascii="Times New Roman" w:hAnsi="Times New Roman" w:cs="Times New Roman"/>
              </w:rPr>
              <w:t>un</w:t>
            </w:r>
            <w:r w:rsidR="00637C28" w:rsidRPr="00637C28">
              <w:rPr>
                <w:rFonts w:ascii="Times New Roman" w:hAnsi="Times New Roman" w:cs="Times New Roman"/>
              </w:rPr>
              <w:t xml:space="preserve"> izvērtējis</w:t>
            </w:r>
            <w:r w:rsidRPr="00637C28">
              <w:rPr>
                <w:rFonts w:ascii="Times New Roman" w:hAnsi="Times New Roman" w:cs="Times New Roman"/>
              </w:rPr>
              <w:t xml:space="preserve"> Piegādātāja iesniegto jautājumu </w:t>
            </w:r>
            <w:r w:rsidR="00637C28" w:rsidRPr="00637C28">
              <w:rPr>
                <w:rFonts w:ascii="Times New Roman" w:hAnsi="Times New Roman" w:cs="Times New Roman"/>
              </w:rPr>
              <w:t>par Nolikuma 4.6. punktā noteiktās prasības grozīšanu, pagarinot pretendenta pieredzes vērtēšanas periodu no 3 (trīs) uz 5 (pieciem) gadiem.</w:t>
            </w:r>
          </w:p>
          <w:p w14:paraId="5F32C34C" w14:textId="77777777" w:rsidR="00637C28" w:rsidRPr="00637C28" w:rsidRDefault="00637C28" w:rsidP="00637C28">
            <w:pPr>
              <w:ind w:firstLine="278"/>
              <w:jc w:val="both"/>
              <w:rPr>
                <w:rFonts w:ascii="Times New Roman" w:hAnsi="Times New Roman" w:cs="Times New Roman"/>
              </w:rPr>
            </w:pPr>
          </w:p>
          <w:p w14:paraId="397B1892" w14:textId="77777777" w:rsidR="00637C28" w:rsidRPr="00637C28" w:rsidRDefault="00637C28" w:rsidP="00637C28">
            <w:pPr>
              <w:ind w:firstLine="278"/>
              <w:jc w:val="both"/>
              <w:rPr>
                <w:rFonts w:ascii="Times New Roman" w:hAnsi="Times New Roman" w:cs="Times New Roman"/>
              </w:rPr>
            </w:pPr>
            <w:r w:rsidRPr="00637C28">
              <w:rPr>
                <w:rFonts w:ascii="Times New Roman" w:hAnsi="Times New Roman" w:cs="Times New Roman"/>
              </w:rPr>
              <w:t>Informējam, ka saskaņā ar Publisko iepirkumu likuma 46. panta trešo daļu būvdarbu iepirkumos pasūtītājs var ņemt vērā informāciju par galvenajiem veiktajiem būvdarbiem pēdējo piecu gadu laikā, ja tas ir nepieciešams, lai nodrošinātu atbilstošu konkurences līmeni. Minētā norma dod pasūtītājam tiesības, nevis pienākumu noteikt piecu gadu periodu.</w:t>
            </w:r>
          </w:p>
          <w:p w14:paraId="426A6A56" w14:textId="77777777" w:rsidR="00637C28" w:rsidRPr="00637C28" w:rsidRDefault="00637C28" w:rsidP="00637C28">
            <w:pPr>
              <w:ind w:firstLine="278"/>
              <w:jc w:val="both"/>
              <w:rPr>
                <w:rFonts w:ascii="Times New Roman" w:hAnsi="Times New Roman" w:cs="Times New Roman"/>
              </w:rPr>
            </w:pPr>
          </w:p>
          <w:p w14:paraId="077E4228" w14:textId="2079F5A2" w:rsidR="00637C28" w:rsidRPr="00637C28" w:rsidRDefault="00637C28" w:rsidP="00637C28">
            <w:pPr>
              <w:ind w:firstLine="278"/>
              <w:jc w:val="both"/>
              <w:rPr>
                <w:rFonts w:ascii="Times New Roman" w:hAnsi="Times New Roman" w:cs="Times New Roman"/>
              </w:rPr>
            </w:pPr>
            <w:r w:rsidRPr="00637C28">
              <w:rPr>
                <w:rFonts w:ascii="Times New Roman" w:hAnsi="Times New Roman" w:cs="Times New Roman"/>
              </w:rPr>
              <w:t xml:space="preserve">Izvērtējot konkrētā iepirkuma priekšmetu, tā apjomu un specifiku, </w:t>
            </w:r>
            <w:r w:rsidR="00671E66">
              <w:rPr>
                <w:rFonts w:ascii="Times New Roman" w:hAnsi="Times New Roman" w:cs="Times New Roman"/>
              </w:rPr>
              <w:t>P</w:t>
            </w:r>
            <w:r w:rsidRPr="00637C28">
              <w:rPr>
                <w:rFonts w:ascii="Times New Roman" w:hAnsi="Times New Roman" w:cs="Times New Roman"/>
              </w:rPr>
              <w:t>asūtītājs secina, ka nav pamata pagarināt pieredzes vērtēšanas periodu līdz pieciem gadiem. Iepirkuma priekšmets nav tik apjomīgs vai sarežģīts, lai būtu nepieciešams piemērot Publisko iepirkumu likuma 46. panta trešajā daļā paredzēto iespēju paplašināt vērtējamo periodu līdz pieciem gadiem konkurences nodrošināšanas nolūkā.</w:t>
            </w:r>
          </w:p>
          <w:p w14:paraId="11BCB500" w14:textId="77777777" w:rsidR="00637C28" w:rsidRPr="00637C28" w:rsidRDefault="00637C28" w:rsidP="00637C28">
            <w:pPr>
              <w:ind w:firstLine="278"/>
              <w:jc w:val="both"/>
              <w:rPr>
                <w:rFonts w:ascii="Times New Roman" w:hAnsi="Times New Roman" w:cs="Times New Roman"/>
              </w:rPr>
            </w:pPr>
          </w:p>
          <w:p w14:paraId="0F788AE2" w14:textId="4DC46375" w:rsidR="00637C28" w:rsidRPr="00637C28" w:rsidRDefault="00637C28" w:rsidP="00637C28">
            <w:pPr>
              <w:ind w:firstLine="278"/>
              <w:jc w:val="both"/>
              <w:rPr>
                <w:rFonts w:ascii="Times New Roman" w:hAnsi="Times New Roman" w:cs="Times New Roman"/>
              </w:rPr>
            </w:pPr>
            <w:r w:rsidRPr="00637C28">
              <w:rPr>
                <w:rFonts w:ascii="Times New Roman" w:hAnsi="Times New Roman" w:cs="Times New Roman"/>
              </w:rPr>
              <w:t xml:space="preserve">Pasūtītāja ieskatā prasība par vismaz viena līdzīga būvdarbu līguma izpildi iepriekšējo 3 (trīs) gadu laikā ir samērīga ar iepirkuma priekšmetu, objektīvi pamatota un pietiekama, lai pārliecinātos par pretendenta aktuālu profesionālo pieredzi un spēju kvalitatīvi izpildīt līgumu. Vienlaikus </w:t>
            </w:r>
            <w:r w:rsidR="00671E66">
              <w:rPr>
                <w:rFonts w:ascii="Times New Roman" w:hAnsi="Times New Roman" w:cs="Times New Roman"/>
              </w:rPr>
              <w:t>P</w:t>
            </w:r>
            <w:r w:rsidRPr="00637C28">
              <w:rPr>
                <w:rFonts w:ascii="Times New Roman" w:hAnsi="Times New Roman" w:cs="Times New Roman"/>
              </w:rPr>
              <w:t>asūtītājam nav konstatēti apstākļi, kas liecinātu, ka noteiktais trīs gadu periods nepamatoti ierobežotu konkurenci.</w:t>
            </w:r>
          </w:p>
          <w:p w14:paraId="1E74B753" w14:textId="77777777" w:rsidR="00637C28" w:rsidRPr="00637C28" w:rsidRDefault="00637C28" w:rsidP="00637C28">
            <w:pPr>
              <w:ind w:firstLine="278"/>
              <w:jc w:val="both"/>
              <w:rPr>
                <w:rFonts w:ascii="Times New Roman" w:hAnsi="Times New Roman" w:cs="Times New Roman"/>
              </w:rPr>
            </w:pPr>
          </w:p>
          <w:p w14:paraId="1D2A1AB7" w14:textId="7EA9BFF8" w:rsidR="00867CEA" w:rsidRPr="00E6796E" w:rsidRDefault="00637C28" w:rsidP="00637C28">
            <w:pPr>
              <w:ind w:firstLine="278"/>
              <w:jc w:val="both"/>
              <w:rPr>
                <w:rFonts w:ascii="Times New Roman" w:eastAsia="Times New Roman" w:hAnsi="Times New Roman" w:cs="Times New Roman"/>
                <w:color w:val="000000" w:themeColor="text1"/>
                <w:sz w:val="18"/>
                <w:szCs w:val="18"/>
                <w:lang w:eastAsia="lv-LV"/>
              </w:rPr>
            </w:pPr>
            <w:r w:rsidRPr="00637C28">
              <w:rPr>
                <w:rFonts w:ascii="Times New Roman" w:hAnsi="Times New Roman" w:cs="Times New Roman"/>
              </w:rPr>
              <w:t>Līdz ar to Nolikuma 4.6. punkts netiks grozīts un prasība par pretendenta pieredzi iepriekšējo 3 (trīs) gadu laikā paliek spēkā.</w:t>
            </w:r>
          </w:p>
        </w:tc>
      </w:tr>
    </w:tbl>
    <w:p w14:paraId="333BBC8A" w14:textId="77777777" w:rsidR="00915B2C" w:rsidRDefault="00915B2C" w:rsidP="00D37D15">
      <w:pPr>
        <w:spacing w:after="0" w:line="240" w:lineRule="auto"/>
        <w:ind w:right="141"/>
        <w:rPr>
          <w:rFonts w:ascii="Times New Roman" w:hAnsi="Times New Roman"/>
          <w:sz w:val="24"/>
          <w:szCs w:val="24"/>
        </w:rPr>
      </w:pPr>
    </w:p>
    <w:p w14:paraId="202B4B56" w14:textId="77777777" w:rsidR="008C3820" w:rsidRDefault="008C3820" w:rsidP="00D37D15">
      <w:pPr>
        <w:spacing w:after="0" w:line="240" w:lineRule="auto"/>
        <w:ind w:right="141"/>
        <w:rPr>
          <w:rFonts w:ascii="Times New Roman" w:hAnsi="Times New Roman"/>
          <w:sz w:val="24"/>
          <w:szCs w:val="24"/>
        </w:rPr>
      </w:pPr>
    </w:p>
    <w:p w14:paraId="10446C9D" w14:textId="77777777" w:rsidR="008C3820" w:rsidRDefault="008C3820" w:rsidP="00D37D15">
      <w:pPr>
        <w:spacing w:after="0" w:line="240" w:lineRule="auto"/>
        <w:ind w:right="141"/>
        <w:rPr>
          <w:rFonts w:ascii="Times New Roman" w:hAnsi="Times New Roman"/>
          <w:sz w:val="24"/>
          <w:szCs w:val="24"/>
        </w:rPr>
      </w:pPr>
    </w:p>
    <w:sectPr w:rsidR="008C3820" w:rsidSect="00915B2C">
      <w:footerReference w:type="default" r:id="rId11"/>
      <w:pgSz w:w="12240" w:h="15840"/>
      <w:pgMar w:top="1135" w:right="1183" w:bottom="1440" w:left="156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E97D" w14:textId="77777777" w:rsidR="00631258" w:rsidRDefault="00631258">
      <w:pPr>
        <w:spacing w:after="0" w:line="240" w:lineRule="auto"/>
      </w:pPr>
      <w:r>
        <w:separator/>
      </w:r>
    </w:p>
  </w:endnote>
  <w:endnote w:type="continuationSeparator" w:id="0">
    <w:p w14:paraId="0A9373A0" w14:textId="77777777" w:rsidR="00631258" w:rsidRDefault="006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6399" w14:textId="77777777" w:rsidR="00296D88" w:rsidRDefault="002F53A8" w:rsidP="00296D88">
    <w:pPr>
      <w:pStyle w:val="Footer"/>
      <w:jc w:val="center"/>
    </w:pPr>
    <w:r>
      <w:t>DOKUMENTS IR PARAKSTĪTS AR DROŠU ELEKTRONISKO PARAKSTU UN SATUR LAIKA ZĪMOGU</w:t>
    </w:r>
  </w:p>
  <w:p w14:paraId="2D4EA492" w14:textId="77777777" w:rsidR="00462E2B" w:rsidRDefault="00462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8FC6" w14:textId="77777777" w:rsidR="00631258" w:rsidRDefault="00631258">
      <w:pPr>
        <w:spacing w:after="0" w:line="240" w:lineRule="auto"/>
      </w:pPr>
      <w:r>
        <w:separator/>
      </w:r>
    </w:p>
  </w:footnote>
  <w:footnote w:type="continuationSeparator" w:id="0">
    <w:p w14:paraId="5A699D94" w14:textId="77777777" w:rsidR="00631258" w:rsidRDefault="00631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443"/>
    <w:multiLevelType w:val="multilevel"/>
    <w:tmpl w:val="36D0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E3934"/>
    <w:multiLevelType w:val="hybridMultilevel"/>
    <w:tmpl w:val="318C36EC"/>
    <w:lvl w:ilvl="0" w:tplc="04260001">
      <w:start w:val="1"/>
      <w:numFmt w:val="bullet"/>
      <w:lvlText w:val=""/>
      <w:lvlJc w:val="left"/>
      <w:pPr>
        <w:ind w:left="1010" w:hanging="360"/>
      </w:pPr>
      <w:rPr>
        <w:rFonts w:ascii="Symbol" w:hAnsi="Symbol" w:hint="default"/>
      </w:rPr>
    </w:lvl>
    <w:lvl w:ilvl="1" w:tplc="04260003" w:tentative="1">
      <w:start w:val="1"/>
      <w:numFmt w:val="bullet"/>
      <w:lvlText w:val="o"/>
      <w:lvlJc w:val="left"/>
      <w:pPr>
        <w:ind w:left="1730" w:hanging="360"/>
      </w:pPr>
      <w:rPr>
        <w:rFonts w:ascii="Courier New" w:hAnsi="Courier New" w:cs="Courier New" w:hint="default"/>
      </w:rPr>
    </w:lvl>
    <w:lvl w:ilvl="2" w:tplc="04260005" w:tentative="1">
      <w:start w:val="1"/>
      <w:numFmt w:val="bullet"/>
      <w:lvlText w:val=""/>
      <w:lvlJc w:val="left"/>
      <w:pPr>
        <w:ind w:left="2450" w:hanging="360"/>
      </w:pPr>
      <w:rPr>
        <w:rFonts w:ascii="Wingdings" w:hAnsi="Wingdings" w:hint="default"/>
      </w:rPr>
    </w:lvl>
    <w:lvl w:ilvl="3" w:tplc="04260001" w:tentative="1">
      <w:start w:val="1"/>
      <w:numFmt w:val="bullet"/>
      <w:lvlText w:val=""/>
      <w:lvlJc w:val="left"/>
      <w:pPr>
        <w:ind w:left="3170" w:hanging="360"/>
      </w:pPr>
      <w:rPr>
        <w:rFonts w:ascii="Symbol" w:hAnsi="Symbol" w:hint="default"/>
      </w:rPr>
    </w:lvl>
    <w:lvl w:ilvl="4" w:tplc="04260003" w:tentative="1">
      <w:start w:val="1"/>
      <w:numFmt w:val="bullet"/>
      <w:lvlText w:val="o"/>
      <w:lvlJc w:val="left"/>
      <w:pPr>
        <w:ind w:left="3890" w:hanging="360"/>
      </w:pPr>
      <w:rPr>
        <w:rFonts w:ascii="Courier New" w:hAnsi="Courier New" w:cs="Courier New" w:hint="default"/>
      </w:rPr>
    </w:lvl>
    <w:lvl w:ilvl="5" w:tplc="04260005" w:tentative="1">
      <w:start w:val="1"/>
      <w:numFmt w:val="bullet"/>
      <w:lvlText w:val=""/>
      <w:lvlJc w:val="left"/>
      <w:pPr>
        <w:ind w:left="4610" w:hanging="360"/>
      </w:pPr>
      <w:rPr>
        <w:rFonts w:ascii="Wingdings" w:hAnsi="Wingdings" w:hint="default"/>
      </w:rPr>
    </w:lvl>
    <w:lvl w:ilvl="6" w:tplc="04260001" w:tentative="1">
      <w:start w:val="1"/>
      <w:numFmt w:val="bullet"/>
      <w:lvlText w:val=""/>
      <w:lvlJc w:val="left"/>
      <w:pPr>
        <w:ind w:left="5330" w:hanging="360"/>
      </w:pPr>
      <w:rPr>
        <w:rFonts w:ascii="Symbol" w:hAnsi="Symbol" w:hint="default"/>
      </w:rPr>
    </w:lvl>
    <w:lvl w:ilvl="7" w:tplc="04260003" w:tentative="1">
      <w:start w:val="1"/>
      <w:numFmt w:val="bullet"/>
      <w:lvlText w:val="o"/>
      <w:lvlJc w:val="left"/>
      <w:pPr>
        <w:ind w:left="6050" w:hanging="360"/>
      </w:pPr>
      <w:rPr>
        <w:rFonts w:ascii="Courier New" w:hAnsi="Courier New" w:cs="Courier New" w:hint="default"/>
      </w:rPr>
    </w:lvl>
    <w:lvl w:ilvl="8" w:tplc="04260005" w:tentative="1">
      <w:start w:val="1"/>
      <w:numFmt w:val="bullet"/>
      <w:lvlText w:val=""/>
      <w:lvlJc w:val="left"/>
      <w:pPr>
        <w:ind w:left="6770" w:hanging="360"/>
      </w:pPr>
      <w:rPr>
        <w:rFonts w:ascii="Wingdings" w:hAnsi="Wingdings" w:hint="default"/>
      </w:rPr>
    </w:lvl>
  </w:abstractNum>
  <w:abstractNum w:abstractNumId="2" w15:restartNumberingAfterBreak="0">
    <w:nsid w:val="077016D5"/>
    <w:multiLevelType w:val="hybridMultilevel"/>
    <w:tmpl w:val="4AA4F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819A7"/>
    <w:multiLevelType w:val="multilevel"/>
    <w:tmpl w:val="A9AA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A5A07"/>
    <w:multiLevelType w:val="hybridMultilevel"/>
    <w:tmpl w:val="9FDA0498"/>
    <w:lvl w:ilvl="0" w:tplc="D45A1F1A">
      <w:start w:val="4"/>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6A1A84"/>
    <w:multiLevelType w:val="hybridMultilevel"/>
    <w:tmpl w:val="F47A6E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E1664E"/>
    <w:multiLevelType w:val="multilevel"/>
    <w:tmpl w:val="2A8C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66D7A"/>
    <w:multiLevelType w:val="multilevel"/>
    <w:tmpl w:val="CE82FDD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04157"/>
    <w:multiLevelType w:val="hybridMultilevel"/>
    <w:tmpl w:val="C0DAECB6"/>
    <w:lvl w:ilvl="0" w:tplc="04260001">
      <w:start w:val="1"/>
      <w:numFmt w:val="bullet"/>
      <w:lvlText w:val=""/>
      <w:lvlJc w:val="left"/>
      <w:pPr>
        <w:ind w:left="998" w:hanging="360"/>
      </w:pPr>
      <w:rPr>
        <w:rFonts w:ascii="Symbol" w:hAnsi="Symbol" w:hint="default"/>
      </w:rPr>
    </w:lvl>
    <w:lvl w:ilvl="1" w:tplc="04260003" w:tentative="1">
      <w:start w:val="1"/>
      <w:numFmt w:val="bullet"/>
      <w:lvlText w:val="o"/>
      <w:lvlJc w:val="left"/>
      <w:pPr>
        <w:ind w:left="1718" w:hanging="360"/>
      </w:pPr>
      <w:rPr>
        <w:rFonts w:ascii="Courier New" w:hAnsi="Courier New" w:cs="Courier New" w:hint="default"/>
      </w:rPr>
    </w:lvl>
    <w:lvl w:ilvl="2" w:tplc="04260005" w:tentative="1">
      <w:start w:val="1"/>
      <w:numFmt w:val="bullet"/>
      <w:lvlText w:val=""/>
      <w:lvlJc w:val="left"/>
      <w:pPr>
        <w:ind w:left="2438" w:hanging="360"/>
      </w:pPr>
      <w:rPr>
        <w:rFonts w:ascii="Wingdings" w:hAnsi="Wingdings" w:hint="default"/>
      </w:rPr>
    </w:lvl>
    <w:lvl w:ilvl="3" w:tplc="04260001" w:tentative="1">
      <w:start w:val="1"/>
      <w:numFmt w:val="bullet"/>
      <w:lvlText w:val=""/>
      <w:lvlJc w:val="left"/>
      <w:pPr>
        <w:ind w:left="3158" w:hanging="360"/>
      </w:pPr>
      <w:rPr>
        <w:rFonts w:ascii="Symbol" w:hAnsi="Symbol" w:hint="default"/>
      </w:rPr>
    </w:lvl>
    <w:lvl w:ilvl="4" w:tplc="04260003" w:tentative="1">
      <w:start w:val="1"/>
      <w:numFmt w:val="bullet"/>
      <w:lvlText w:val="o"/>
      <w:lvlJc w:val="left"/>
      <w:pPr>
        <w:ind w:left="3878" w:hanging="360"/>
      </w:pPr>
      <w:rPr>
        <w:rFonts w:ascii="Courier New" w:hAnsi="Courier New" w:cs="Courier New" w:hint="default"/>
      </w:rPr>
    </w:lvl>
    <w:lvl w:ilvl="5" w:tplc="04260005" w:tentative="1">
      <w:start w:val="1"/>
      <w:numFmt w:val="bullet"/>
      <w:lvlText w:val=""/>
      <w:lvlJc w:val="left"/>
      <w:pPr>
        <w:ind w:left="4598" w:hanging="360"/>
      </w:pPr>
      <w:rPr>
        <w:rFonts w:ascii="Wingdings" w:hAnsi="Wingdings" w:hint="default"/>
      </w:rPr>
    </w:lvl>
    <w:lvl w:ilvl="6" w:tplc="04260001" w:tentative="1">
      <w:start w:val="1"/>
      <w:numFmt w:val="bullet"/>
      <w:lvlText w:val=""/>
      <w:lvlJc w:val="left"/>
      <w:pPr>
        <w:ind w:left="5318" w:hanging="360"/>
      </w:pPr>
      <w:rPr>
        <w:rFonts w:ascii="Symbol" w:hAnsi="Symbol" w:hint="default"/>
      </w:rPr>
    </w:lvl>
    <w:lvl w:ilvl="7" w:tplc="04260003" w:tentative="1">
      <w:start w:val="1"/>
      <w:numFmt w:val="bullet"/>
      <w:lvlText w:val="o"/>
      <w:lvlJc w:val="left"/>
      <w:pPr>
        <w:ind w:left="6038" w:hanging="360"/>
      </w:pPr>
      <w:rPr>
        <w:rFonts w:ascii="Courier New" w:hAnsi="Courier New" w:cs="Courier New" w:hint="default"/>
      </w:rPr>
    </w:lvl>
    <w:lvl w:ilvl="8" w:tplc="04260005" w:tentative="1">
      <w:start w:val="1"/>
      <w:numFmt w:val="bullet"/>
      <w:lvlText w:val=""/>
      <w:lvlJc w:val="left"/>
      <w:pPr>
        <w:ind w:left="6758" w:hanging="360"/>
      </w:pPr>
      <w:rPr>
        <w:rFonts w:ascii="Wingdings" w:hAnsi="Wingdings" w:hint="default"/>
      </w:rPr>
    </w:lvl>
  </w:abstractNum>
  <w:abstractNum w:abstractNumId="9" w15:restartNumberingAfterBreak="0">
    <w:nsid w:val="405B362B"/>
    <w:multiLevelType w:val="multilevel"/>
    <w:tmpl w:val="C252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254687"/>
    <w:multiLevelType w:val="multilevel"/>
    <w:tmpl w:val="E468F83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8C1DD4"/>
    <w:multiLevelType w:val="hybridMultilevel"/>
    <w:tmpl w:val="45D200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1D738B"/>
    <w:multiLevelType w:val="multilevel"/>
    <w:tmpl w:val="ECF8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4865583">
    <w:abstractNumId w:val="5"/>
  </w:num>
  <w:num w:numId="2" w16cid:durableId="1353610740">
    <w:abstractNumId w:val="2"/>
  </w:num>
  <w:num w:numId="3" w16cid:durableId="1612781791">
    <w:abstractNumId w:val="4"/>
  </w:num>
  <w:num w:numId="4" w16cid:durableId="859127917">
    <w:abstractNumId w:val="10"/>
  </w:num>
  <w:num w:numId="5" w16cid:durableId="854031401">
    <w:abstractNumId w:val="7"/>
  </w:num>
  <w:num w:numId="6" w16cid:durableId="768281816">
    <w:abstractNumId w:val="6"/>
  </w:num>
  <w:num w:numId="7" w16cid:durableId="1351569017">
    <w:abstractNumId w:val="3"/>
  </w:num>
  <w:num w:numId="8" w16cid:durableId="459037435">
    <w:abstractNumId w:val="1"/>
  </w:num>
  <w:num w:numId="9" w16cid:durableId="955529009">
    <w:abstractNumId w:val="12"/>
  </w:num>
  <w:num w:numId="10" w16cid:durableId="35663685">
    <w:abstractNumId w:val="11"/>
  </w:num>
  <w:num w:numId="11" w16cid:durableId="1584802951">
    <w:abstractNumId w:val="0"/>
  </w:num>
  <w:num w:numId="12" w16cid:durableId="1224753031">
    <w:abstractNumId w:val="9"/>
  </w:num>
  <w:num w:numId="13" w16cid:durableId="573510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E2"/>
    <w:rsid w:val="000154E8"/>
    <w:rsid w:val="0002638E"/>
    <w:rsid w:val="00035064"/>
    <w:rsid w:val="00040568"/>
    <w:rsid w:val="00045130"/>
    <w:rsid w:val="000512D7"/>
    <w:rsid w:val="00052576"/>
    <w:rsid w:val="0005290E"/>
    <w:rsid w:val="00062AF2"/>
    <w:rsid w:val="0006339B"/>
    <w:rsid w:val="00065039"/>
    <w:rsid w:val="0006776C"/>
    <w:rsid w:val="00073190"/>
    <w:rsid w:val="00075FF3"/>
    <w:rsid w:val="000833BC"/>
    <w:rsid w:val="00091780"/>
    <w:rsid w:val="00093AFF"/>
    <w:rsid w:val="000A2724"/>
    <w:rsid w:val="000C42C3"/>
    <w:rsid w:val="000C599F"/>
    <w:rsid w:val="000D179F"/>
    <w:rsid w:val="000D7F8F"/>
    <w:rsid w:val="000F0211"/>
    <w:rsid w:val="00100481"/>
    <w:rsid w:val="0010567E"/>
    <w:rsid w:val="00112BAF"/>
    <w:rsid w:val="00121056"/>
    <w:rsid w:val="001474A5"/>
    <w:rsid w:val="001611DC"/>
    <w:rsid w:val="00161DA3"/>
    <w:rsid w:val="00175517"/>
    <w:rsid w:val="00177692"/>
    <w:rsid w:val="00182583"/>
    <w:rsid w:val="00190D43"/>
    <w:rsid w:val="00192073"/>
    <w:rsid w:val="001A49F5"/>
    <w:rsid w:val="001B2D3C"/>
    <w:rsid w:val="001C16A1"/>
    <w:rsid w:val="001C4D61"/>
    <w:rsid w:val="001C56BB"/>
    <w:rsid w:val="001D0244"/>
    <w:rsid w:val="001E4AB4"/>
    <w:rsid w:val="001E6F3A"/>
    <w:rsid w:val="001E77AA"/>
    <w:rsid w:val="001E7ED4"/>
    <w:rsid w:val="001F3CED"/>
    <w:rsid w:val="00207352"/>
    <w:rsid w:val="00212F62"/>
    <w:rsid w:val="00214B4C"/>
    <w:rsid w:val="00221729"/>
    <w:rsid w:val="00221D92"/>
    <w:rsid w:val="00232F13"/>
    <w:rsid w:val="002428F1"/>
    <w:rsid w:val="00253EF3"/>
    <w:rsid w:val="002725D1"/>
    <w:rsid w:val="00272600"/>
    <w:rsid w:val="00273508"/>
    <w:rsid w:val="00287B65"/>
    <w:rsid w:val="00287BD6"/>
    <w:rsid w:val="0029303A"/>
    <w:rsid w:val="002938E5"/>
    <w:rsid w:val="00296D88"/>
    <w:rsid w:val="002A1DDB"/>
    <w:rsid w:val="002A2C27"/>
    <w:rsid w:val="002B1B8D"/>
    <w:rsid w:val="002B4F34"/>
    <w:rsid w:val="002C0229"/>
    <w:rsid w:val="002C50EE"/>
    <w:rsid w:val="002D2998"/>
    <w:rsid w:val="002E5470"/>
    <w:rsid w:val="002F53A8"/>
    <w:rsid w:val="00300F9D"/>
    <w:rsid w:val="00302020"/>
    <w:rsid w:val="003038AD"/>
    <w:rsid w:val="00307347"/>
    <w:rsid w:val="00315FB4"/>
    <w:rsid w:val="00324C63"/>
    <w:rsid w:val="0032791F"/>
    <w:rsid w:val="00344148"/>
    <w:rsid w:val="00346A58"/>
    <w:rsid w:val="003564D0"/>
    <w:rsid w:val="00357EB1"/>
    <w:rsid w:val="0036056E"/>
    <w:rsid w:val="00360CB9"/>
    <w:rsid w:val="003635AB"/>
    <w:rsid w:val="0037018F"/>
    <w:rsid w:val="00375A0D"/>
    <w:rsid w:val="00381CC7"/>
    <w:rsid w:val="0038485B"/>
    <w:rsid w:val="00390DB4"/>
    <w:rsid w:val="003B7A54"/>
    <w:rsid w:val="003D25AB"/>
    <w:rsid w:val="003D3A1B"/>
    <w:rsid w:val="003D434C"/>
    <w:rsid w:val="003D4DF9"/>
    <w:rsid w:val="003D7D72"/>
    <w:rsid w:val="003D7EF7"/>
    <w:rsid w:val="004013C9"/>
    <w:rsid w:val="004106F9"/>
    <w:rsid w:val="00412908"/>
    <w:rsid w:val="00413C25"/>
    <w:rsid w:val="00414DF8"/>
    <w:rsid w:val="00423D8C"/>
    <w:rsid w:val="00424069"/>
    <w:rsid w:val="004306C4"/>
    <w:rsid w:val="0043791B"/>
    <w:rsid w:val="00447C19"/>
    <w:rsid w:val="004553A2"/>
    <w:rsid w:val="004601A5"/>
    <w:rsid w:val="00461BCF"/>
    <w:rsid w:val="00462E2B"/>
    <w:rsid w:val="0046687D"/>
    <w:rsid w:val="004710EB"/>
    <w:rsid w:val="00480BFF"/>
    <w:rsid w:val="00484954"/>
    <w:rsid w:val="00490268"/>
    <w:rsid w:val="004A7800"/>
    <w:rsid w:val="004C2A19"/>
    <w:rsid w:val="004C4668"/>
    <w:rsid w:val="004D0730"/>
    <w:rsid w:val="004D6028"/>
    <w:rsid w:val="004D6172"/>
    <w:rsid w:val="004E0C1A"/>
    <w:rsid w:val="004E24AD"/>
    <w:rsid w:val="004E7B39"/>
    <w:rsid w:val="004E7D57"/>
    <w:rsid w:val="005201F6"/>
    <w:rsid w:val="00521223"/>
    <w:rsid w:val="005245CB"/>
    <w:rsid w:val="005326D4"/>
    <w:rsid w:val="00532F64"/>
    <w:rsid w:val="005358DD"/>
    <w:rsid w:val="00536D98"/>
    <w:rsid w:val="005607FA"/>
    <w:rsid w:val="0056133A"/>
    <w:rsid w:val="00575306"/>
    <w:rsid w:val="00590992"/>
    <w:rsid w:val="0059676A"/>
    <w:rsid w:val="005B35D9"/>
    <w:rsid w:val="005B372B"/>
    <w:rsid w:val="005D4EEB"/>
    <w:rsid w:val="005E18E5"/>
    <w:rsid w:val="005F2233"/>
    <w:rsid w:val="005F6E22"/>
    <w:rsid w:val="0060360C"/>
    <w:rsid w:val="00605E61"/>
    <w:rsid w:val="00625401"/>
    <w:rsid w:val="00630634"/>
    <w:rsid w:val="00630D8B"/>
    <w:rsid w:val="00631258"/>
    <w:rsid w:val="00637C28"/>
    <w:rsid w:val="00640C7B"/>
    <w:rsid w:val="006616C2"/>
    <w:rsid w:val="0067099C"/>
    <w:rsid w:val="00671E66"/>
    <w:rsid w:val="00687B8A"/>
    <w:rsid w:val="00697CF7"/>
    <w:rsid w:val="006A1DCB"/>
    <w:rsid w:val="006A3DAA"/>
    <w:rsid w:val="006A7604"/>
    <w:rsid w:val="006A7A3F"/>
    <w:rsid w:val="006B2801"/>
    <w:rsid w:val="006C7219"/>
    <w:rsid w:val="006D31B9"/>
    <w:rsid w:val="006E1C9B"/>
    <w:rsid w:val="006F3362"/>
    <w:rsid w:val="007109CB"/>
    <w:rsid w:val="00711925"/>
    <w:rsid w:val="00711A65"/>
    <w:rsid w:val="00712B8B"/>
    <w:rsid w:val="007206FF"/>
    <w:rsid w:val="0072240B"/>
    <w:rsid w:val="007309E9"/>
    <w:rsid w:val="00733FF9"/>
    <w:rsid w:val="00742C4C"/>
    <w:rsid w:val="00760053"/>
    <w:rsid w:val="00765E14"/>
    <w:rsid w:val="00767461"/>
    <w:rsid w:val="0077693B"/>
    <w:rsid w:val="00785268"/>
    <w:rsid w:val="007953DF"/>
    <w:rsid w:val="007A7470"/>
    <w:rsid w:val="007B7283"/>
    <w:rsid w:val="007C4239"/>
    <w:rsid w:val="007C5AFA"/>
    <w:rsid w:val="007D11EF"/>
    <w:rsid w:val="007E014C"/>
    <w:rsid w:val="007E3353"/>
    <w:rsid w:val="007F5885"/>
    <w:rsid w:val="00800334"/>
    <w:rsid w:val="00807BF9"/>
    <w:rsid w:val="008106E2"/>
    <w:rsid w:val="008123D3"/>
    <w:rsid w:val="008353A7"/>
    <w:rsid w:val="00837C8D"/>
    <w:rsid w:val="008452A1"/>
    <w:rsid w:val="00854BAB"/>
    <w:rsid w:val="00857704"/>
    <w:rsid w:val="00861BFB"/>
    <w:rsid w:val="00867CEA"/>
    <w:rsid w:val="00870012"/>
    <w:rsid w:val="00881AAF"/>
    <w:rsid w:val="00881F52"/>
    <w:rsid w:val="00891838"/>
    <w:rsid w:val="008A056D"/>
    <w:rsid w:val="008A411B"/>
    <w:rsid w:val="008B38FB"/>
    <w:rsid w:val="008C3820"/>
    <w:rsid w:val="008C4431"/>
    <w:rsid w:val="008C6D15"/>
    <w:rsid w:val="008D05E3"/>
    <w:rsid w:val="008E131D"/>
    <w:rsid w:val="008E4E96"/>
    <w:rsid w:val="008E5AA4"/>
    <w:rsid w:val="008E701A"/>
    <w:rsid w:val="008F76AC"/>
    <w:rsid w:val="009002F8"/>
    <w:rsid w:val="00915B2C"/>
    <w:rsid w:val="009226B7"/>
    <w:rsid w:val="0093009A"/>
    <w:rsid w:val="00931CDA"/>
    <w:rsid w:val="009351BD"/>
    <w:rsid w:val="00936D87"/>
    <w:rsid w:val="00943E2D"/>
    <w:rsid w:val="00947AA0"/>
    <w:rsid w:val="009516D2"/>
    <w:rsid w:val="009579A0"/>
    <w:rsid w:val="00967179"/>
    <w:rsid w:val="00971CA7"/>
    <w:rsid w:val="009771B0"/>
    <w:rsid w:val="009773D8"/>
    <w:rsid w:val="00983B30"/>
    <w:rsid w:val="009975D8"/>
    <w:rsid w:val="009A6E13"/>
    <w:rsid w:val="009B4383"/>
    <w:rsid w:val="009B5440"/>
    <w:rsid w:val="009B79D9"/>
    <w:rsid w:val="009C1858"/>
    <w:rsid w:val="009C3E37"/>
    <w:rsid w:val="009E49DD"/>
    <w:rsid w:val="009F3387"/>
    <w:rsid w:val="009F479C"/>
    <w:rsid w:val="00A31BA7"/>
    <w:rsid w:val="00A52602"/>
    <w:rsid w:val="00A5279E"/>
    <w:rsid w:val="00A80154"/>
    <w:rsid w:val="00A83C4A"/>
    <w:rsid w:val="00A91611"/>
    <w:rsid w:val="00AA24E7"/>
    <w:rsid w:val="00AA5232"/>
    <w:rsid w:val="00AA708E"/>
    <w:rsid w:val="00AB6B07"/>
    <w:rsid w:val="00AC52DA"/>
    <w:rsid w:val="00AC5F68"/>
    <w:rsid w:val="00AD75C8"/>
    <w:rsid w:val="00AE1205"/>
    <w:rsid w:val="00AF1CE4"/>
    <w:rsid w:val="00B0518B"/>
    <w:rsid w:val="00B05702"/>
    <w:rsid w:val="00B10306"/>
    <w:rsid w:val="00B1772C"/>
    <w:rsid w:val="00B17A9C"/>
    <w:rsid w:val="00B17C49"/>
    <w:rsid w:val="00B24450"/>
    <w:rsid w:val="00B27545"/>
    <w:rsid w:val="00B30F2F"/>
    <w:rsid w:val="00B32515"/>
    <w:rsid w:val="00B379F8"/>
    <w:rsid w:val="00B405F8"/>
    <w:rsid w:val="00B42EBB"/>
    <w:rsid w:val="00B60065"/>
    <w:rsid w:val="00B64398"/>
    <w:rsid w:val="00B64995"/>
    <w:rsid w:val="00B71960"/>
    <w:rsid w:val="00B750C6"/>
    <w:rsid w:val="00B93394"/>
    <w:rsid w:val="00B9355F"/>
    <w:rsid w:val="00BB31B5"/>
    <w:rsid w:val="00BB5A46"/>
    <w:rsid w:val="00BC1AA3"/>
    <w:rsid w:val="00BE04EF"/>
    <w:rsid w:val="00BE5DF8"/>
    <w:rsid w:val="00C13063"/>
    <w:rsid w:val="00C138B6"/>
    <w:rsid w:val="00C13F3D"/>
    <w:rsid w:val="00C154FE"/>
    <w:rsid w:val="00C259BF"/>
    <w:rsid w:val="00C32A48"/>
    <w:rsid w:val="00C549D2"/>
    <w:rsid w:val="00C5537C"/>
    <w:rsid w:val="00C63A0E"/>
    <w:rsid w:val="00C72EE8"/>
    <w:rsid w:val="00C8286F"/>
    <w:rsid w:val="00C82A2E"/>
    <w:rsid w:val="00C84DAC"/>
    <w:rsid w:val="00CB0C16"/>
    <w:rsid w:val="00CC44C5"/>
    <w:rsid w:val="00CC49CD"/>
    <w:rsid w:val="00CD342E"/>
    <w:rsid w:val="00CD6731"/>
    <w:rsid w:val="00CD76BF"/>
    <w:rsid w:val="00CD7B3D"/>
    <w:rsid w:val="00CE3AD1"/>
    <w:rsid w:val="00D101F5"/>
    <w:rsid w:val="00D27798"/>
    <w:rsid w:val="00D351F0"/>
    <w:rsid w:val="00D37D15"/>
    <w:rsid w:val="00D4151B"/>
    <w:rsid w:val="00D4395F"/>
    <w:rsid w:val="00D72030"/>
    <w:rsid w:val="00D77D69"/>
    <w:rsid w:val="00D80738"/>
    <w:rsid w:val="00D83524"/>
    <w:rsid w:val="00D86C34"/>
    <w:rsid w:val="00D900AE"/>
    <w:rsid w:val="00DC4029"/>
    <w:rsid w:val="00DC5979"/>
    <w:rsid w:val="00DE3C8D"/>
    <w:rsid w:val="00DF0CC3"/>
    <w:rsid w:val="00E0541E"/>
    <w:rsid w:val="00E10D47"/>
    <w:rsid w:val="00E10DE6"/>
    <w:rsid w:val="00E17281"/>
    <w:rsid w:val="00E22734"/>
    <w:rsid w:val="00E41EE0"/>
    <w:rsid w:val="00E4771A"/>
    <w:rsid w:val="00E47FD9"/>
    <w:rsid w:val="00E50738"/>
    <w:rsid w:val="00E601A0"/>
    <w:rsid w:val="00E62A39"/>
    <w:rsid w:val="00E62E67"/>
    <w:rsid w:val="00E64BA2"/>
    <w:rsid w:val="00E652DD"/>
    <w:rsid w:val="00E675AF"/>
    <w:rsid w:val="00E6796E"/>
    <w:rsid w:val="00E80FB8"/>
    <w:rsid w:val="00E87BBC"/>
    <w:rsid w:val="00E95C28"/>
    <w:rsid w:val="00E977D6"/>
    <w:rsid w:val="00E97DE2"/>
    <w:rsid w:val="00EA41F7"/>
    <w:rsid w:val="00EA6748"/>
    <w:rsid w:val="00EB2790"/>
    <w:rsid w:val="00EB2CD1"/>
    <w:rsid w:val="00EB4ABE"/>
    <w:rsid w:val="00EC25F1"/>
    <w:rsid w:val="00EC3BB3"/>
    <w:rsid w:val="00ED5B0D"/>
    <w:rsid w:val="00ED721D"/>
    <w:rsid w:val="00EF32DA"/>
    <w:rsid w:val="00F05814"/>
    <w:rsid w:val="00F06283"/>
    <w:rsid w:val="00F06DEF"/>
    <w:rsid w:val="00F13ECB"/>
    <w:rsid w:val="00F15B7C"/>
    <w:rsid w:val="00F17F9F"/>
    <w:rsid w:val="00F25080"/>
    <w:rsid w:val="00F5030C"/>
    <w:rsid w:val="00F951BF"/>
    <w:rsid w:val="00FA64BF"/>
    <w:rsid w:val="00FC421D"/>
    <w:rsid w:val="00FC4842"/>
    <w:rsid w:val="00FC5244"/>
    <w:rsid w:val="00FD724B"/>
    <w:rsid w:val="00FE172B"/>
    <w:rsid w:val="00FF0B17"/>
    <w:rsid w:val="00FF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FA92"/>
  <w15:chartTrackingRefBased/>
  <w15:docId w15:val="{D8E12CF9-CEFB-4DB8-A00B-16A743FA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E2"/>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6E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3A7"/>
    <w:rPr>
      <w:color w:val="0563C1" w:themeColor="hyperlink"/>
      <w:u w:val="single"/>
    </w:rPr>
  </w:style>
  <w:style w:type="paragraph" w:styleId="Header">
    <w:name w:val="header"/>
    <w:basedOn w:val="Normal"/>
    <w:link w:val="HeaderChar"/>
    <w:uiPriority w:val="99"/>
    <w:unhideWhenUsed/>
    <w:rsid w:val="00E05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41E"/>
    <w:rPr>
      <w:lang w:val="lv-LV"/>
    </w:rPr>
  </w:style>
  <w:style w:type="paragraph" w:styleId="Footer">
    <w:name w:val="footer"/>
    <w:basedOn w:val="Normal"/>
    <w:link w:val="FooterChar"/>
    <w:uiPriority w:val="99"/>
    <w:unhideWhenUsed/>
    <w:rsid w:val="00E05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41E"/>
    <w:rPr>
      <w:lang w:val="lv-LV"/>
    </w:rPr>
  </w:style>
  <w:style w:type="paragraph" w:styleId="BalloonText">
    <w:name w:val="Balloon Text"/>
    <w:basedOn w:val="Normal"/>
    <w:link w:val="BalloonTextChar"/>
    <w:unhideWhenUsed/>
    <w:rsid w:val="007F5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F5885"/>
    <w:rPr>
      <w:rFonts w:ascii="Segoe UI" w:hAnsi="Segoe UI" w:cs="Segoe UI"/>
      <w:sz w:val="18"/>
      <w:szCs w:val="18"/>
      <w:lang w:val="lv-LV"/>
    </w:rPr>
  </w:style>
  <w:style w:type="paragraph" w:styleId="ListParagraph">
    <w:name w:val="List Paragraph"/>
    <w:aliases w:val="2,Bullet list,H&amp;P List Paragraph,Normal bullet 2,Strip,Virsraksti,Syle 1,List Paragraph2,Colorful List - Accent 12,Saistīto dokumentu saraksts,PPS_Bullet,Numurets,Akapit z listą BS,Bullet 1,Bullet Points,Bullet Styl,Dot pt,Bullet EY"/>
    <w:basedOn w:val="Normal"/>
    <w:link w:val="ListParagraphChar"/>
    <w:uiPriority w:val="34"/>
    <w:qFormat/>
    <w:rsid w:val="00E80FB8"/>
    <w:pPr>
      <w:ind w:left="720"/>
      <w:contextualSpacing/>
    </w:pPr>
  </w:style>
  <w:style w:type="character" w:customStyle="1" w:styleId="ListParagraphChar">
    <w:name w:val="List Paragraph Char"/>
    <w:aliases w:val="2 Char,Bullet list Char,H&amp;P List Paragraph Char,Normal bullet 2 Char,Strip Char,Virsraksti Char,Syle 1 Char,List Paragraph2 Char,Colorful List - Accent 12 Char,Saistīto dokumentu saraksts Char,PPS_Bullet Char,Numurets Char"/>
    <w:link w:val="ListParagraph"/>
    <w:uiPriority w:val="34"/>
    <w:qFormat/>
    <w:locked/>
    <w:rsid w:val="00E80FB8"/>
    <w:rPr>
      <w:lang w:val="lv-LV"/>
    </w:rPr>
  </w:style>
  <w:style w:type="paragraph" w:customStyle="1" w:styleId="BodyA">
    <w:name w:val="Body A"/>
    <w:rsid w:val="00E80FB8"/>
    <w:pPr>
      <w:spacing w:after="0" w:line="240" w:lineRule="auto"/>
    </w:pPr>
    <w:rPr>
      <w:rFonts w:ascii="Times New Roman" w:eastAsia="Arial Unicode MS" w:hAnsi="Arial Unicode MS" w:cs="Arial Unicode MS"/>
      <w:color w:val="000000"/>
      <w:sz w:val="24"/>
      <w:szCs w:val="24"/>
      <w:u w:color="000000"/>
      <w:lang w:val="lv-LV" w:eastAsia="lv-LV"/>
    </w:rPr>
  </w:style>
  <w:style w:type="character" w:styleId="UnresolvedMention">
    <w:name w:val="Unresolved Mention"/>
    <w:basedOn w:val="DefaultParagraphFont"/>
    <w:uiPriority w:val="99"/>
    <w:semiHidden/>
    <w:unhideWhenUsed/>
    <w:rsid w:val="00A83C4A"/>
    <w:rPr>
      <w:color w:val="605E5C"/>
      <w:shd w:val="clear" w:color="auto" w:fill="E1DFDD"/>
    </w:rPr>
  </w:style>
  <w:style w:type="paragraph" w:styleId="FootnoteText">
    <w:name w:val="footnote text"/>
    <w:basedOn w:val="Normal"/>
    <w:link w:val="FootnoteTextChar"/>
    <w:uiPriority w:val="99"/>
    <w:semiHidden/>
    <w:unhideWhenUsed/>
    <w:rsid w:val="00B71960"/>
    <w:pPr>
      <w:spacing w:after="0" w:line="240" w:lineRule="auto"/>
    </w:pPr>
    <w:rPr>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B71960"/>
    <w:rPr>
      <w:kern w:val="2"/>
      <w:sz w:val="20"/>
      <w:szCs w:val="20"/>
      <w14:ligatures w14:val="standardContextual"/>
    </w:rPr>
  </w:style>
  <w:style w:type="character" w:styleId="FootnoteReference">
    <w:name w:val="footnote reference"/>
    <w:basedOn w:val="DefaultParagraphFont"/>
    <w:uiPriority w:val="99"/>
    <w:semiHidden/>
    <w:unhideWhenUsed/>
    <w:rsid w:val="00B71960"/>
    <w:rPr>
      <w:vertAlign w:val="superscript"/>
    </w:rPr>
  </w:style>
  <w:style w:type="character" w:styleId="Strong">
    <w:name w:val="Strong"/>
    <w:basedOn w:val="DefaultParagraphFont"/>
    <w:uiPriority w:val="22"/>
    <w:qFormat/>
    <w:rsid w:val="00711A65"/>
    <w:rPr>
      <w:b/>
      <w:bCs/>
    </w:rPr>
  </w:style>
  <w:style w:type="paragraph" w:styleId="NormalWeb">
    <w:name w:val="Normal (Web)"/>
    <w:basedOn w:val="Normal"/>
    <w:uiPriority w:val="99"/>
    <w:unhideWhenUsed/>
    <w:rsid w:val="00375A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ableParagraph">
    <w:name w:val="Table Paragraph"/>
    <w:basedOn w:val="Normal"/>
    <w:uiPriority w:val="1"/>
    <w:qFormat/>
    <w:rsid w:val="002E5470"/>
    <w:pPr>
      <w:widowControl w:val="0"/>
      <w:autoSpaceDE w:val="0"/>
      <w:autoSpaceDN w:val="0"/>
      <w:spacing w:after="0" w:line="240" w:lineRule="auto"/>
    </w:pPr>
    <w:rPr>
      <w:rFonts w:ascii="Times New Roman" w:eastAsia="Times New Roman" w:hAnsi="Times New Roman" w:cs="Times New Roman"/>
    </w:rPr>
  </w:style>
  <w:style w:type="paragraph" w:styleId="Revision">
    <w:name w:val="Revision"/>
    <w:hidden/>
    <w:uiPriority w:val="99"/>
    <w:semiHidden/>
    <w:rsid w:val="00F25080"/>
    <w:pPr>
      <w:spacing w:after="0" w:line="240" w:lineRule="auto"/>
    </w:pPr>
    <w:rPr>
      <w:lang w:val="lv-LV"/>
    </w:rPr>
  </w:style>
  <w:style w:type="character" w:styleId="Emphasis">
    <w:name w:val="Emphasis"/>
    <w:basedOn w:val="DefaultParagraphFont"/>
    <w:uiPriority w:val="20"/>
    <w:qFormat/>
    <w:rsid w:val="00324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c1ae1a-a5a4-41ad-bbda-bad7ff62fa0f" xsi:nil="true"/>
    <lcf76f155ced4ddcb4097134ff3c332f xmlns="879587be-b91c-41fe-acb9-a759a4cffde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10565AC74F9141BC81DE755D7D0B9D" ma:contentTypeVersion="12" ma:contentTypeDescription="Create a new document." ma:contentTypeScope="" ma:versionID="e9200a3bc3d89b0c1e8bd609d834fa10">
  <xsd:schema xmlns:xsd="http://www.w3.org/2001/XMLSchema" xmlns:xs="http://www.w3.org/2001/XMLSchema" xmlns:p="http://schemas.microsoft.com/office/2006/metadata/properties" xmlns:ns2="879587be-b91c-41fe-acb9-a759a4cffde6" xmlns:ns3="a3c1ae1a-a5a4-41ad-bbda-bad7ff62fa0f" targetNamespace="http://schemas.microsoft.com/office/2006/metadata/properties" ma:root="true" ma:fieldsID="5f65493975cc9382f960bc252aa08d3a" ns2:_="" ns3:_="">
    <xsd:import namespace="879587be-b91c-41fe-acb9-a759a4cffde6"/>
    <xsd:import namespace="a3c1ae1a-a5a4-41ad-bbda-bad7ff62fa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587be-b91c-41fe-acb9-a759a4cff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26f578-3aa6-47b5-940c-f0b6d8b2b4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1ae1a-a5a4-41ad-bbda-bad7ff62fa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08aeac-1cb2-48da-9f2c-8b6f1a4db631}" ma:internalName="TaxCatchAll" ma:showField="CatchAllData" ma:web="a3c1ae1a-a5a4-41ad-bbda-bad7ff62f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6AECD-CAC1-4BB9-AC17-DE3B62D59AA4}">
  <ds:schemaRefs>
    <ds:schemaRef ds:uri="http://schemas.microsoft.com/sharepoint/v3/contenttype/forms"/>
  </ds:schemaRefs>
</ds:datastoreItem>
</file>

<file path=customXml/itemProps2.xml><?xml version="1.0" encoding="utf-8"?>
<ds:datastoreItem xmlns:ds="http://schemas.openxmlformats.org/officeDocument/2006/customXml" ds:itemID="{04CA62AA-CE51-4038-B9B1-FE2672B10742}">
  <ds:schemaRefs>
    <ds:schemaRef ds:uri="http://schemas.openxmlformats.org/officeDocument/2006/bibliography"/>
  </ds:schemaRefs>
</ds:datastoreItem>
</file>

<file path=customXml/itemProps3.xml><?xml version="1.0" encoding="utf-8"?>
<ds:datastoreItem xmlns:ds="http://schemas.openxmlformats.org/officeDocument/2006/customXml" ds:itemID="{6D75A3C9-4874-47A3-97E4-E789E31F992B}">
  <ds:schemaRefs>
    <ds:schemaRef ds:uri="http://schemas.microsoft.com/office/2006/metadata/properties"/>
    <ds:schemaRef ds:uri="http://schemas.microsoft.com/office/infopath/2007/PartnerControls"/>
    <ds:schemaRef ds:uri="a3c1ae1a-a5a4-41ad-bbda-bad7ff62fa0f"/>
    <ds:schemaRef ds:uri="879587be-b91c-41fe-acb9-a759a4cffde6"/>
  </ds:schemaRefs>
</ds:datastoreItem>
</file>

<file path=customXml/itemProps4.xml><?xml version="1.0" encoding="utf-8"?>
<ds:datastoreItem xmlns:ds="http://schemas.openxmlformats.org/officeDocument/2006/customXml" ds:itemID="{75A7D825-D0C4-4A52-B084-86E594027DFC}"/>
</file>

<file path=docProps/app.xml><?xml version="1.0" encoding="utf-8"?>
<Properties xmlns="http://schemas.openxmlformats.org/officeDocument/2006/extended-properties" xmlns:vt="http://schemas.openxmlformats.org/officeDocument/2006/docPropsVTypes">
  <Template>Normal</Template>
  <TotalTime>418</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Vita Aleksandra Vasila</cp:lastModifiedBy>
  <cp:revision>226</cp:revision>
  <cp:lastPrinted>2017-12-07T12:09:00Z</cp:lastPrinted>
  <dcterms:created xsi:type="dcterms:W3CDTF">2022-03-23T08:46:00Z</dcterms:created>
  <dcterms:modified xsi:type="dcterms:W3CDTF">2026-07-08T10:11:00Z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0x0101004410565AC74F9141BC81DE755D7D0B9D</vt:lpwstr>
  </property>
  <property fmtid="{D5CDD505-2E9C-101B-9397-08002B2CF9AE}" pid="3" name="MediaServiceImageTags">
    <vt:lpwstr/>
  </property>
</Properties>
</file>