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FC67" w14:textId="6FDB032A" w:rsidR="00B3595F" w:rsidRPr="00BD049D" w:rsidRDefault="00B3595F" w:rsidP="00B3595F">
      <w:pPr>
        <w:spacing w:after="0" w:line="240" w:lineRule="auto"/>
        <w:jc w:val="right"/>
        <w:rPr>
          <w:rFonts w:ascii="Times New Roman" w:hAnsi="Times New Roman"/>
          <w:lang w:eastAsia="lv-LV"/>
        </w:rPr>
      </w:pPr>
      <w:bookmarkStart w:id="0" w:name="_Hlk24703078"/>
      <w:r w:rsidRPr="00BD049D">
        <w:rPr>
          <w:rFonts w:ascii="Times New Roman" w:hAnsi="Times New Roman"/>
          <w:lang w:eastAsia="lv-LV"/>
        </w:rPr>
        <w:t xml:space="preserve">Nolikuma </w:t>
      </w:r>
      <w:r w:rsidR="00FB52B7">
        <w:rPr>
          <w:rFonts w:ascii="Times New Roman" w:hAnsi="Times New Roman"/>
          <w:lang w:eastAsia="lv-LV"/>
        </w:rPr>
        <w:t>3</w:t>
      </w:r>
      <w:r w:rsidRPr="00BD049D">
        <w:rPr>
          <w:rFonts w:ascii="Times New Roman" w:hAnsi="Times New Roman"/>
          <w:lang w:eastAsia="lv-LV"/>
        </w:rPr>
        <w:t xml:space="preserve">.pielikums </w:t>
      </w:r>
    </w:p>
    <w:p w14:paraId="416EEFC8" w14:textId="77777777" w:rsidR="00B3595F" w:rsidRPr="00BD049D" w:rsidRDefault="00B3595F" w:rsidP="00B3595F">
      <w:pPr>
        <w:spacing w:after="120"/>
        <w:jc w:val="right"/>
        <w:rPr>
          <w:rFonts w:ascii="Times New Roman" w:hAnsi="Times New Roman"/>
          <w:bCs/>
          <w:lang w:eastAsia="lv-LV"/>
        </w:rPr>
      </w:pPr>
      <w:r w:rsidRPr="00BD049D">
        <w:rPr>
          <w:rFonts w:ascii="Times New Roman" w:hAnsi="Times New Roman"/>
          <w:bCs/>
          <w:lang w:eastAsia="lv-LV"/>
        </w:rPr>
        <w:t>(ID. Nr. PSKUS 2026/117)</w:t>
      </w:r>
    </w:p>
    <w:bookmarkEnd w:id="0"/>
    <w:p w14:paraId="57F1A8F1" w14:textId="77777777" w:rsidR="00B3595F" w:rsidRPr="00BD049D" w:rsidRDefault="00B3595F" w:rsidP="00B3595F">
      <w:pPr>
        <w:spacing w:after="4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BD049D">
        <w:rPr>
          <w:rFonts w:ascii="Times New Roman" w:hAnsi="Times New Roman"/>
          <w:b/>
          <w:bCs/>
          <w:shd w:val="clear" w:color="auto" w:fill="FFFFFF"/>
        </w:rPr>
        <w:t xml:space="preserve">Publisko iepirkumu likuma 9.panta </w:t>
      </w:r>
      <w:r w:rsidRPr="00BD049D">
        <w:rPr>
          <w:rFonts w:ascii="Times New Roman" w:hAnsi="Times New Roman"/>
          <w:b/>
          <w:bCs/>
          <w:lang w:eastAsia="x-none"/>
        </w:rPr>
        <w:t>iepirkuma</w:t>
      </w:r>
    </w:p>
    <w:p w14:paraId="6CEB04DB" w14:textId="77777777" w:rsidR="00B3595F" w:rsidRPr="00BD049D" w:rsidRDefault="00B3595F" w:rsidP="00B3595F">
      <w:pPr>
        <w:spacing w:after="40"/>
        <w:jc w:val="center"/>
        <w:rPr>
          <w:rFonts w:ascii="Times New Roman" w:hAnsi="Times New Roman"/>
          <w:b/>
          <w:bCs/>
        </w:rPr>
      </w:pPr>
      <w:r w:rsidRPr="00BD049D">
        <w:rPr>
          <w:rFonts w:ascii="Times New Roman" w:hAnsi="Times New Roman"/>
          <w:b/>
          <w:bCs/>
          <w:lang w:eastAsia="x-none"/>
        </w:rPr>
        <w:t>“</w:t>
      </w:r>
      <w:r w:rsidRPr="00BD049D">
        <w:rPr>
          <w:rFonts w:ascii="Times New Roman" w:eastAsia="Times New Roman" w:hAnsi="Times New Roman"/>
          <w:b/>
          <w:bCs/>
          <w:i/>
          <w:noProof/>
          <w:lang w:eastAsia="ar-SA"/>
        </w:rPr>
        <w:t>Ēku tehniskās apsekošanas</w:t>
      </w:r>
      <w:r w:rsidRPr="00BD049D">
        <w:rPr>
          <w:rFonts w:ascii="Times New Roman" w:hAnsi="Times New Roman"/>
          <w:b/>
          <w:bCs/>
        </w:rPr>
        <w:t>”</w:t>
      </w:r>
    </w:p>
    <w:p w14:paraId="0F264790" w14:textId="77777777" w:rsidR="00B3595F" w:rsidRPr="00BD049D" w:rsidRDefault="00B3595F" w:rsidP="00B3595F">
      <w:pPr>
        <w:spacing w:after="40"/>
        <w:jc w:val="center"/>
        <w:rPr>
          <w:rFonts w:ascii="Times New Roman" w:hAnsi="Times New Roman"/>
          <w:bCs/>
        </w:rPr>
      </w:pPr>
      <w:r w:rsidRPr="00BD049D">
        <w:rPr>
          <w:rFonts w:ascii="Times New Roman" w:hAnsi="Times New Roman"/>
          <w:bCs/>
        </w:rPr>
        <w:t>ID Nr. </w:t>
      </w:r>
      <w:r w:rsidRPr="00BD049D">
        <w:rPr>
          <w:rFonts w:ascii="Times New Roman" w:hAnsi="Times New Roman"/>
          <w:b/>
          <w:bCs/>
        </w:rPr>
        <w:t>PSKUS 2026/117</w:t>
      </w:r>
    </w:p>
    <w:p w14:paraId="20625236" w14:textId="011DA876" w:rsidR="002361EE" w:rsidRPr="00F9097B" w:rsidRDefault="003C5A90" w:rsidP="00F9097B">
      <w:pPr>
        <w:widowControl w:val="0"/>
        <w:autoSpaceDE w:val="0"/>
        <w:autoSpaceDN w:val="0"/>
        <w:spacing w:before="120" w:after="120" w:line="240" w:lineRule="auto"/>
        <w:ind w:left="142"/>
        <w:jc w:val="center"/>
        <w:rPr>
          <w:rFonts w:ascii="Times New Roman" w:eastAsia="Times New Roman" w:hAnsi="Times New Roman"/>
          <w:b/>
        </w:rPr>
      </w:pPr>
      <w:r w:rsidRPr="00BD049D">
        <w:rPr>
          <w:rFonts w:ascii="Times New Roman" w:eastAsia="Times New Roman" w:hAnsi="Times New Roman"/>
          <w:b/>
        </w:rPr>
        <w:t>FINANŠU PIEDĀVĀJUMS</w:t>
      </w:r>
    </w:p>
    <w:p w14:paraId="33F63E29" w14:textId="3BAABEB1" w:rsidR="00514694" w:rsidRPr="00BD049D" w:rsidRDefault="00514694" w:rsidP="00FC3EB5">
      <w:pPr>
        <w:spacing w:after="60"/>
        <w:jc w:val="both"/>
        <w:rPr>
          <w:rFonts w:ascii="Times New Roman" w:hAnsi="Times New Roman"/>
          <w:bCs/>
          <w:i/>
          <w:iCs/>
          <w:color w:val="7030A0"/>
        </w:rPr>
      </w:pPr>
      <w:r w:rsidRPr="00BD049D">
        <w:rPr>
          <w:rFonts w:ascii="Times New Roman" w:hAnsi="Times New Roman"/>
          <w:b/>
        </w:rPr>
        <w:t xml:space="preserve">Pretendents ____________________________ </w:t>
      </w:r>
      <w:r w:rsidRPr="00BD049D">
        <w:rPr>
          <w:rFonts w:ascii="Times New Roman" w:hAnsi="Times New Roman"/>
          <w:bCs/>
          <w:i/>
          <w:iCs/>
          <w:color w:val="7030A0"/>
        </w:rPr>
        <w:t xml:space="preserve">(Pretendenta nosaukums un reģistrācijas numurs) </w:t>
      </w:r>
    </w:p>
    <w:p w14:paraId="073A7E67" w14:textId="5942E903" w:rsidR="00B3595F" w:rsidRPr="00F9097B" w:rsidRDefault="00BD049D" w:rsidP="00FC3EB5">
      <w:pPr>
        <w:spacing w:after="60"/>
        <w:jc w:val="both"/>
        <w:rPr>
          <w:rFonts w:ascii="Times New Roman" w:hAnsi="Times New Roman"/>
          <w:b/>
        </w:rPr>
      </w:pPr>
      <w:r w:rsidRPr="00F9097B">
        <w:rPr>
          <w:rFonts w:ascii="Times New Roman" w:hAnsi="Times New Roman"/>
          <w:b/>
        </w:rPr>
        <w:t>[1] Piedāvājums Tehniskajā specifikācijā norādītajām ēkām:</w:t>
      </w:r>
    </w:p>
    <w:tbl>
      <w:tblPr>
        <w:tblStyle w:val="Reatabula1"/>
        <w:tblW w:w="9918" w:type="dxa"/>
        <w:jc w:val="center"/>
        <w:tblLook w:val="04A0" w:firstRow="1" w:lastRow="0" w:firstColumn="1" w:lastColumn="0" w:noHBand="0" w:noVBand="1"/>
      </w:tblPr>
      <w:tblGrid>
        <w:gridCol w:w="637"/>
        <w:gridCol w:w="7272"/>
        <w:gridCol w:w="2009"/>
      </w:tblGrid>
      <w:tr w:rsidR="00B3595F" w:rsidRPr="00BD049D" w14:paraId="3C8DC66F" w14:textId="77777777" w:rsidTr="00516E00">
        <w:trPr>
          <w:trHeight w:val="44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246F66B" w14:textId="77777777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6ABF" w14:textId="70378671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Ēkas </w:t>
            </w:r>
            <w:r w:rsidRPr="00BD049D">
              <w:rPr>
                <w:rFonts w:ascii="Times New Roman" w:hAnsi="Times New Roman"/>
                <w:b/>
                <w:sz w:val="22"/>
                <w:szCs w:val="22"/>
              </w:rPr>
              <w:t>Pilsoņu ielā 13, Rīgā</w:t>
            </w:r>
          </w:p>
        </w:tc>
        <w:tc>
          <w:tcPr>
            <w:tcW w:w="2009" w:type="dxa"/>
            <w:shd w:val="clear" w:color="auto" w:fill="F2F2F2"/>
            <w:vAlign w:val="center"/>
          </w:tcPr>
          <w:p w14:paraId="6BD3EF3C" w14:textId="7355F36A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Cena EUR (bez PVN)</w:t>
            </w:r>
          </w:p>
        </w:tc>
      </w:tr>
      <w:tr w:rsidR="00B3595F" w:rsidRPr="00BD049D" w14:paraId="1F34F114" w14:textId="77777777" w:rsidTr="00516E00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710F" w14:textId="77777777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81308" w14:textId="5F288CA5" w:rsidR="00B3595F" w:rsidRPr="00BD049D" w:rsidRDefault="009A34A4" w:rsidP="00F9097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sz w:val="22"/>
                <w:szCs w:val="22"/>
              </w:rPr>
              <w:t xml:space="preserve">Ēkas kadastra Nr. </w:t>
            </w:r>
            <w:r w:rsidR="00B3595F" w:rsidRPr="00BD049D">
              <w:rPr>
                <w:rFonts w:ascii="Times New Roman" w:hAnsi="Times New Roman"/>
                <w:sz w:val="22"/>
                <w:szCs w:val="22"/>
              </w:rPr>
              <w:t>01000560115046</w:t>
            </w:r>
          </w:p>
        </w:tc>
        <w:tc>
          <w:tcPr>
            <w:tcW w:w="2009" w:type="dxa"/>
            <w:vAlign w:val="center"/>
          </w:tcPr>
          <w:p w14:paraId="1EBEF7CB" w14:textId="77777777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3595F" w:rsidRPr="00BD049D" w14:paraId="7F87FDC6" w14:textId="77777777" w:rsidTr="00516E00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46EF" w14:textId="77777777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B2148" w14:textId="623F9853" w:rsidR="00B3595F" w:rsidRPr="00BD049D" w:rsidRDefault="009A34A4" w:rsidP="00F9097B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sz w:val="22"/>
                <w:szCs w:val="22"/>
              </w:rPr>
              <w:t xml:space="preserve">Ēkas kadastra Nr. </w:t>
            </w:r>
            <w:r w:rsidR="00B3595F" w:rsidRPr="00BD049D">
              <w:rPr>
                <w:rFonts w:ascii="Times New Roman" w:hAnsi="Times New Roman"/>
                <w:sz w:val="22"/>
                <w:szCs w:val="22"/>
              </w:rPr>
              <w:t>01000560115047</w:t>
            </w:r>
          </w:p>
        </w:tc>
        <w:tc>
          <w:tcPr>
            <w:tcW w:w="2009" w:type="dxa"/>
            <w:vAlign w:val="center"/>
          </w:tcPr>
          <w:p w14:paraId="3398948F" w14:textId="77777777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3595F" w:rsidRPr="00BD049D" w14:paraId="7EAF6D42" w14:textId="77777777" w:rsidTr="00516E00">
        <w:trPr>
          <w:trHeight w:val="315"/>
          <w:jc w:val="center"/>
        </w:trPr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DCA7B6" w14:textId="7463C105" w:rsidR="00B3595F" w:rsidRPr="00BD049D" w:rsidRDefault="00B3595F" w:rsidP="00F909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049D">
              <w:rPr>
                <w:rFonts w:ascii="Times New Roman" w:hAnsi="Times New Roman"/>
                <w:color w:val="000000"/>
                <w:sz w:val="22"/>
                <w:szCs w:val="22"/>
              </w:rPr>
              <w:t>Kopā EUR (bez PVN)</w:t>
            </w:r>
          </w:p>
        </w:tc>
        <w:tc>
          <w:tcPr>
            <w:tcW w:w="2009" w:type="dxa"/>
            <w:vAlign w:val="center"/>
          </w:tcPr>
          <w:p w14:paraId="601AC975" w14:textId="77777777" w:rsidR="00B3595F" w:rsidRPr="00BD049D" w:rsidRDefault="00B3595F" w:rsidP="00F90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F438FDB" w14:textId="77777777" w:rsidR="00BD049D" w:rsidRPr="00BD049D" w:rsidRDefault="00BD049D" w:rsidP="00BD049D">
      <w:pPr>
        <w:autoSpaceDE w:val="0"/>
        <w:spacing w:before="120" w:after="120" w:line="240" w:lineRule="auto"/>
        <w:ind w:left="567" w:hanging="567"/>
        <w:jc w:val="both"/>
        <w:rPr>
          <w:rFonts w:ascii="Times New Roman" w:eastAsia="Arial" w:hAnsi="Times New Roman"/>
        </w:rPr>
      </w:pPr>
      <w:r w:rsidRPr="00BD049D">
        <w:rPr>
          <w:rFonts w:ascii="Times New Roman" w:eastAsia="Arial" w:hAnsi="Times New Roman"/>
        </w:rPr>
        <w:t xml:space="preserve">Apliecinām, ka: </w:t>
      </w:r>
    </w:p>
    <w:p w14:paraId="6DF2AA89" w14:textId="3FE3C86E" w:rsidR="00BD049D" w:rsidRPr="00BD049D" w:rsidRDefault="00BD049D" w:rsidP="00BD049D">
      <w:pPr>
        <w:numPr>
          <w:ilvl w:val="0"/>
          <w:numId w:val="3"/>
        </w:numPr>
        <w:suppressAutoHyphens/>
        <w:autoSpaceDE w:val="0"/>
        <w:spacing w:after="0" w:line="240" w:lineRule="auto"/>
        <w:ind w:left="567" w:hanging="567"/>
        <w:jc w:val="both"/>
        <w:rPr>
          <w:rFonts w:ascii="Times New Roman" w:eastAsia="Arial" w:hAnsi="Times New Roman"/>
          <w:noProof/>
          <w:kern w:val="1"/>
          <w:lang w:bidi="hi-IN"/>
        </w:rPr>
      </w:pPr>
      <w:r>
        <w:rPr>
          <w:rFonts w:ascii="Times New Roman" w:eastAsia="Arial" w:hAnsi="Times New Roman"/>
          <w:noProof/>
          <w:kern w:val="1"/>
          <w:lang w:bidi="hi-IN"/>
        </w:rPr>
        <w:t>Finanšu piedāvājumā norādītās izmaksas ēku t</w:t>
      </w:r>
      <w:r w:rsidRPr="00BD049D">
        <w:rPr>
          <w:rFonts w:ascii="Times New Roman" w:eastAsia="Arial" w:hAnsi="Times New Roman"/>
          <w:noProof/>
          <w:kern w:val="1"/>
          <w:lang w:bidi="hi-IN"/>
        </w:rPr>
        <w:t xml:space="preserve">ehniskās apsekošanas pakalpojuma </w:t>
      </w:r>
      <w:r>
        <w:rPr>
          <w:rFonts w:ascii="Times New Roman" w:eastAsia="Arial" w:hAnsi="Times New Roman"/>
          <w:noProof/>
          <w:kern w:val="1"/>
          <w:lang w:bidi="hi-IN"/>
        </w:rPr>
        <w:t>sniegšanai</w:t>
      </w:r>
      <w:r w:rsidRPr="00BD049D">
        <w:rPr>
          <w:rFonts w:ascii="Times New Roman" w:eastAsia="Arial" w:hAnsi="Times New Roman"/>
          <w:noProof/>
          <w:kern w:val="1"/>
          <w:lang w:bidi="hi-IN"/>
        </w:rPr>
        <w:t xml:space="preserve">, ir pilnīgi pietiekamas, lai sniegtu pakalpojumu atbilstoši izvirzītajām prasībām; </w:t>
      </w:r>
    </w:p>
    <w:p w14:paraId="5B42CF20" w14:textId="08B8C856" w:rsidR="00BD049D" w:rsidRPr="00BD049D" w:rsidRDefault="00BD049D" w:rsidP="00BD049D">
      <w:pPr>
        <w:numPr>
          <w:ilvl w:val="0"/>
          <w:numId w:val="3"/>
        </w:numPr>
        <w:suppressAutoHyphens/>
        <w:autoSpaceDE w:val="0"/>
        <w:spacing w:after="120" w:line="240" w:lineRule="auto"/>
        <w:ind w:left="567" w:hanging="567"/>
        <w:jc w:val="both"/>
        <w:rPr>
          <w:rFonts w:ascii="Times New Roman" w:eastAsia="Arial" w:hAnsi="Times New Roman"/>
          <w:noProof/>
          <w:kern w:val="1"/>
          <w:lang w:bidi="hi-IN"/>
        </w:rPr>
      </w:pPr>
      <w:r>
        <w:rPr>
          <w:rFonts w:ascii="Times New Roman" w:eastAsia="Arial" w:hAnsi="Times New Roman"/>
          <w:noProof/>
          <w:kern w:val="1"/>
          <w:lang w:bidi="hi-IN"/>
        </w:rPr>
        <w:t>i</w:t>
      </w:r>
      <w:r w:rsidRPr="00BD049D">
        <w:rPr>
          <w:rFonts w:ascii="Times New Roman" w:eastAsia="Arial" w:hAnsi="Times New Roman"/>
          <w:noProof/>
          <w:kern w:val="1"/>
          <w:lang w:bidi="hi-IN"/>
        </w:rPr>
        <w:t xml:space="preserve">epirkuma līguma ietvaros mūsu piedāvātās </w:t>
      </w:r>
      <w:r>
        <w:rPr>
          <w:rFonts w:ascii="Times New Roman" w:eastAsia="Arial" w:hAnsi="Times New Roman"/>
          <w:noProof/>
          <w:kern w:val="1"/>
          <w:lang w:bidi="hi-IN"/>
        </w:rPr>
        <w:t>ēku t</w:t>
      </w:r>
      <w:r w:rsidRPr="00BD049D">
        <w:rPr>
          <w:rFonts w:ascii="Times New Roman" w:eastAsia="Arial" w:hAnsi="Times New Roman"/>
          <w:noProof/>
          <w:kern w:val="1"/>
          <w:lang w:bidi="hi-IN"/>
        </w:rPr>
        <w:t xml:space="preserve">ehniskās apsekošanas pakalpojuma izmaksas nepārsniegs šajā piedāvājumā norādītās </w:t>
      </w:r>
      <w:r>
        <w:rPr>
          <w:rFonts w:ascii="Times New Roman" w:eastAsia="Arial" w:hAnsi="Times New Roman"/>
          <w:noProof/>
          <w:kern w:val="1"/>
          <w:lang w:bidi="hi-IN"/>
        </w:rPr>
        <w:t>cenas</w:t>
      </w:r>
      <w:r w:rsidRPr="00BD049D">
        <w:rPr>
          <w:rFonts w:ascii="Times New Roman" w:eastAsia="Arial" w:hAnsi="Times New Roman"/>
          <w:iCs/>
          <w:noProof/>
          <w:kern w:val="1"/>
          <w:lang w:bidi="hi-IN"/>
        </w:rPr>
        <w:t>.</w:t>
      </w:r>
    </w:p>
    <w:p w14:paraId="461252C2" w14:textId="674849C4" w:rsidR="009F4CCA" w:rsidRPr="00BD049D" w:rsidRDefault="00BD049D" w:rsidP="00BD049D">
      <w:pPr>
        <w:spacing w:after="120" w:line="240" w:lineRule="auto"/>
        <w:jc w:val="both"/>
        <w:rPr>
          <w:rFonts w:ascii="Times New Roman" w:hAnsi="Times New Roman"/>
        </w:rPr>
      </w:pPr>
      <w:r w:rsidRPr="00F9097B">
        <w:rPr>
          <w:rFonts w:ascii="Times New Roman" w:hAnsi="Times New Roman"/>
          <w:b/>
          <w:bCs/>
        </w:rPr>
        <w:t xml:space="preserve">[2] Pretendents </w:t>
      </w:r>
      <w:r w:rsidR="009F4CCA" w:rsidRPr="00F9097B">
        <w:rPr>
          <w:rFonts w:ascii="Times New Roman" w:hAnsi="Times New Roman"/>
          <w:b/>
          <w:bCs/>
        </w:rPr>
        <w:t xml:space="preserve">piedāvā veikt tehnisko apsekošanu vai izpēti </w:t>
      </w:r>
      <w:r w:rsidR="002361EE" w:rsidRPr="00F9097B">
        <w:rPr>
          <w:rFonts w:ascii="Times New Roman" w:hAnsi="Times New Roman"/>
          <w:b/>
          <w:bCs/>
        </w:rPr>
        <w:t xml:space="preserve">citām Pilsoņu iela 13, Rīga </w:t>
      </w:r>
      <w:r w:rsidR="000B6FF0" w:rsidRPr="00F9097B">
        <w:rPr>
          <w:rFonts w:ascii="Times New Roman" w:hAnsi="Times New Roman"/>
          <w:b/>
          <w:bCs/>
        </w:rPr>
        <w:t>ēkām pēc Pasūtītāja pieprasījuma</w:t>
      </w:r>
      <w:r w:rsidR="002361EE" w:rsidRPr="00F9097B">
        <w:rPr>
          <w:rFonts w:ascii="Times New Roman" w:hAnsi="Times New Roman"/>
          <w:b/>
          <w:bCs/>
        </w:rPr>
        <w:t xml:space="preserve">, </w:t>
      </w:r>
      <w:r w:rsidR="009F4CCA" w:rsidRPr="00F9097B">
        <w:rPr>
          <w:rFonts w:ascii="Times New Roman" w:hAnsi="Times New Roman"/>
          <w:b/>
          <w:bCs/>
        </w:rPr>
        <w:t>saskaņā ar Nolikumā un tā pielikumos ietvertajiem nosacījumiem par cenu</w:t>
      </w:r>
      <w:r w:rsidR="009F4CCA" w:rsidRPr="00BD049D">
        <w:rPr>
          <w:rFonts w:ascii="Times New Roman" w:hAnsi="Times New Roman"/>
          <w:b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1"/>
        <w:gridCol w:w="2415"/>
        <w:gridCol w:w="3925"/>
      </w:tblGrid>
      <w:tr w:rsidR="009F4CCA" w:rsidRPr="00BD049D" w14:paraId="2A66F5FC" w14:textId="77777777" w:rsidTr="00516E00">
        <w:trPr>
          <w:trHeight w:val="366"/>
        </w:trPr>
        <w:tc>
          <w:tcPr>
            <w:tcW w:w="1818" w:type="pct"/>
            <w:shd w:val="clear" w:color="auto" w:fill="D9D9D9"/>
            <w:vAlign w:val="center"/>
          </w:tcPr>
          <w:p w14:paraId="47FDAB87" w14:textId="32115939" w:rsidR="009F4CCA" w:rsidRPr="00BD049D" w:rsidRDefault="009F4CCA" w:rsidP="00F909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BD049D">
              <w:rPr>
                <w:rFonts w:ascii="Times New Roman" w:hAnsi="Times New Roman"/>
              </w:rPr>
              <w:t xml:space="preserve"> </w:t>
            </w:r>
            <w:r w:rsidRPr="00BD049D">
              <w:rPr>
                <w:rFonts w:ascii="Times New Roman" w:hAnsi="Times New Roman"/>
                <w:lang w:eastAsia="lv-LV"/>
              </w:rPr>
              <w:t>Cena EUR/</w:t>
            </w:r>
            <w:r w:rsidR="002361EE" w:rsidRPr="00BD049D">
              <w:rPr>
                <w:rFonts w:ascii="Times New Roman" w:hAnsi="Times New Roman"/>
                <w:lang w:eastAsia="lv-LV"/>
              </w:rPr>
              <w:t>m</w:t>
            </w:r>
            <w:r w:rsidR="002361EE" w:rsidRPr="00BD049D">
              <w:rPr>
                <w:rFonts w:ascii="Times New Roman" w:hAnsi="Times New Roman"/>
                <w:vertAlign w:val="superscript"/>
                <w:lang w:eastAsia="lv-LV"/>
              </w:rPr>
              <w:t>2</w:t>
            </w:r>
            <w:r w:rsidRPr="00BD049D">
              <w:rPr>
                <w:rFonts w:ascii="Times New Roman" w:hAnsi="Times New Roman"/>
                <w:lang w:eastAsia="lv-LV"/>
              </w:rPr>
              <w:t>* (bez PVN)</w:t>
            </w:r>
          </w:p>
        </w:tc>
        <w:tc>
          <w:tcPr>
            <w:tcW w:w="1212" w:type="pct"/>
            <w:shd w:val="clear" w:color="auto" w:fill="D9D9D9"/>
            <w:vAlign w:val="center"/>
          </w:tcPr>
          <w:p w14:paraId="69AA25B8" w14:textId="77777777" w:rsidR="009F4CCA" w:rsidRPr="00BD049D" w:rsidRDefault="009F4CCA" w:rsidP="00F909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BD049D">
              <w:rPr>
                <w:rFonts w:ascii="Times New Roman" w:hAnsi="Times New Roman"/>
                <w:lang w:eastAsia="lv-LV"/>
              </w:rPr>
              <w:t>PVN 21% EUR</w:t>
            </w:r>
          </w:p>
        </w:tc>
        <w:tc>
          <w:tcPr>
            <w:tcW w:w="1970" w:type="pct"/>
            <w:shd w:val="clear" w:color="auto" w:fill="D9D9D9"/>
            <w:vAlign w:val="center"/>
          </w:tcPr>
          <w:p w14:paraId="3F75EF37" w14:textId="02F66009" w:rsidR="009F4CCA" w:rsidRPr="00BD049D" w:rsidRDefault="009F4CCA" w:rsidP="00F909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BD049D">
              <w:rPr>
                <w:rFonts w:ascii="Times New Roman" w:hAnsi="Times New Roman"/>
                <w:lang w:eastAsia="lv-LV"/>
              </w:rPr>
              <w:t>Kopā EUR/</w:t>
            </w:r>
            <w:r w:rsidR="002361EE" w:rsidRPr="00BD049D">
              <w:rPr>
                <w:rFonts w:ascii="Times New Roman" w:hAnsi="Times New Roman"/>
                <w:lang w:eastAsia="lv-LV"/>
              </w:rPr>
              <w:t>m</w:t>
            </w:r>
            <w:r w:rsidR="002361EE" w:rsidRPr="00BD049D">
              <w:rPr>
                <w:rFonts w:ascii="Times New Roman" w:hAnsi="Times New Roman"/>
                <w:vertAlign w:val="superscript"/>
                <w:lang w:eastAsia="lv-LV"/>
              </w:rPr>
              <w:t>2</w:t>
            </w:r>
            <w:r w:rsidRPr="00BD049D">
              <w:rPr>
                <w:rFonts w:ascii="Times New Roman" w:hAnsi="Times New Roman"/>
                <w:lang w:eastAsia="lv-LV"/>
              </w:rPr>
              <w:t xml:space="preserve"> (ar PVN)</w:t>
            </w:r>
          </w:p>
        </w:tc>
      </w:tr>
      <w:tr w:rsidR="009F4CCA" w:rsidRPr="00BD049D" w14:paraId="75B1DC1F" w14:textId="77777777" w:rsidTr="00516E00">
        <w:trPr>
          <w:trHeight w:val="429"/>
        </w:trPr>
        <w:tc>
          <w:tcPr>
            <w:tcW w:w="1818" w:type="pct"/>
            <w:vAlign w:val="center"/>
          </w:tcPr>
          <w:p w14:paraId="4AF798B1" w14:textId="77777777" w:rsidR="009F4CCA" w:rsidRPr="00BD049D" w:rsidRDefault="009F4CCA" w:rsidP="00F909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1212" w:type="pct"/>
            <w:vAlign w:val="center"/>
          </w:tcPr>
          <w:p w14:paraId="17A99778" w14:textId="77777777" w:rsidR="009F4CCA" w:rsidRPr="00BD049D" w:rsidRDefault="009F4CCA" w:rsidP="00F909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1970" w:type="pct"/>
            <w:vAlign w:val="center"/>
          </w:tcPr>
          <w:p w14:paraId="60248FEA" w14:textId="77777777" w:rsidR="009F4CCA" w:rsidRPr="00BD049D" w:rsidRDefault="009F4CCA" w:rsidP="00F909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lv-LV"/>
              </w:rPr>
            </w:pPr>
          </w:p>
        </w:tc>
      </w:tr>
    </w:tbl>
    <w:p w14:paraId="568C0041" w14:textId="776F654C" w:rsidR="009F4CCA" w:rsidRPr="00BD049D" w:rsidRDefault="009F4CCA" w:rsidP="00F9097B">
      <w:pPr>
        <w:autoSpaceDE w:val="0"/>
        <w:spacing w:before="60" w:after="60" w:line="240" w:lineRule="auto"/>
        <w:jc w:val="both"/>
        <w:rPr>
          <w:rFonts w:ascii="Times New Roman" w:hAnsi="Times New Roman"/>
          <w:i/>
        </w:rPr>
      </w:pPr>
      <w:r w:rsidRPr="00BD049D">
        <w:rPr>
          <w:rFonts w:ascii="Times New Roman" w:hAnsi="Times New Roman"/>
          <w:i/>
        </w:rPr>
        <w:t xml:space="preserve">*(Cenā ir jāiekļauj visi izdevumi, kas saistīti ar tehniskās apsekošanas veikšanu, t.sk. darbaspēka, apdrošināšanas, materiālu u.c. Summa jānoapaļo līdz diviem cipariem aiz komata. Finanšu piedāvājumu sagatavo, ņemot vērā </w:t>
      </w:r>
      <w:r w:rsidR="00BD049D" w:rsidRPr="00BD049D">
        <w:rPr>
          <w:rFonts w:ascii="Times New Roman" w:hAnsi="Times New Roman"/>
          <w:i/>
        </w:rPr>
        <w:t>Tehniskajā specifikācijā</w:t>
      </w:r>
      <w:r w:rsidRPr="00BD049D">
        <w:rPr>
          <w:rFonts w:ascii="Times New Roman" w:hAnsi="Times New Roman"/>
          <w:i/>
        </w:rPr>
        <w:t xml:space="preserve"> </w:t>
      </w:r>
      <w:r w:rsidR="00BD049D" w:rsidRPr="00BD049D">
        <w:rPr>
          <w:rFonts w:ascii="Times New Roman" w:hAnsi="Times New Roman"/>
          <w:i/>
        </w:rPr>
        <w:t xml:space="preserve">plānoto </w:t>
      </w:r>
      <w:r w:rsidRPr="00BD049D">
        <w:rPr>
          <w:rFonts w:ascii="Times New Roman" w:hAnsi="Times New Roman"/>
          <w:i/>
        </w:rPr>
        <w:t>tehnisko apsekošanu, paredzot visas pakalpojuma izmaksas ar visiem riskiem).</w:t>
      </w:r>
    </w:p>
    <w:p w14:paraId="6344FE7E" w14:textId="282DCE5D" w:rsidR="00F9097B" w:rsidRPr="00F9097B" w:rsidRDefault="009F4CCA" w:rsidP="00F9097B">
      <w:pPr>
        <w:autoSpaceDE w:val="0"/>
        <w:spacing w:before="120" w:after="120" w:line="240" w:lineRule="auto"/>
        <w:ind w:left="567" w:hanging="567"/>
        <w:jc w:val="both"/>
        <w:rPr>
          <w:rFonts w:ascii="Times New Roman" w:eastAsia="Arial" w:hAnsi="Times New Roman"/>
        </w:rPr>
      </w:pPr>
      <w:r w:rsidRPr="00BD049D">
        <w:rPr>
          <w:rFonts w:ascii="Times New Roman" w:eastAsia="Arial" w:hAnsi="Times New Roman"/>
        </w:rPr>
        <w:t xml:space="preserve">Apliecinām, ka: </w:t>
      </w:r>
    </w:p>
    <w:p w14:paraId="0FF060C2" w14:textId="434A134B" w:rsidR="00F9097B" w:rsidRDefault="00F9097B" w:rsidP="00F9097B">
      <w:pPr>
        <w:numPr>
          <w:ilvl w:val="0"/>
          <w:numId w:val="3"/>
        </w:numPr>
        <w:suppressAutoHyphens/>
        <w:autoSpaceDE w:val="0"/>
        <w:spacing w:after="0" w:line="240" w:lineRule="auto"/>
        <w:ind w:left="567" w:hanging="567"/>
        <w:jc w:val="both"/>
        <w:rPr>
          <w:rFonts w:ascii="Times New Roman" w:eastAsia="Arial" w:hAnsi="Times New Roman"/>
          <w:noProof/>
          <w:kern w:val="1"/>
          <w:lang w:bidi="hi-IN"/>
        </w:rPr>
      </w:pPr>
      <w:r w:rsidRPr="00BD049D">
        <w:rPr>
          <w:rFonts w:ascii="Times New Roman" w:hAnsi="Times New Roman"/>
          <w:b/>
          <w:i/>
        </w:rPr>
        <w:t>Finanšu piedāvājumā norādītās tehniskās apsekošanas pakalpojuma viena kvadrātmetra izmaksas ir maksimāli pieļaujamās izmaksas iepirkuma līguma darbības laikā</w:t>
      </w:r>
      <w:r>
        <w:rPr>
          <w:rFonts w:ascii="Times New Roman" w:hAnsi="Times New Roman"/>
          <w:b/>
          <w:i/>
        </w:rPr>
        <w:t>;</w:t>
      </w:r>
    </w:p>
    <w:p w14:paraId="1C7B10E2" w14:textId="420231A4" w:rsidR="009F4CCA" w:rsidRPr="00BD049D" w:rsidRDefault="009F4CCA" w:rsidP="00F9097B">
      <w:pPr>
        <w:numPr>
          <w:ilvl w:val="0"/>
          <w:numId w:val="3"/>
        </w:numPr>
        <w:suppressAutoHyphens/>
        <w:autoSpaceDE w:val="0"/>
        <w:spacing w:after="0" w:line="240" w:lineRule="auto"/>
        <w:ind w:left="567" w:hanging="567"/>
        <w:jc w:val="both"/>
        <w:rPr>
          <w:rFonts w:ascii="Times New Roman" w:eastAsia="Arial" w:hAnsi="Times New Roman"/>
          <w:noProof/>
          <w:kern w:val="1"/>
          <w:lang w:bidi="hi-IN"/>
        </w:rPr>
      </w:pPr>
      <w:r w:rsidRPr="00BD049D">
        <w:rPr>
          <w:rFonts w:ascii="Times New Roman" w:eastAsia="Arial" w:hAnsi="Times New Roman"/>
          <w:noProof/>
          <w:kern w:val="1"/>
          <w:lang w:bidi="hi-IN"/>
        </w:rPr>
        <w:t xml:space="preserve">tehniskās apsekošanas pakalpojuma viena </w:t>
      </w:r>
      <w:r w:rsidR="00BD049D" w:rsidRPr="00BD049D">
        <w:rPr>
          <w:rFonts w:ascii="Times New Roman" w:eastAsia="Arial" w:hAnsi="Times New Roman"/>
          <w:noProof/>
          <w:kern w:val="1"/>
          <w:lang w:bidi="hi-IN"/>
        </w:rPr>
        <w:t>kvadrātmetra</w:t>
      </w:r>
      <w:r w:rsidRPr="00BD049D">
        <w:rPr>
          <w:rFonts w:ascii="Times New Roman" w:eastAsia="Arial" w:hAnsi="Times New Roman"/>
          <w:noProof/>
          <w:kern w:val="1"/>
          <w:lang w:bidi="hi-IN"/>
        </w:rPr>
        <w:t xml:space="preserve"> izmaksas, kas uzrādītas mūsu piedāvājumā, ir pilnīgi pietiekamas, lai sniegtu pakalpojumu atbilstoši izvirzītajām prasībām; </w:t>
      </w:r>
    </w:p>
    <w:p w14:paraId="38437CB4" w14:textId="6DFC3F84" w:rsidR="009F4CCA" w:rsidRPr="00BD049D" w:rsidRDefault="00BD049D" w:rsidP="00F9097B">
      <w:pPr>
        <w:numPr>
          <w:ilvl w:val="0"/>
          <w:numId w:val="3"/>
        </w:numPr>
        <w:suppressAutoHyphens/>
        <w:autoSpaceDE w:val="0"/>
        <w:spacing w:after="0" w:line="240" w:lineRule="auto"/>
        <w:ind w:left="567" w:hanging="567"/>
        <w:jc w:val="both"/>
        <w:rPr>
          <w:rFonts w:ascii="Times New Roman" w:eastAsia="Arial" w:hAnsi="Times New Roman"/>
          <w:noProof/>
          <w:kern w:val="1"/>
          <w:lang w:bidi="hi-IN"/>
        </w:rPr>
      </w:pPr>
      <w:r w:rsidRPr="00BD049D">
        <w:rPr>
          <w:rFonts w:ascii="Times New Roman" w:eastAsia="Arial" w:hAnsi="Times New Roman"/>
          <w:noProof/>
          <w:kern w:val="1"/>
          <w:lang w:bidi="hi-IN"/>
        </w:rPr>
        <w:t>Iepirkuma līguma</w:t>
      </w:r>
      <w:r w:rsidR="009F4CCA" w:rsidRPr="00BD049D">
        <w:rPr>
          <w:rFonts w:ascii="Times New Roman" w:eastAsia="Arial" w:hAnsi="Times New Roman"/>
          <w:noProof/>
          <w:kern w:val="1"/>
          <w:lang w:bidi="hi-IN"/>
        </w:rPr>
        <w:t xml:space="preserve"> ietvaros mūsu piedāvātās tehnisk</w:t>
      </w:r>
      <w:r w:rsidR="00F9097B">
        <w:rPr>
          <w:rFonts w:ascii="Times New Roman" w:eastAsia="Arial" w:hAnsi="Times New Roman"/>
          <w:noProof/>
          <w:kern w:val="1"/>
          <w:lang w:bidi="hi-IN"/>
        </w:rPr>
        <w:t>ās</w:t>
      </w:r>
      <w:r w:rsidR="009F4CCA" w:rsidRPr="00BD049D">
        <w:rPr>
          <w:rFonts w:ascii="Times New Roman" w:eastAsia="Arial" w:hAnsi="Times New Roman"/>
          <w:noProof/>
          <w:kern w:val="1"/>
          <w:lang w:bidi="hi-IN"/>
        </w:rPr>
        <w:t xml:space="preserve"> apsekošan</w:t>
      </w:r>
      <w:r w:rsidR="00F9097B">
        <w:rPr>
          <w:rFonts w:ascii="Times New Roman" w:eastAsia="Arial" w:hAnsi="Times New Roman"/>
          <w:noProof/>
          <w:kern w:val="1"/>
          <w:lang w:bidi="hi-IN"/>
        </w:rPr>
        <w:t>as</w:t>
      </w:r>
      <w:r w:rsidR="009F4CCA" w:rsidRPr="00BD049D">
        <w:rPr>
          <w:rFonts w:ascii="Times New Roman" w:eastAsia="Arial" w:hAnsi="Times New Roman"/>
          <w:noProof/>
          <w:kern w:val="1"/>
          <w:lang w:bidi="hi-IN"/>
        </w:rPr>
        <w:t xml:space="preserve"> pakalpojum</w:t>
      </w:r>
      <w:r w:rsidR="00F9097B">
        <w:rPr>
          <w:rFonts w:ascii="Times New Roman" w:eastAsia="Arial" w:hAnsi="Times New Roman"/>
          <w:noProof/>
          <w:kern w:val="1"/>
          <w:lang w:bidi="hi-IN"/>
        </w:rPr>
        <w:t>a</w:t>
      </w:r>
      <w:r w:rsidR="009F4CCA" w:rsidRPr="00BD049D">
        <w:rPr>
          <w:rFonts w:ascii="Times New Roman" w:eastAsia="Arial" w:hAnsi="Times New Roman"/>
          <w:noProof/>
          <w:kern w:val="1"/>
          <w:lang w:bidi="hi-IN"/>
        </w:rPr>
        <w:t xml:space="preserve"> </w:t>
      </w:r>
      <w:r w:rsidRPr="00BD049D">
        <w:rPr>
          <w:rFonts w:ascii="Times New Roman" w:eastAsia="Arial" w:hAnsi="Times New Roman"/>
          <w:noProof/>
          <w:kern w:val="1"/>
          <w:lang w:bidi="hi-IN"/>
        </w:rPr>
        <w:t>viena kvadrātmetra</w:t>
      </w:r>
      <w:r w:rsidR="009F4CCA" w:rsidRPr="00BD049D">
        <w:rPr>
          <w:rFonts w:ascii="Times New Roman" w:eastAsia="Arial" w:hAnsi="Times New Roman"/>
          <w:noProof/>
          <w:kern w:val="1"/>
          <w:lang w:bidi="hi-IN"/>
        </w:rPr>
        <w:t xml:space="preserve"> izmaksas nepārsniegs šajā piedāvājumā norādītās tehniskās apsekošanas pakalpojuma </w:t>
      </w:r>
      <w:r w:rsidRPr="00BD049D">
        <w:rPr>
          <w:rFonts w:ascii="Times New Roman" w:eastAsia="Arial" w:hAnsi="Times New Roman"/>
          <w:noProof/>
          <w:kern w:val="1"/>
          <w:lang w:bidi="hi-IN"/>
        </w:rPr>
        <w:t xml:space="preserve">viena kvadrātmetra </w:t>
      </w:r>
      <w:r w:rsidR="009F4CCA" w:rsidRPr="00BD049D">
        <w:rPr>
          <w:rFonts w:ascii="Times New Roman" w:eastAsia="Arial" w:hAnsi="Times New Roman"/>
          <w:noProof/>
          <w:kern w:val="1"/>
          <w:lang w:bidi="hi-IN"/>
        </w:rPr>
        <w:t>izmaksas</w:t>
      </w:r>
      <w:r w:rsidR="009F4CCA" w:rsidRPr="00BD049D">
        <w:rPr>
          <w:rFonts w:ascii="Times New Roman" w:eastAsia="Arial" w:hAnsi="Times New Roman"/>
          <w:iCs/>
          <w:noProof/>
          <w:kern w:val="1"/>
          <w:lang w:bidi="hi-IN"/>
        </w:rPr>
        <w:t>.</w:t>
      </w:r>
    </w:p>
    <w:p w14:paraId="71531D69" w14:textId="18DDDE1A" w:rsidR="00BD049D" w:rsidRPr="00BD049D" w:rsidRDefault="00BD049D" w:rsidP="00F9097B">
      <w:pPr>
        <w:spacing w:before="120" w:after="120" w:line="240" w:lineRule="auto"/>
        <w:jc w:val="both"/>
        <w:rPr>
          <w:rFonts w:ascii="Times New Roman" w:eastAsia="Times New Roman" w:hAnsi="Times New Roman"/>
          <w:position w:val="-1"/>
        </w:rPr>
      </w:pPr>
      <w:r w:rsidRPr="00BD049D">
        <w:rPr>
          <w:rFonts w:ascii="Times New Roman" w:eastAsia="Times New Roman" w:hAnsi="Times New Roman"/>
          <w:position w:val="-1"/>
        </w:rPr>
        <w:t>Apliecinām, ka finanšu piedāvājumā iekļautas visas ar darbu izpildi saistītās izmaksas.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363"/>
        <w:gridCol w:w="3988"/>
      </w:tblGrid>
      <w:tr w:rsidR="00BD049D" w:rsidRPr="00BD049D" w14:paraId="6AF57B40" w14:textId="77777777" w:rsidTr="0002012F">
        <w:trPr>
          <w:trHeight w:val="550"/>
          <w:jc w:val="center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C408E" w14:textId="77777777" w:rsidR="00BD049D" w:rsidRPr="00BD049D" w:rsidRDefault="00BD049D" w:rsidP="000201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D049D">
              <w:rPr>
                <w:rFonts w:ascii="Times New Roman" w:eastAsia="Times New Roman" w:hAnsi="Times New Roman"/>
              </w:rPr>
              <w:t>Personas ar pārstāvības tiesībām vai tās pilnvarotās personas amats, vārds un uzvārds: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415B" w14:textId="77777777" w:rsidR="00BD049D" w:rsidRPr="00BD049D" w:rsidRDefault="00BD049D" w:rsidP="000201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891BA0" w14:textId="77777777" w:rsidR="00BD049D" w:rsidRPr="00BD049D" w:rsidRDefault="00BD049D" w:rsidP="000201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D049D" w:rsidRPr="00BD049D" w14:paraId="65E156F5" w14:textId="77777777" w:rsidTr="0002012F">
        <w:trPr>
          <w:trHeight w:val="472"/>
          <w:jc w:val="center"/>
        </w:trPr>
        <w:tc>
          <w:tcPr>
            <w:tcW w:w="5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633F1" w14:textId="77777777" w:rsidR="00BD049D" w:rsidRPr="00BD049D" w:rsidRDefault="00BD049D" w:rsidP="000201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D049D">
              <w:rPr>
                <w:rFonts w:ascii="Times New Roman" w:eastAsia="Times New Roman" w:hAnsi="Times New Roman"/>
              </w:rPr>
              <w:t>Paraksts</w:t>
            </w:r>
            <w:r w:rsidRPr="00BD049D">
              <w:rPr>
                <w:rFonts w:ascii="Times New Roman" w:eastAsia="Times New Roman" w:hAnsi="Times New Roman"/>
                <w:vertAlign w:val="superscript"/>
              </w:rPr>
              <w:footnoteReference w:id="1"/>
            </w:r>
            <w:r w:rsidRPr="00BD049D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A1C2" w14:textId="77777777" w:rsidR="00BD049D" w:rsidRPr="00BD049D" w:rsidRDefault="00BD049D" w:rsidP="000201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D049D" w:rsidRPr="00BD049D" w14:paraId="5F95D081" w14:textId="77777777" w:rsidTr="0002012F">
        <w:trPr>
          <w:trHeight w:val="292"/>
          <w:jc w:val="center"/>
        </w:trPr>
        <w:tc>
          <w:tcPr>
            <w:tcW w:w="5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1D9C9" w14:textId="77777777" w:rsidR="00BD049D" w:rsidRPr="00BD049D" w:rsidRDefault="00BD049D" w:rsidP="000201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D049D">
              <w:rPr>
                <w:rFonts w:ascii="Times New Roman" w:eastAsia="Times New Roman" w:hAnsi="Times New Roman"/>
              </w:rPr>
              <w:t>Datums</w:t>
            </w:r>
            <w:r w:rsidRPr="00BD049D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BD049D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B342" w14:textId="77777777" w:rsidR="00BD049D" w:rsidRPr="00BD049D" w:rsidRDefault="00BD049D" w:rsidP="000201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378E9623" w14:textId="77777777" w:rsidR="009F4CCA" w:rsidRPr="00BD049D" w:rsidRDefault="009F4CCA">
      <w:pPr>
        <w:rPr>
          <w:rFonts w:ascii="Times New Roman" w:hAnsi="Times New Roman"/>
        </w:rPr>
      </w:pPr>
    </w:p>
    <w:sectPr w:rsidR="009F4CCA" w:rsidRPr="00BD049D" w:rsidSect="00CA641F">
      <w:pgSz w:w="12240" w:h="15840"/>
      <w:pgMar w:top="993" w:right="851" w:bottom="851" w:left="1418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1DB5" w14:textId="77777777" w:rsidR="0031651F" w:rsidRDefault="0031651F" w:rsidP="003C5A90">
      <w:pPr>
        <w:spacing w:after="0" w:line="240" w:lineRule="auto"/>
      </w:pPr>
      <w:r>
        <w:separator/>
      </w:r>
    </w:p>
  </w:endnote>
  <w:endnote w:type="continuationSeparator" w:id="0">
    <w:p w14:paraId="4F6C6D54" w14:textId="77777777" w:rsidR="0031651F" w:rsidRDefault="0031651F" w:rsidP="003C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Baltic">
    <w:altName w:val="Arial"/>
    <w:charset w:val="BA"/>
    <w:family w:val="roman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BB8A" w14:textId="77777777" w:rsidR="0031651F" w:rsidRDefault="0031651F" w:rsidP="003C5A90">
      <w:pPr>
        <w:spacing w:after="0" w:line="240" w:lineRule="auto"/>
      </w:pPr>
      <w:r>
        <w:separator/>
      </w:r>
    </w:p>
  </w:footnote>
  <w:footnote w:type="continuationSeparator" w:id="0">
    <w:p w14:paraId="25EF3A20" w14:textId="77777777" w:rsidR="0031651F" w:rsidRDefault="0031651F" w:rsidP="003C5A90">
      <w:pPr>
        <w:spacing w:after="0" w:line="240" w:lineRule="auto"/>
      </w:pPr>
      <w:r>
        <w:continuationSeparator/>
      </w:r>
    </w:p>
  </w:footnote>
  <w:footnote w:id="1">
    <w:p w14:paraId="1491E8EB" w14:textId="0742FEB4" w:rsidR="00BD049D" w:rsidRPr="00912B70" w:rsidRDefault="00BD049D" w:rsidP="00912B70">
      <w:pPr>
        <w:pStyle w:val="EndnoteText"/>
        <w:rPr>
          <w:rFonts w:ascii="Times New Roman" w:hAnsi="Times New Roman"/>
          <w:sz w:val="18"/>
          <w:szCs w:val="18"/>
          <w:lang w:val="lv-LV"/>
        </w:rPr>
      </w:pPr>
      <w:r w:rsidRPr="00912B70">
        <w:rPr>
          <w:rStyle w:val="FootnoteReference"/>
          <w:rFonts w:ascii="Times New Roman" w:hAnsi="Times New Roman"/>
          <w:sz w:val="18"/>
          <w:szCs w:val="18"/>
          <w:lang w:val="lv-LV"/>
        </w:rPr>
        <w:footnoteRef/>
      </w:r>
      <w:r w:rsidRPr="00912B70">
        <w:rPr>
          <w:rFonts w:ascii="Times New Roman" w:hAnsi="Times New Roman"/>
          <w:sz w:val="18"/>
          <w:szCs w:val="18"/>
          <w:lang w:val="lv-LV"/>
        </w:rPr>
        <w:t xml:space="preserve"> Rekvizītus “Paraksts” un “Datums” neaizpilda, ja pieteikums parakstīts ar elektronisko parakstu un satur laika zīmogu. Ja</w:t>
      </w:r>
      <w:r w:rsidR="00912B70">
        <w:rPr>
          <w:rFonts w:ascii="Times New Roman" w:hAnsi="Times New Roman"/>
          <w:sz w:val="18"/>
          <w:szCs w:val="18"/>
          <w:lang w:val="lv-LV"/>
        </w:rPr>
        <w:t xml:space="preserve"> </w:t>
      </w:r>
      <w:r w:rsidRPr="00912B70">
        <w:rPr>
          <w:rFonts w:ascii="Times New Roman" w:hAnsi="Times New Roman"/>
          <w:sz w:val="18"/>
          <w:szCs w:val="18"/>
          <w:lang w:val="lv-LV"/>
        </w:rPr>
        <w:t>pieteikums parakstīts elektroniski, pieteikuma datums ir parakstītāja laika zīmoga datums.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49F3"/>
    <w:multiLevelType w:val="hybridMultilevel"/>
    <w:tmpl w:val="438485F8"/>
    <w:lvl w:ilvl="0" w:tplc="5C2EED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671804"/>
    <w:multiLevelType w:val="hybridMultilevel"/>
    <w:tmpl w:val="F9D4E586"/>
    <w:lvl w:ilvl="0" w:tplc="042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E820892"/>
    <w:multiLevelType w:val="hybridMultilevel"/>
    <w:tmpl w:val="F49A72E6"/>
    <w:lvl w:ilvl="0" w:tplc="5C521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66911">
    <w:abstractNumId w:val="1"/>
  </w:num>
  <w:num w:numId="2" w16cid:durableId="28576036">
    <w:abstractNumId w:val="2"/>
  </w:num>
  <w:num w:numId="3" w16cid:durableId="142155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B5"/>
    <w:rsid w:val="000305F6"/>
    <w:rsid w:val="0003427E"/>
    <w:rsid w:val="00044672"/>
    <w:rsid w:val="000B6FF0"/>
    <w:rsid w:val="000D4D5F"/>
    <w:rsid w:val="0014568D"/>
    <w:rsid w:val="0015760C"/>
    <w:rsid w:val="00171BDF"/>
    <w:rsid w:val="001B31DC"/>
    <w:rsid w:val="002361EE"/>
    <w:rsid w:val="0031651F"/>
    <w:rsid w:val="003213E7"/>
    <w:rsid w:val="003348EC"/>
    <w:rsid w:val="00340F70"/>
    <w:rsid w:val="00375909"/>
    <w:rsid w:val="0038192C"/>
    <w:rsid w:val="00383733"/>
    <w:rsid w:val="003C5A90"/>
    <w:rsid w:val="004377EE"/>
    <w:rsid w:val="004E6593"/>
    <w:rsid w:val="00514694"/>
    <w:rsid w:val="00516E00"/>
    <w:rsid w:val="00585A85"/>
    <w:rsid w:val="00617048"/>
    <w:rsid w:val="0062066B"/>
    <w:rsid w:val="0068194B"/>
    <w:rsid w:val="00681B17"/>
    <w:rsid w:val="006D0108"/>
    <w:rsid w:val="006E73EF"/>
    <w:rsid w:val="0073304C"/>
    <w:rsid w:val="00734375"/>
    <w:rsid w:val="0076407B"/>
    <w:rsid w:val="00766295"/>
    <w:rsid w:val="007873B4"/>
    <w:rsid w:val="007D5C4F"/>
    <w:rsid w:val="007F5A89"/>
    <w:rsid w:val="00812E34"/>
    <w:rsid w:val="008C0683"/>
    <w:rsid w:val="008D2CA0"/>
    <w:rsid w:val="008D3313"/>
    <w:rsid w:val="00910B25"/>
    <w:rsid w:val="00912B70"/>
    <w:rsid w:val="009A34A4"/>
    <w:rsid w:val="009C7935"/>
    <w:rsid w:val="009E0572"/>
    <w:rsid w:val="009F4CCA"/>
    <w:rsid w:val="00A05FB9"/>
    <w:rsid w:val="00A1138E"/>
    <w:rsid w:val="00A33AD5"/>
    <w:rsid w:val="00B3595F"/>
    <w:rsid w:val="00B37B6F"/>
    <w:rsid w:val="00B4553C"/>
    <w:rsid w:val="00BC2FD1"/>
    <w:rsid w:val="00BD049D"/>
    <w:rsid w:val="00BD2351"/>
    <w:rsid w:val="00C37FF5"/>
    <w:rsid w:val="00C869B7"/>
    <w:rsid w:val="00C96166"/>
    <w:rsid w:val="00CA641F"/>
    <w:rsid w:val="00CB7AC5"/>
    <w:rsid w:val="00D93DBF"/>
    <w:rsid w:val="00DD6BB5"/>
    <w:rsid w:val="00E541EC"/>
    <w:rsid w:val="00EB3A17"/>
    <w:rsid w:val="00F43F0E"/>
    <w:rsid w:val="00F8664C"/>
    <w:rsid w:val="00F9097B"/>
    <w:rsid w:val="00FB52B7"/>
    <w:rsid w:val="00F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7F7BB6"/>
  <w15:chartTrackingRefBased/>
  <w15:docId w15:val="{0DEBD360-C0D3-4F35-ABD6-16ABE84C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90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A90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A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A90"/>
    <w:rPr>
      <w:rFonts w:ascii="Calibri" w:eastAsia="Calibri" w:hAnsi="Calibri" w:cs="Times New Roman"/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5A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A90"/>
    <w:rPr>
      <w:rFonts w:ascii="Calibri" w:eastAsia="Calibri" w:hAnsi="Calibri" w:cs="Times New Roman"/>
      <w:kern w:val="0"/>
      <w:lang w:val="lv-LV"/>
      <w14:ligatures w14:val="none"/>
    </w:rPr>
  </w:style>
  <w:style w:type="paragraph" w:styleId="ListParagraph">
    <w:name w:val="List Paragraph"/>
    <w:basedOn w:val="Normal"/>
    <w:qFormat/>
    <w:rsid w:val="0003427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B3595F"/>
    <w:pPr>
      <w:spacing w:after="0" w:line="240" w:lineRule="auto"/>
    </w:pPr>
    <w:rPr>
      <w:rFonts w:ascii="Times-Baltic" w:eastAsia="Times New Roman" w:hAnsi="Times-Baltic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595F"/>
    <w:rPr>
      <w:rFonts w:ascii="Times-Baltic" w:eastAsia="Times New Roman" w:hAnsi="Times-Baltic" w:cs="Times New Roman"/>
      <w:kern w:val="0"/>
      <w:sz w:val="20"/>
      <w:szCs w:val="20"/>
      <w14:ligatures w14:val="none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iPriority w:val="99"/>
    <w:unhideWhenUsed/>
    <w:qFormat/>
    <w:rsid w:val="00B3595F"/>
    <w:pPr>
      <w:spacing w:after="0" w:line="240" w:lineRule="auto"/>
    </w:pPr>
    <w:rPr>
      <w:rFonts w:ascii="Times-Baltic" w:eastAsia="Times New Roman" w:hAnsi="Times-Baltic"/>
      <w:sz w:val="20"/>
      <w:szCs w:val="20"/>
      <w:lang w:val="en-US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uiPriority w:val="99"/>
    <w:rsid w:val="00B3595F"/>
    <w:rPr>
      <w:rFonts w:ascii="Times-Baltic" w:eastAsia="Times New Roman" w:hAnsi="Times-Baltic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ootnote Reference Number,number,SUPERS,BVI fnr,Footnote symboFußnotenzeichen,Footnote sign,Footnote Reference Superscript,Footnote number,-E Fußnotenzeichen,EN Footnote Reference,-E Fuﬂnotenzeichen,-E Fuûnotenzeichen"/>
    <w:basedOn w:val="DefaultParagraphFont"/>
    <w:link w:val="FootnoteRefernece"/>
    <w:uiPriority w:val="99"/>
    <w:unhideWhenUsed/>
    <w:qFormat/>
    <w:rsid w:val="00B3595F"/>
    <w:rPr>
      <w:vertAlign w:val="superscript"/>
    </w:rPr>
  </w:style>
  <w:style w:type="paragraph" w:customStyle="1" w:styleId="FootnoteRefernece">
    <w:name w:val="Footnote Refernece"/>
    <w:aliases w:val="ftref,Odwołanie przypisu,Footnotes refss,Ref,de nota al pie,E,E FNZ"/>
    <w:basedOn w:val="Normal"/>
    <w:next w:val="Normal"/>
    <w:link w:val="FootnoteReference"/>
    <w:uiPriority w:val="99"/>
    <w:rsid w:val="00B3595F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kern w:val="2"/>
      <w:vertAlign w:val="superscript"/>
      <w:lang w:val="en-US"/>
      <w14:ligatures w14:val="standardContextual"/>
    </w:rPr>
  </w:style>
  <w:style w:type="table" w:customStyle="1" w:styleId="Reatabula1">
    <w:name w:val="Režģa tabula1"/>
    <w:basedOn w:val="TableNormal"/>
    <w:next w:val="TableGrid"/>
    <w:rsid w:val="00B359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B35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95F"/>
    <w:pPr>
      <w:spacing w:line="240" w:lineRule="auto"/>
    </w:pPr>
    <w:rPr>
      <w:rFonts w:ascii="Arial Narrow" w:hAnsi="Arial Narro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95F"/>
    <w:rPr>
      <w:rFonts w:ascii="Arial Narrow" w:eastAsia="Calibri" w:hAnsi="Arial Narrow" w:cs="Times New Roman"/>
      <w:kern w:val="0"/>
      <w:sz w:val="20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E3D8-F65C-40F4-9202-97673487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Pilsoņu iela 13, Rīga</dc:creator>
  <cp:keywords/>
  <dc:description/>
  <cp:lastModifiedBy>Elisa Janelsiņa</cp:lastModifiedBy>
  <cp:revision>7</cp:revision>
  <dcterms:created xsi:type="dcterms:W3CDTF">2026-07-03T11:10:00Z</dcterms:created>
  <dcterms:modified xsi:type="dcterms:W3CDTF">2026-07-08T08:58:00Z</dcterms:modified>
</cp:coreProperties>
</file>