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7A58" w14:textId="316CDD11" w:rsidR="00AC23CC" w:rsidRPr="00AC5848" w:rsidRDefault="00AC23CC" w:rsidP="00AC23CC">
      <w:pPr>
        <w:tabs>
          <w:tab w:val="left" w:pos="0"/>
          <w:tab w:val="left" w:pos="6804"/>
        </w:tabs>
        <w:jc w:val="right"/>
        <w:outlineLvl w:val="0"/>
        <w:rPr>
          <w:i/>
        </w:rPr>
      </w:pPr>
      <w:r w:rsidRPr="00AC5848">
        <w:rPr>
          <w:i/>
        </w:rPr>
        <w:t>Pielikums Nr.</w:t>
      </w:r>
      <w:r>
        <w:rPr>
          <w:i/>
        </w:rPr>
        <w:t>5</w:t>
      </w:r>
    </w:p>
    <w:p w14:paraId="7ABB5A3B" w14:textId="77777777" w:rsidR="00AC23CC" w:rsidRPr="00AC5848" w:rsidRDefault="00AC23CC" w:rsidP="00AC23CC">
      <w:pPr>
        <w:tabs>
          <w:tab w:val="left" w:pos="6804"/>
        </w:tabs>
        <w:jc w:val="right"/>
        <w:outlineLvl w:val="0"/>
      </w:pPr>
      <w:r>
        <w:t>Konkursa</w:t>
      </w:r>
      <w:r w:rsidRPr="00AC5848">
        <w:t>, identifikācijas</w:t>
      </w:r>
    </w:p>
    <w:p w14:paraId="00818897" w14:textId="77777777" w:rsidR="00AC23CC" w:rsidRPr="00AC5848" w:rsidRDefault="00AC23CC" w:rsidP="00AC23CC">
      <w:pPr>
        <w:jc w:val="right"/>
        <w:outlineLvl w:val="0"/>
      </w:pPr>
      <w:r w:rsidRPr="00AC5848">
        <w:t>Nr. VAMOIC </w:t>
      </w:r>
      <w:r>
        <w:t>2026/66</w:t>
      </w:r>
      <w:r w:rsidRPr="00AC5848">
        <w:t>,</w:t>
      </w:r>
    </w:p>
    <w:p w14:paraId="0461C5C7" w14:textId="50A015FA" w:rsidR="00AC23CC" w:rsidRDefault="00AC23CC" w:rsidP="00AC23CC">
      <w:pPr>
        <w:ind w:left="6804"/>
        <w:jc w:val="right"/>
        <w:outlineLvl w:val="0"/>
      </w:pPr>
      <w:r w:rsidRPr="00AC5848">
        <w:t>N</w:t>
      </w:r>
      <w:r w:rsidRPr="00AC5848">
        <w:t>o</w:t>
      </w:r>
      <w:r>
        <w:t>likumam</w:t>
      </w:r>
    </w:p>
    <w:p w14:paraId="44F3F199" w14:textId="77777777" w:rsidR="00AC23CC" w:rsidRDefault="00AC23CC" w:rsidP="00AC23CC">
      <w:pPr>
        <w:ind w:left="6804"/>
        <w:jc w:val="right"/>
        <w:outlineLvl w:val="0"/>
      </w:pPr>
    </w:p>
    <w:p w14:paraId="0B3EED58" w14:textId="77777777" w:rsidR="00AC23CC" w:rsidRPr="00F81355" w:rsidRDefault="00AC23CC" w:rsidP="00AC23CC">
      <w:pPr>
        <w:jc w:val="right"/>
        <w:rPr>
          <w:i/>
          <w:iCs/>
          <w:sz w:val="24"/>
          <w:szCs w:val="24"/>
        </w:rPr>
      </w:pPr>
      <w:r>
        <w:rPr>
          <w:i/>
          <w:iCs/>
          <w:sz w:val="24"/>
          <w:szCs w:val="24"/>
        </w:rPr>
        <w:t>IZRAKSTS</w:t>
      </w:r>
    </w:p>
    <w:p w14:paraId="1D75E6F2" w14:textId="77777777" w:rsidR="00AC23CC" w:rsidRPr="00AC5848" w:rsidRDefault="00AC23CC" w:rsidP="00AC23CC">
      <w:pPr>
        <w:ind w:left="6804"/>
        <w:jc w:val="right"/>
        <w:outlineLvl w:val="0"/>
      </w:pPr>
    </w:p>
    <w:p w14:paraId="7326718F" w14:textId="77777777" w:rsidR="00AC23CC" w:rsidRDefault="00AC23CC"/>
    <w:p w14:paraId="2CD4D54C" w14:textId="77777777" w:rsidR="00AC23CC" w:rsidRDefault="00AC23CC"/>
    <w:tbl>
      <w:tblPr>
        <w:tblW w:w="9464" w:type="dxa"/>
        <w:tblInd w:w="-108" w:type="dxa"/>
        <w:tblLook w:val="04A0" w:firstRow="1" w:lastRow="0" w:firstColumn="1" w:lastColumn="0" w:noHBand="0" w:noVBand="1"/>
      </w:tblPr>
      <w:tblGrid>
        <w:gridCol w:w="5211"/>
        <w:gridCol w:w="4253"/>
      </w:tblGrid>
      <w:tr w:rsidR="00085C69" w:rsidRPr="00085C69" w14:paraId="70458F1A" w14:textId="77777777" w:rsidTr="00AB1D96">
        <w:tc>
          <w:tcPr>
            <w:tcW w:w="5211" w:type="dxa"/>
          </w:tcPr>
          <w:p w14:paraId="3F927017" w14:textId="77777777" w:rsidR="00085C69" w:rsidRPr="00085C69" w:rsidRDefault="00085C69" w:rsidP="00085C69">
            <w:pPr>
              <w:widowControl w:val="0"/>
              <w:spacing w:line="360" w:lineRule="auto"/>
              <w:rPr>
                <w:rFonts w:eastAsia="Calibri"/>
                <w:sz w:val="24"/>
                <w:szCs w:val="24"/>
                <w:lang w:eastAsia="en-US"/>
              </w:rPr>
            </w:pPr>
            <w:r w:rsidRPr="00085C69">
              <w:rPr>
                <w:rFonts w:eastAsia="Calibri"/>
                <w:sz w:val="24"/>
                <w:szCs w:val="24"/>
                <w:lang w:eastAsia="en-US"/>
              </w:rPr>
              <w:t xml:space="preserve">Rīgā, </w:t>
            </w:r>
            <w:r>
              <w:t>28.03.2026</w:t>
            </w:r>
            <w:r w:rsidRPr="00085C69">
              <w:rPr>
                <w:rFonts w:eastAsia="Calibri"/>
                <w:sz w:val="24"/>
                <w:szCs w:val="24"/>
                <w:lang w:eastAsia="en-US"/>
              </w:rPr>
              <w:t>.</w:t>
            </w:r>
          </w:p>
        </w:tc>
        <w:tc>
          <w:tcPr>
            <w:tcW w:w="4253" w:type="dxa"/>
          </w:tcPr>
          <w:p w14:paraId="6FE2F107" w14:textId="3991D88E" w:rsidR="00085C69" w:rsidRPr="00085C69" w:rsidRDefault="00085C69" w:rsidP="00897EF5">
            <w:pPr>
              <w:widowControl w:val="0"/>
              <w:spacing w:line="360" w:lineRule="auto"/>
              <w:ind w:left="-103"/>
              <w:rPr>
                <w:rFonts w:eastAsia="Calibri"/>
                <w:sz w:val="24"/>
                <w:szCs w:val="24"/>
                <w:lang w:eastAsia="en-US"/>
              </w:rPr>
            </w:pPr>
            <w:r w:rsidRPr="00085C69">
              <w:rPr>
                <w:rFonts w:eastAsia="Calibri"/>
                <w:sz w:val="24"/>
                <w:szCs w:val="24"/>
                <w:lang w:eastAsia="en-US"/>
              </w:rPr>
              <w:t>Tehniskās specifikācijas Nr.</w:t>
            </w:r>
            <w:r w:rsidR="00897EF5">
              <w:rPr>
                <w:rFonts w:eastAsia="Calibri"/>
                <w:sz w:val="24"/>
                <w:szCs w:val="24"/>
                <w:lang w:eastAsia="en-US"/>
              </w:rPr>
              <w:t xml:space="preserve"> </w:t>
            </w:r>
            <w:r>
              <w:t>ITS-2026-33</w:t>
            </w:r>
            <w:r w:rsidR="00897EF5">
              <w:rPr>
                <w:rFonts w:eastAsia="Calibri"/>
                <w:sz w:val="24"/>
                <w:szCs w:val="24"/>
                <w:lang w:eastAsia="en-US"/>
              </w:rPr>
              <w:t xml:space="preserve"> </w:t>
            </w:r>
          </w:p>
        </w:tc>
      </w:tr>
    </w:tbl>
    <w:p w14:paraId="736135F3" w14:textId="77777777" w:rsidR="00AA78A6" w:rsidRPr="00A8638E" w:rsidRDefault="00BD6990" w:rsidP="00085C69">
      <w:pPr>
        <w:jc w:val="both"/>
        <w:rPr>
          <w:i/>
          <w:sz w:val="28"/>
          <w:szCs w:val="28"/>
        </w:rPr>
      </w:pPr>
      <w:r w:rsidRPr="00A8638E">
        <w:rPr>
          <w:sz w:val="24"/>
          <w:szCs w:val="24"/>
        </w:rPr>
        <w:t xml:space="preserve">    </w:t>
      </w:r>
      <w:r w:rsidR="00032C2F" w:rsidRPr="00A8638E">
        <w:rPr>
          <w:i/>
          <w:sz w:val="28"/>
          <w:szCs w:val="28"/>
        </w:rPr>
        <w:t xml:space="preserve"> </w:t>
      </w:r>
    </w:p>
    <w:p w14:paraId="735FA987" w14:textId="6124D5B6" w:rsidR="00AA78A6" w:rsidRPr="00461254" w:rsidRDefault="00BD6990" w:rsidP="00AA78A6">
      <w:pPr>
        <w:pStyle w:val="Title"/>
        <w:rPr>
          <w:i w:val="0"/>
          <w:sz w:val="28"/>
          <w:szCs w:val="28"/>
          <w:lang w:val="lv-LV"/>
        </w:rPr>
      </w:pPr>
      <w:r w:rsidRPr="00A8638E">
        <w:rPr>
          <w:i w:val="0"/>
          <w:sz w:val="28"/>
          <w:szCs w:val="28"/>
          <w:lang w:val="lv-LV"/>
        </w:rPr>
        <w:t>TEHNISKĀ SPECIFIKĀCIJA</w:t>
      </w:r>
      <w:r w:rsidR="003A276E" w:rsidRPr="00461254">
        <w:rPr>
          <w:i w:val="0"/>
          <w:sz w:val="28"/>
          <w:szCs w:val="28"/>
          <w:lang w:val="lv-LV"/>
        </w:rPr>
        <w:t>*</w:t>
      </w:r>
    </w:p>
    <w:p w14:paraId="37F7A2CB" w14:textId="77777777" w:rsidR="00AA78A6" w:rsidRDefault="00AA78A6" w:rsidP="00AA78A6">
      <w:pPr>
        <w:pStyle w:val="Title"/>
        <w:rPr>
          <w:i w:val="0"/>
          <w:sz w:val="28"/>
          <w:szCs w:val="28"/>
          <w:lang w:val="lv-LV"/>
        </w:rPr>
      </w:pPr>
    </w:p>
    <w:tbl>
      <w:tblPr>
        <w:tblStyle w:val="TableGrid"/>
        <w:tblW w:w="9782" w:type="dxa"/>
        <w:tblInd w:w="-431" w:type="dxa"/>
        <w:tblLayout w:type="fixed"/>
        <w:tblLook w:val="04A0" w:firstRow="1" w:lastRow="0" w:firstColumn="1" w:lastColumn="0" w:noHBand="0" w:noVBand="1"/>
      </w:tblPr>
      <w:tblGrid>
        <w:gridCol w:w="2127"/>
        <w:gridCol w:w="7655"/>
      </w:tblGrid>
      <w:tr w:rsidR="00505352" w14:paraId="1F53A3E6" w14:textId="77777777" w:rsidTr="00A406BB">
        <w:tc>
          <w:tcPr>
            <w:tcW w:w="9782" w:type="dxa"/>
            <w:gridSpan w:val="2"/>
          </w:tcPr>
          <w:p w14:paraId="36204EEA" w14:textId="77777777" w:rsidR="00505352" w:rsidRPr="00426D9D" w:rsidRDefault="00505352" w:rsidP="00A406BB">
            <w:pPr>
              <w:jc w:val="center"/>
              <w:rPr>
                <w:rFonts w:eastAsia="Calibri"/>
                <w:b/>
                <w:sz w:val="24"/>
                <w:szCs w:val="24"/>
              </w:rPr>
            </w:pPr>
            <w:bookmarkStart w:id="0" w:name="_Hlk222472009"/>
            <w:r>
              <w:rPr>
                <w:rFonts w:eastAsia="Calibri"/>
                <w:b/>
                <w:sz w:val="24"/>
                <w:szCs w:val="24"/>
              </w:rPr>
              <w:t>Nekustamo īpašumu apdrošināšana</w:t>
            </w:r>
            <w:r w:rsidRPr="00426D9D">
              <w:rPr>
                <w:rFonts w:eastAsia="Calibri"/>
                <w:b/>
                <w:sz w:val="24"/>
                <w:szCs w:val="24"/>
              </w:rPr>
              <w:t xml:space="preserve"> pret uguns un </w:t>
            </w:r>
          </w:p>
          <w:p w14:paraId="1080268D" w14:textId="77777777" w:rsidR="00505352" w:rsidRPr="00807086" w:rsidRDefault="00505352" w:rsidP="00A406BB">
            <w:pPr>
              <w:jc w:val="center"/>
              <w:rPr>
                <w:sz w:val="24"/>
                <w:szCs w:val="24"/>
              </w:rPr>
            </w:pPr>
            <w:r w:rsidRPr="00426D9D">
              <w:rPr>
                <w:rFonts w:eastAsia="Calibri"/>
                <w:b/>
                <w:sz w:val="24"/>
                <w:szCs w:val="24"/>
              </w:rPr>
              <w:t>dabas stihiju radītiem postījumiem</w:t>
            </w:r>
            <w:bookmarkEnd w:id="0"/>
          </w:p>
        </w:tc>
      </w:tr>
      <w:tr w:rsidR="00505352" w14:paraId="7C394456" w14:textId="77777777" w:rsidTr="00A406BB">
        <w:tc>
          <w:tcPr>
            <w:tcW w:w="2127" w:type="dxa"/>
          </w:tcPr>
          <w:p w14:paraId="66C37CA1" w14:textId="77777777" w:rsidR="00505352" w:rsidRPr="00807086" w:rsidRDefault="00505352" w:rsidP="00A406BB">
            <w:pPr>
              <w:rPr>
                <w:sz w:val="24"/>
                <w:szCs w:val="24"/>
              </w:rPr>
            </w:pPr>
            <w:r w:rsidRPr="00807086">
              <w:rPr>
                <w:b/>
                <w:sz w:val="24"/>
                <w:szCs w:val="24"/>
              </w:rPr>
              <w:t>Pakalpojuma mērķis un gala rezultāts</w:t>
            </w:r>
          </w:p>
        </w:tc>
        <w:tc>
          <w:tcPr>
            <w:tcW w:w="7655" w:type="dxa"/>
          </w:tcPr>
          <w:p w14:paraId="749110AA" w14:textId="77777777" w:rsidR="00505352" w:rsidRPr="00807086" w:rsidRDefault="00505352" w:rsidP="00A406BB">
            <w:pPr>
              <w:ind w:right="26" w:firstLine="325"/>
              <w:jc w:val="both"/>
              <w:rPr>
                <w:sz w:val="24"/>
                <w:szCs w:val="24"/>
              </w:rPr>
            </w:pPr>
            <w:r w:rsidRPr="002A3DEA">
              <w:rPr>
                <w:sz w:val="24"/>
                <w:szCs w:val="24"/>
              </w:rPr>
              <w:t>Mērķis ir apdrošināt P</w:t>
            </w:r>
            <w:r>
              <w:rPr>
                <w:sz w:val="24"/>
                <w:szCs w:val="24"/>
              </w:rPr>
              <w:t>ASŪTĪTĀJA</w:t>
            </w:r>
            <w:r w:rsidRPr="002A3DEA">
              <w:rPr>
                <w:sz w:val="24"/>
                <w:szCs w:val="24"/>
              </w:rPr>
              <w:t xml:space="preserve"> īpašumā un valdījumā esošos nekustamos īpašumus saskaņā ar apdroši</w:t>
            </w:r>
            <w:r>
              <w:rPr>
                <w:sz w:val="24"/>
                <w:szCs w:val="24"/>
              </w:rPr>
              <w:t>nāmo objektu</w:t>
            </w:r>
            <w:r w:rsidRPr="002A3DEA">
              <w:rPr>
                <w:sz w:val="24"/>
                <w:szCs w:val="24"/>
              </w:rPr>
              <w:t xml:space="preserve"> sarakstu (turpmāk – Apdrošināšanas objekti). </w:t>
            </w:r>
          </w:p>
        </w:tc>
      </w:tr>
      <w:tr w:rsidR="00505352" w14:paraId="4A793493" w14:textId="77777777" w:rsidTr="00A406BB">
        <w:tc>
          <w:tcPr>
            <w:tcW w:w="2127" w:type="dxa"/>
          </w:tcPr>
          <w:p w14:paraId="3BFF9DBD" w14:textId="77777777" w:rsidR="00505352" w:rsidRPr="00BD5777" w:rsidRDefault="00505352" w:rsidP="00A406BB">
            <w:pPr>
              <w:rPr>
                <w:b/>
                <w:sz w:val="24"/>
                <w:szCs w:val="24"/>
              </w:rPr>
            </w:pPr>
            <w:r w:rsidRPr="00BD5777">
              <w:rPr>
                <w:b/>
                <w:sz w:val="24"/>
                <w:szCs w:val="24"/>
              </w:rPr>
              <w:t>Pakalpojuma sniegšanas vieta/-as un nosacījumi (termiņš)</w:t>
            </w:r>
          </w:p>
        </w:tc>
        <w:tc>
          <w:tcPr>
            <w:tcW w:w="7655" w:type="dxa"/>
          </w:tcPr>
          <w:p w14:paraId="5853374C" w14:textId="77777777" w:rsidR="00505352" w:rsidRPr="00BA6AAA" w:rsidRDefault="00505352" w:rsidP="00505352">
            <w:pPr>
              <w:pStyle w:val="ListParagraph"/>
              <w:numPr>
                <w:ilvl w:val="0"/>
                <w:numId w:val="6"/>
              </w:numPr>
              <w:ind w:left="325"/>
              <w:jc w:val="both"/>
              <w:rPr>
                <w:b/>
                <w:sz w:val="24"/>
                <w:szCs w:val="24"/>
              </w:rPr>
            </w:pPr>
            <w:r>
              <w:rPr>
                <w:b/>
                <w:sz w:val="24"/>
                <w:szCs w:val="24"/>
              </w:rPr>
              <w:t>Apdrošināšanas objekti</w:t>
            </w:r>
            <w:r w:rsidRPr="00BA6AAA">
              <w:rPr>
                <w:b/>
                <w:sz w:val="24"/>
                <w:szCs w:val="24"/>
              </w:rPr>
              <w:t>:</w:t>
            </w:r>
          </w:p>
          <w:p w14:paraId="0B7D3E12" w14:textId="77777777" w:rsidR="00505352" w:rsidRDefault="00505352" w:rsidP="00505352">
            <w:pPr>
              <w:pStyle w:val="ListParagraph"/>
              <w:numPr>
                <w:ilvl w:val="1"/>
                <w:numId w:val="6"/>
              </w:numPr>
              <w:ind w:left="313"/>
              <w:jc w:val="both"/>
              <w:rPr>
                <w:sz w:val="24"/>
                <w:szCs w:val="24"/>
              </w:rPr>
            </w:pPr>
            <w:r w:rsidRPr="00DA50FC">
              <w:rPr>
                <w:sz w:val="24"/>
                <w:szCs w:val="24"/>
              </w:rPr>
              <w:t>Apdrošināšanas objekti ir žogi, vārti, torņi, masti, piestātnes, helikopteru laukumi, ēkas un būves ar to konstruktīvajiem elementiem, tajā</w:t>
            </w:r>
            <w:r w:rsidRPr="00BA6AAA">
              <w:rPr>
                <w:sz w:val="24"/>
                <w:szCs w:val="24"/>
              </w:rPr>
              <w:t xml:space="preserve"> skaitā</w:t>
            </w:r>
            <w:r>
              <w:rPr>
                <w:sz w:val="24"/>
                <w:szCs w:val="24"/>
              </w:rPr>
              <w:t>:</w:t>
            </w:r>
          </w:p>
          <w:p w14:paraId="5EC2FBC0" w14:textId="77777777" w:rsidR="00505352" w:rsidRDefault="00505352" w:rsidP="00505352">
            <w:pPr>
              <w:pStyle w:val="ListParagraph"/>
              <w:numPr>
                <w:ilvl w:val="2"/>
                <w:numId w:val="6"/>
              </w:numPr>
              <w:ind w:left="892" w:hanging="567"/>
              <w:jc w:val="both"/>
              <w:rPr>
                <w:sz w:val="24"/>
                <w:szCs w:val="24"/>
              </w:rPr>
            </w:pPr>
            <w:r>
              <w:rPr>
                <w:sz w:val="24"/>
                <w:szCs w:val="24"/>
              </w:rPr>
              <w:t>Ē</w:t>
            </w:r>
            <w:r w:rsidRPr="00BA6AAA">
              <w:rPr>
                <w:sz w:val="24"/>
                <w:szCs w:val="24"/>
              </w:rPr>
              <w:t>kas pamati, pagrabu konstruk</w:t>
            </w:r>
            <w:r>
              <w:rPr>
                <w:sz w:val="24"/>
                <w:szCs w:val="24"/>
              </w:rPr>
              <w:t>cijas (arī ārpus ēkas robežām);</w:t>
            </w:r>
          </w:p>
          <w:p w14:paraId="7940CBF7" w14:textId="77777777" w:rsidR="00505352" w:rsidRDefault="00505352" w:rsidP="00505352">
            <w:pPr>
              <w:pStyle w:val="ListParagraph"/>
              <w:numPr>
                <w:ilvl w:val="2"/>
                <w:numId w:val="6"/>
              </w:numPr>
              <w:ind w:left="892" w:hanging="567"/>
              <w:jc w:val="both"/>
              <w:rPr>
                <w:sz w:val="24"/>
                <w:szCs w:val="24"/>
              </w:rPr>
            </w:pPr>
            <w:r>
              <w:rPr>
                <w:sz w:val="24"/>
                <w:szCs w:val="24"/>
              </w:rPr>
              <w:t>Ā</w:t>
            </w:r>
            <w:r w:rsidRPr="00BA6AAA">
              <w:rPr>
                <w:sz w:val="24"/>
                <w:szCs w:val="24"/>
              </w:rPr>
              <w:t>r</w:t>
            </w:r>
            <w:r>
              <w:rPr>
                <w:sz w:val="24"/>
                <w:szCs w:val="24"/>
              </w:rPr>
              <w:t>sienas (ieskaitot ārējo apdari);</w:t>
            </w:r>
          </w:p>
          <w:p w14:paraId="45DDAD0E" w14:textId="77777777" w:rsidR="00505352" w:rsidRDefault="00505352" w:rsidP="00505352">
            <w:pPr>
              <w:pStyle w:val="ListParagraph"/>
              <w:numPr>
                <w:ilvl w:val="2"/>
                <w:numId w:val="6"/>
              </w:numPr>
              <w:ind w:left="892" w:hanging="567"/>
              <w:jc w:val="both"/>
              <w:rPr>
                <w:sz w:val="24"/>
                <w:szCs w:val="24"/>
              </w:rPr>
            </w:pPr>
            <w:r>
              <w:rPr>
                <w:sz w:val="24"/>
                <w:szCs w:val="24"/>
              </w:rPr>
              <w:t>I</w:t>
            </w:r>
            <w:r w:rsidRPr="00BA6AAA">
              <w:rPr>
                <w:sz w:val="24"/>
                <w:szCs w:val="24"/>
              </w:rPr>
              <w:t>ekšsie</w:t>
            </w:r>
            <w:r>
              <w:rPr>
                <w:sz w:val="24"/>
                <w:szCs w:val="24"/>
              </w:rPr>
              <w:t>nas (ieskaitot iekšējo apdari);</w:t>
            </w:r>
          </w:p>
          <w:p w14:paraId="6444C255" w14:textId="77777777" w:rsidR="00505352" w:rsidRDefault="00505352" w:rsidP="00505352">
            <w:pPr>
              <w:pStyle w:val="ListParagraph"/>
              <w:numPr>
                <w:ilvl w:val="2"/>
                <w:numId w:val="6"/>
              </w:numPr>
              <w:ind w:left="892" w:hanging="567"/>
              <w:jc w:val="both"/>
              <w:rPr>
                <w:sz w:val="24"/>
                <w:szCs w:val="24"/>
              </w:rPr>
            </w:pPr>
            <w:r>
              <w:rPr>
                <w:sz w:val="24"/>
                <w:szCs w:val="24"/>
              </w:rPr>
              <w:t>Ēkas siltinājums;</w:t>
            </w:r>
          </w:p>
          <w:p w14:paraId="3CE02553" w14:textId="77777777" w:rsidR="00505352" w:rsidRDefault="00505352" w:rsidP="00505352">
            <w:pPr>
              <w:pStyle w:val="ListParagraph"/>
              <w:numPr>
                <w:ilvl w:val="2"/>
                <w:numId w:val="6"/>
              </w:numPr>
              <w:ind w:left="892" w:hanging="567"/>
              <w:jc w:val="both"/>
              <w:rPr>
                <w:sz w:val="24"/>
                <w:szCs w:val="24"/>
              </w:rPr>
            </w:pPr>
            <w:r>
              <w:rPr>
                <w:sz w:val="24"/>
                <w:szCs w:val="24"/>
              </w:rPr>
              <w:t>S</w:t>
            </w:r>
            <w:r w:rsidRPr="00BA6AAA">
              <w:rPr>
                <w:sz w:val="24"/>
                <w:szCs w:val="24"/>
              </w:rPr>
              <w:t>tarpstāvu pārsegu</w:t>
            </w:r>
            <w:r>
              <w:rPr>
                <w:sz w:val="24"/>
                <w:szCs w:val="24"/>
              </w:rPr>
              <w:t>mi;</w:t>
            </w:r>
          </w:p>
          <w:p w14:paraId="7E04B0F3" w14:textId="77777777" w:rsidR="00505352" w:rsidRDefault="00505352" w:rsidP="00505352">
            <w:pPr>
              <w:pStyle w:val="ListParagraph"/>
              <w:numPr>
                <w:ilvl w:val="2"/>
                <w:numId w:val="6"/>
              </w:numPr>
              <w:ind w:left="892" w:hanging="567"/>
              <w:jc w:val="both"/>
              <w:rPr>
                <w:sz w:val="24"/>
                <w:szCs w:val="24"/>
              </w:rPr>
            </w:pPr>
            <w:r>
              <w:rPr>
                <w:sz w:val="24"/>
                <w:szCs w:val="24"/>
              </w:rPr>
              <w:t>Jumta konstrukcijas, jumts;</w:t>
            </w:r>
          </w:p>
          <w:p w14:paraId="15054547" w14:textId="77777777" w:rsidR="00505352" w:rsidRDefault="00505352" w:rsidP="00505352">
            <w:pPr>
              <w:pStyle w:val="ListParagraph"/>
              <w:numPr>
                <w:ilvl w:val="2"/>
                <w:numId w:val="6"/>
              </w:numPr>
              <w:ind w:left="892" w:hanging="567"/>
              <w:jc w:val="both"/>
              <w:rPr>
                <w:sz w:val="24"/>
                <w:szCs w:val="24"/>
              </w:rPr>
            </w:pPr>
            <w:r>
              <w:rPr>
                <w:sz w:val="24"/>
                <w:szCs w:val="24"/>
              </w:rPr>
              <w:t>Ē</w:t>
            </w:r>
            <w:r w:rsidRPr="00BA6AAA">
              <w:rPr>
                <w:sz w:val="24"/>
                <w:szCs w:val="24"/>
              </w:rPr>
              <w:t>kas ārējie logi (konstrukcijas un stiklojums bez vienlaidus virsmas kvadratūras ierobežojuma un ie</w:t>
            </w:r>
            <w:r>
              <w:rPr>
                <w:sz w:val="24"/>
                <w:szCs w:val="24"/>
              </w:rPr>
              <w:t>kļaujot stiklojuma dekorācijas);</w:t>
            </w:r>
          </w:p>
          <w:p w14:paraId="063F76F5" w14:textId="77777777" w:rsidR="00505352" w:rsidRDefault="00505352" w:rsidP="00505352">
            <w:pPr>
              <w:pStyle w:val="ListParagraph"/>
              <w:numPr>
                <w:ilvl w:val="2"/>
                <w:numId w:val="6"/>
              </w:numPr>
              <w:ind w:left="892" w:hanging="567"/>
              <w:jc w:val="both"/>
              <w:rPr>
                <w:sz w:val="24"/>
                <w:szCs w:val="24"/>
              </w:rPr>
            </w:pPr>
            <w:r>
              <w:rPr>
                <w:sz w:val="24"/>
                <w:szCs w:val="24"/>
              </w:rPr>
              <w:t>Ā</w:t>
            </w:r>
            <w:r w:rsidRPr="00BA6AAA">
              <w:rPr>
                <w:sz w:val="24"/>
                <w:szCs w:val="24"/>
              </w:rPr>
              <w:t>rdurvi</w:t>
            </w:r>
            <w:r>
              <w:rPr>
                <w:sz w:val="24"/>
                <w:szCs w:val="24"/>
              </w:rPr>
              <w:t>s, balkoni, kāpnes, skursteņi;</w:t>
            </w:r>
          </w:p>
          <w:p w14:paraId="4BC35764" w14:textId="77777777" w:rsidR="00505352" w:rsidRPr="00E17467" w:rsidRDefault="00505352" w:rsidP="00505352">
            <w:pPr>
              <w:pStyle w:val="ListParagraph"/>
              <w:numPr>
                <w:ilvl w:val="2"/>
                <w:numId w:val="6"/>
              </w:numPr>
              <w:ind w:left="892" w:hanging="567"/>
              <w:jc w:val="both"/>
              <w:rPr>
                <w:sz w:val="24"/>
                <w:szCs w:val="24"/>
              </w:rPr>
            </w:pPr>
            <w:r>
              <w:rPr>
                <w:sz w:val="24"/>
                <w:szCs w:val="24"/>
              </w:rPr>
              <w:t>Ē</w:t>
            </w:r>
            <w:r w:rsidRPr="00E17467">
              <w:rPr>
                <w:sz w:val="24"/>
                <w:szCs w:val="24"/>
              </w:rPr>
              <w:t>kas pamata ekspluatācijai funkcionāli nepieciešamas inženierkomunikāciju sistēmas: ūdensapgādes un kanalizācijas sistēmas, apkures sistēma, gāzes apgādes sistēma, elektroapgādes sistēma un elektroinstalācija (iepriekš minētās komunālo pakalpojumu komunikācijas sākot no pieslēguma maģistrālajam tīklam un par kuru ekspluatāciju un remontu ir atbildīgs PASŪTĪTĀJS);</w:t>
            </w:r>
          </w:p>
          <w:p w14:paraId="1FFC6E9F" w14:textId="77777777" w:rsidR="00505352" w:rsidRPr="00DA50FC" w:rsidRDefault="00505352" w:rsidP="00505352">
            <w:pPr>
              <w:pStyle w:val="ListParagraph"/>
              <w:numPr>
                <w:ilvl w:val="2"/>
                <w:numId w:val="6"/>
              </w:numPr>
              <w:ind w:left="892" w:hanging="567"/>
              <w:jc w:val="both"/>
              <w:rPr>
                <w:sz w:val="24"/>
                <w:szCs w:val="24"/>
              </w:rPr>
            </w:pPr>
            <w:r>
              <w:rPr>
                <w:sz w:val="24"/>
                <w:szCs w:val="24"/>
              </w:rPr>
              <w:t>V</w:t>
            </w:r>
            <w:r w:rsidRPr="00BA6AAA">
              <w:rPr>
                <w:sz w:val="24"/>
                <w:szCs w:val="24"/>
              </w:rPr>
              <w:t>entilācijas un gaisa kondicionēšanas sistēmas, kā arī ēku inženierkomunikāciju sistēmu iekārtas, kas piestiprinātas pie ēkas konstrukcijām, zibensnovedēji un citas ēkas konstrukcijas, ko nevar mainīt vai noņemt tā, lai nemainītos ēkas ārējais izskats, funkcionalitāte un netiktu bojā</w:t>
            </w:r>
            <w:r>
              <w:rPr>
                <w:sz w:val="24"/>
                <w:szCs w:val="24"/>
              </w:rPr>
              <w:t>ti ēkas konstruktīvie elementi.</w:t>
            </w:r>
          </w:p>
          <w:p w14:paraId="322C94B1" w14:textId="77777777" w:rsidR="00505352" w:rsidRPr="00BA6AAA" w:rsidRDefault="00505352" w:rsidP="00505352">
            <w:pPr>
              <w:pStyle w:val="ListParagraph"/>
              <w:numPr>
                <w:ilvl w:val="0"/>
                <w:numId w:val="6"/>
              </w:numPr>
              <w:ind w:left="325"/>
              <w:jc w:val="both"/>
              <w:rPr>
                <w:b/>
                <w:sz w:val="24"/>
                <w:szCs w:val="24"/>
              </w:rPr>
            </w:pPr>
            <w:r w:rsidRPr="00BA6AAA">
              <w:rPr>
                <w:b/>
                <w:sz w:val="24"/>
                <w:szCs w:val="24"/>
              </w:rPr>
              <w:t>Apdrošināšanas gadījumu regulēšana:</w:t>
            </w:r>
          </w:p>
          <w:p w14:paraId="7351165A" w14:textId="77777777" w:rsidR="00505352" w:rsidRDefault="00505352" w:rsidP="00505352">
            <w:pPr>
              <w:pStyle w:val="ListParagraph"/>
              <w:numPr>
                <w:ilvl w:val="1"/>
                <w:numId w:val="6"/>
              </w:numPr>
              <w:ind w:left="325"/>
              <w:jc w:val="both"/>
              <w:rPr>
                <w:sz w:val="24"/>
                <w:szCs w:val="24"/>
              </w:rPr>
            </w:pPr>
            <w:r>
              <w:rPr>
                <w:sz w:val="24"/>
                <w:szCs w:val="24"/>
              </w:rPr>
              <w:t>Pēc PASŪTĪTĀJA a</w:t>
            </w:r>
            <w:r w:rsidRPr="00BA6AAA">
              <w:rPr>
                <w:sz w:val="24"/>
                <w:szCs w:val="24"/>
              </w:rPr>
              <w:t>pdrošināšanas atlīdzības pieteikuma saņemšanas</w:t>
            </w:r>
            <w:r>
              <w:rPr>
                <w:sz w:val="24"/>
                <w:szCs w:val="24"/>
              </w:rPr>
              <w:t>,</w:t>
            </w:r>
            <w:r w:rsidRPr="00BA6AAA">
              <w:rPr>
                <w:sz w:val="24"/>
                <w:szCs w:val="24"/>
              </w:rPr>
              <w:t xml:space="preserve"> APDROŠINĀTĀJAM </w:t>
            </w:r>
            <w:r>
              <w:rPr>
                <w:sz w:val="24"/>
                <w:szCs w:val="24"/>
              </w:rPr>
              <w:t xml:space="preserve">ir jāinformē PASŪTĪTĀJU </w:t>
            </w:r>
            <w:r w:rsidRPr="00BA6AAA">
              <w:rPr>
                <w:sz w:val="24"/>
                <w:szCs w:val="24"/>
              </w:rPr>
              <w:t xml:space="preserve">vai APDROŠINĀTĀJAM ir nepieciešama objekta apskate. </w:t>
            </w:r>
          </w:p>
          <w:p w14:paraId="08D3628D" w14:textId="77777777" w:rsidR="00505352" w:rsidRDefault="00505352" w:rsidP="00505352">
            <w:pPr>
              <w:pStyle w:val="ListParagraph"/>
              <w:numPr>
                <w:ilvl w:val="1"/>
                <w:numId w:val="6"/>
              </w:numPr>
              <w:ind w:left="325"/>
              <w:jc w:val="both"/>
              <w:rPr>
                <w:sz w:val="24"/>
                <w:szCs w:val="24"/>
              </w:rPr>
            </w:pPr>
            <w:r w:rsidRPr="00BA6AAA">
              <w:rPr>
                <w:sz w:val="24"/>
                <w:szCs w:val="24"/>
              </w:rPr>
              <w:t xml:space="preserve">Ja APDROŠINĀTĀJS nepiesaka apdrošinātā objekta apskati 3 (trīs) darba dienu laikā pēc </w:t>
            </w:r>
            <w:r>
              <w:rPr>
                <w:sz w:val="24"/>
                <w:szCs w:val="24"/>
              </w:rPr>
              <w:t xml:space="preserve">PASŪTĪTĀJA </w:t>
            </w:r>
            <w:r w:rsidRPr="00BA6AAA">
              <w:rPr>
                <w:bCs/>
                <w:sz w:val="24"/>
                <w:szCs w:val="24"/>
              </w:rPr>
              <w:t>iesnieguma par apdrošināšanas gadījumu</w:t>
            </w:r>
            <w:r w:rsidRPr="00BA6AAA">
              <w:rPr>
                <w:sz w:val="24"/>
                <w:szCs w:val="24"/>
              </w:rPr>
              <w:t xml:space="preserve"> saņemšanas dienas</w:t>
            </w:r>
            <w:r>
              <w:rPr>
                <w:sz w:val="24"/>
                <w:szCs w:val="24"/>
              </w:rPr>
              <w:t>,</w:t>
            </w:r>
            <w:r w:rsidRPr="00BA6AAA">
              <w:rPr>
                <w:sz w:val="24"/>
                <w:szCs w:val="24"/>
              </w:rPr>
              <w:t xml:space="preserve"> un 3 (trīs) darba dienu laikā pēc apmeklējuma pieteikuma apstiprināšanas dienas neveic objekta apskati, kā arī nepaziņo par pamatotiem apskates aizkavēšanas iemesliem un ilgumu, PASŪTĪTĀJAM ir tiesības uzsākt </w:t>
            </w:r>
            <w:r>
              <w:rPr>
                <w:sz w:val="24"/>
                <w:szCs w:val="24"/>
              </w:rPr>
              <w:t xml:space="preserve">nepieciešamos </w:t>
            </w:r>
            <w:r w:rsidRPr="00BA6AAA">
              <w:rPr>
                <w:sz w:val="24"/>
                <w:szCs w:val="24"/>
              </w:rPr>
              <w:t xml:space="preserve">sakārtošanas un remonta darbus. </w:t>
            </w:r>
          </w:p>
          <w:p w14:paraId="30786569" w14:textId="77777777" w:rsidR="00505352" w:rsidRPr="00BA6AAA" w:rsidRDefault="00505352" w:rsidP="00505352">
            <w:pPr>
              <w:pStyle w:val="ListParagraph"/>
              <w:numPr>
                <w:ilvl w:val="1"/>
                <w:numId w:val="6"/>
              </w:numPr>
              <w:ind w:left="325"/>
              <w:jc w:val="both"/>
              <w:rPr>
                <w:sz w:val="24"/>
                <w:szCs w:val="24"/>
              </w:rPr>
            </w:pPr>
            <w:r>
              <w:rPr>
                <w:sz w:val="24"/>
                <w:szCs w:val="24"/>
              </w:rPr>
              <w:t xml:space="preserve">Ja PASŪTĪTĀJA īpašumā konstatētie bojājumi ir bīstami cilvēku veselībai un dzīvībai, un ir nepieciešama to tūlītēja likvidācija, </w:t>
            </w:r>
            <w:r w:rsidRPr="00BA6AAA">
              <w:rPr>
                <w:sz w:val="24"/>
                <w:szCs w:val="24"/>
              </w:rPr>
              <w:t>PASŪTĪTĀJAM</w:t>
            </w:r>
            <w:r>
              <w:rPr>
                <w:sz w:val="24"/>
                <w:szCs w:val="24"/>
              </w:rPr>
              <w:t xml:space="preserve"> </w:t>
            </w:r>
            <w:r w:rsidRPr="00BA6AAA">
              <w:rPr>
                <w:sz w:val="24"/>
                <w:szCs w:val="24"/>
              </w:rPr>
              <w:t xml:space="preserve">ir </w:t>
            </w:r>
            <w:r w:rsidRPr="00F8212D">
              <w:rPr>
                <w:sz w:val="24"/>
                <w:szCs w:val="24"/>
              </w:rPr>
              <w:lastRenderedPageBreak/>
              <w:t>tiesības uzsākt nepieciešamos pasākumus un darbus avārijas situācijas un turpmāku zaudējumu novēršanai, kā</w:t>
            </w:r>
            <w:r w:rsidRPr="00BA6AAA">
              <w:rPr>
                <w:sz w:val="24"/>
                <w:szCs w:val="24"/>
              </w:rPr>
              <w:t xml:space="preserve"> arī objekta drošības režīma nodrošināšanai</w:t>
            </w:r>
            <w:r>
              <w:rPr>
                <w:sz w:val="24"/>
                <w:szCs w:val="24"/>
              </w:rPr>
              <w:t>, nesagaidot apdrošinātāja pieteikumu objekta apskatei</w:t>
            </w:r>
            <w:r w:rsidRPr="00BA6AAA">
              <w:rPr>
                <w:sz w:val="24"/>
                <w:szCs w:val="24"/>
              </w:rPr>
              <w:t>.</w:t>
            </w:r>
          </w:p>
          <w:p w14:paraId="15D72ABD" w14:textId="77777777" w:rsidR="00505352" w:rsidRPr="00BA6AAA" w:rsidRDefault="00505352" w:rsidP="00505352">
            <w:pPr>
              <w:pStyle w:val="ListParagraph"/>
              <w:numPr>
                <w:ilvl w:val="1"/>
                <w:numId w:val="6"/>
              </w:numPr>
              <w:ind w:left="325"/>
              <w:jc w:val="both"/>
              <w:rPr>
                <w:sz w:val="24"/>
                <w:szCs w:val="24"/>
              </w:rPr>
            </w:pPr>
            <w:r w:rsidRPr="00BA6AAA">
              <w:rPr>
                <w:sz w:val="24"/>
                <w:szCs w:val="24"/>
              </w:rPr>
              <w:t>APDROŠINĀTĀJS 10 (desmit) dienu laikā pēc apdrošināšanas atlīdzības pieteikuma saņemšanas, paziņo visu nepieciešamo dokumentu sarakstu, kas nepieciešams, lai pieņemtu lēmumu par apdrošināšanas atlīdzības izmaksu vai atteikumu izmaksāt apdrošināšanas atlīdzību.</w:t>
            </w:r>
          </w:p>
          <w:p w14:paraId="7A8F53F9" w14:textId="77777777" w:rsidR="00505352" w:rsidRPr="00BA6AAA" w:rsidRDefault="00505352" w:rsidP="00505352">
            <w:pPr>
              <w:pStyle w:val="ListParagraph"/>
              <w:numPr>
                <w:ilvl w:val="1"/>
                <w:numId w:val="6"/>
              </w:numPr>
              <w:ind w:left="325"/>
              <w:jc w:val="both"/>
              <w:rPr>
                <w:sz w:val="24"/>
                <w:szCs w:val="24"/>
              </w:rPr>
            </w:pPr>
            <w:r w:rsidRPr="00BA6AAA">
              <w:rPr>
                <w:sz w:val="24"/>
                <w:szCs w:val="24"/>
              </w:rPr>
              <w:t xml:space="preserve">APDROŠINĀTĀJS nodrošina vismaz vienu darbinieku, kura pienākums būs pieņemt informāciju par apdrošināšanas gadījumiem, kā arī sniegt PASŪTĪTĀJA pārstāvim visu nepieciešamo informāciju, kas saistīta ar apdrošināšanas gadījumiem. </w:t>
            </w:r>
          </w:p>
          <w:p w14:paraId="679563F3" w14:textId="77777777" w:rsidR="00505352" w:rsidRPr="00BA6AAA" w:rsidRDefault="00505352" w:rsidP="00505352">
            <w:pPr>
              <w:pStyle w:val="ListParagraph"/>
              <w:numPr>
                <w:ilvl w:val="1"/>
                <w:numId w:val="6"/>
              </w:numPr>
              <w:ind w:left="325"/>
              <w:jc w:val="both"/>
              <w:rPr>
                <w:sz w:val="24"/>
                <w:szCs w:val="24"/>
              </w:rPr>
            </w:pPr>
            <w:r w:rsidRPr="00BA6AAA">
              <w:rPr>
                <w:sz w:val="24"/>
                <w:szCs w:val="24"/>
              </w:rPr>
              <w:t>Lēmums par apdrošināšanas atlīdzības izmaksu vai atteikumu izmaksāt apdrošināšanas atlīdzību tiek pieņemts 5 (piecu) darba dienu laikā pēc apdrošināšanas līgumā paredzēto dokumentu saņemšanas.</w:t>
            </w:r>
          </w:p>
          <w:p w14:paraId="69286214" w14:textId="77777777" w:rsidR="00505352" w:rsidRPr="00DA50FC" w:rsidRDefault="00505352" w:rsidP="00505352">
            <w:pPr>
              <w:pStyle w:val="ListParagraph"/>
              <w:numPr>
                <w:ilvl w:val="1"/>
                <w:numId w:val="6"/>
              </w:numPr>
              <w:ind w:left="325"/>
              <w:jc w:val="both"/>
              <w:rPr>
                <w:sz w:val="24"/>
                <w:szCs w:val="24"/>
              </w:rPr>
            </w:pPr>
            <w:r w:rsidRPr="00BA6AAA">
              <w:rPr>
                <w:sz w:val="24"/>
                <w:szCs w:val="24"/>
              </w:rPr>
              <w:t xml:space="preserve">Apdrošināšanas atlīdzība tiek izmaksāta 5 (piecu) darba dienu laikā pēc </w:t>
            </w:r>
            <w:r w:rsidRPr="00DA50FC">
              <w:rPr>
                <w:sz w:val="24"/>
                <w:szCs w:val="24"/>
              </w:rPr>
              <w:t>lēmuma par apdrošināšanas atlīdzības izmaksu pieņemšanas.</w:t>
            </w:r>
          </w:p>
          <w:p w14:paraId="4D477C52" w14:textId="77777777" w:rsidR="00505352" w:rsidRPr="003B4A41" w:rsidRDefault="00505352" w:rsidP="00505352">
            <w:pPr>
              <w:pStyle w:val="ListParagraph"/>
              <w:numPr>
                <w:ilvl w:val="1"/>
                <w:numId w:val="6"/>
              </w:numPr>
              <w:ind w:left="313"/>
              <w:jc w:val="both"/>
              <w:rPr>
                <w:sz w:val="24"/>
                <w:szCs w:val="24"/>
              </w:rPr>
            </w:pPr>
            <w:r w:rsidRPr="00DA50FC">
              <w:rPr>
                <w:sz w:val="24"/>
                <w:szCs w:val="24"/>
              </w:rPr>
              <w:t>Netiek atlīdzināti zaudējumi, ja apdrošināšanas gadījums rodas sprāgstvielu, sprādzienbīstamu vielu un/vai munīcijas sprādziena/eksplozijas rezultātā.</w:t>
            </w:r>
          </w:p>
        </w:tc>
      </w:tr>
      <w:tr w:rsidR="00505352" w14:paraId="0C2C0F57" w14:textId="77777777" w:rsidTr="00A406BB">
        <w:tc>
          <w:tcPr>
            <w:tcW w:w="2127" w:type="dxa"/>
          </w:tcPr>
          <w:p w14:paraId="26E2BCA0" w14:textId="77777777" w:rsidR="00505352" w:rsidRPr="00807086" w:rsidRDefault="00505352" w:rsidP="00A406BB">
            <w:pPr>
              <w:rPr>
                <w:b/>
                <w:sz w:val="24"/>
                <w:szCs w:val="24"/>
              </w:rPr>
            </w:pPr>
            <w:r w:rsidRPr="00807086">
              <w:rPr>
                <w:b/>
                <w:sz w:val="24"/>
                <w:szCs w:val="24"/>
              </w:rPr>
              <w:lastRenderedPageBreak/>
              <w:t>Izmantojamās metodes un resursi</w:t>
            </w:r>
          </w:p>
        </w:tc>
        <w:tc>
          <w:tcPr>
            <w:tcW w:w="7655" w:type="dxa"/>
          </w:tcPr>
          <w:p w14:paraId="636B1C11" w14:textId="77777777" w:rsidR="00505352" w:rsidRPr="00673AD6" w:rsidRDefault="00505352" w:rsidP="00505352">
            <w:pPr>
              <w:pStyle w:val="ListParagraph"/>
              <w:widowControl w:val="0"/>
              <w:numPr>
                <w:ilvl w:val="0"/>
                <w:numId w:val="7"/>
              </w:numPr>
              <w:tabs>
                <w:tab w:val="left" w:pos="720"/>
              </w:tabs>
              <w:suppressAutoHyphens/>
              <w:ind w:right="26"/>
              <w:contextualSpacing w:val="0"/>
              <w:jc w:val="both"/>
              <w:rPr>
                <w:b/>
                <w:sz w:val="24"/>
                <w:szCs w:val="24"/>
              </w:rPr>
            </w:pPr>
            <w:r w:rsidRPr="00673AD6">
              <w:rPr>
                <w:b/>
                <w:sz w:val="24"/>
                <w:szCs w:val="24"/>
              </w:rPr>
              <w:t>Apdrošinātie riski un pakalpojuma minimālās prasības</w:t>
            </w:r>
            <w:r>
              <w:rPr>
                <w:rStyle w:val="FootnoteReference"/>
                <w:b/>
                <w:sz w:val="24"/>
                <w:szCs w:val="24"/>
              </w:rPr>
              <w:footnoteReference w:id="1"/>
            </w:r>
            <w:r w:rsidRPr="00673AD6">
              <w:rPr>
                <w:b/>
                <w:sz w:val="24"/>
                <w:szCs w:val="24"/>
              </w:rPr>
              <w:t>.</w:t>
            </w:r>
          </w:p>
          <w:p w14:paraId="1F209F21" w14:textId="77777777" w:rsidR="00505352" w:rsidRPr="00A9785B" w:rsidRDefault="00505352" w:rsidP="00A406BB">
            <w:pPr>
              <w:pStyle w:val="ListParagraph"/>
              <w:widowControl w:val="0"/>
              <w:tabs>
                <w:tab w:val="left" w:pos="720"/>
              </w:tabs>
              <w:suppressAutoHyphens/>
              <w:ind w:left="-100" w:right="26"/>
              <w:jc w:val="both"/>
              <w:rPr>
                <w:sz w:val="24"/>
                <w:szCs w:val="24"/>
              </w:rPr>
            </w:pPr>
            <w:r w:rsidRPr="00DA50FC">
              <w:rPr>
                <w:sz w:val="24"/>
                <w:szCs w:val="24"/>
              </w:rPr>
              <w:t>Visu risku segums – jebkāds apdrošinātā īpašuma pēkšņs un fizisks bojājums vai zudums jebkādu cēloņu rezultātā, tai skaitā, bet neaprobežojoties tikai ar minētajiem:</w:t>
            </w:r>
          </w:p>
          <w:p w14:paraId="41857E7E" w14:textId="77777777" w:rsidR="00505352" w:rsidRPr="006E3191" w:rsidRDefault="00505352" w:rsidP="00505352">
            <w:pPr>
              <w:pStyle w:val="ListParagraph"/>
              <w:widowControl w:val="0"/>
              <w:numPr>
                <w:ilvl w:val="1"/>
                <w:numId w:val="7"/>
              </w:numPr>
              <w:suppressAutoHyphens/>
              <w:ind w:left="325" w:right="26"/>
              <w:contextualSpacing w:val="0"/>
              <w:jc w:val="both"/>
              <w:rPr>
                <w:b/>
                <w:sz w:val="24"/>
                <w:szCs w:val="24"/>
              </w:rPr>
            </w:pPr>
            <w:r w:rsidRPr="006E3191">
              <w:rPr>
                <w:b/>
                <w:bCs/>
                <w:sz w:val="24"/>
                <w:szCs w:val="24"/>
              </w:rPr>
              <w:t xml:space="preserve">Uguns risks: </w:t>
            </w:r>
          </w:p>
          <w:p w14:paraId="395288E2" w14:textId="77777777" w:rsidR="00505352" w:rsidRPr="00B30606" w:rsidRDefault="00505352" w:rsidP="00505352">
            <w:pPr>
              <w:pStyle w:val="ListParagraph"/>
              <w:widowControl w:val="0"/>
              <w:numPr>
                <w:ilvl w:val="2"/>
                <w:numId w:val="7"/>
              </w:numPr>
              <w:suppressAutoHyphens/>
              <w:ind w:left="467" w:right="26" w:hanging="567"/>
              <w:contextualSpacing w:val="0"/>
              <w:jc w:val="both"/>
              <w:rPr>
                <w:sz w:val="24"/>
                <w:szCs w:val="24"/>
              </w:rPr>
            </w:pPr>
            <w:r w:rsidRPr="00B30606">
              <w:rPr>
                <w:b/>
                <w:sz w:val="24"/>
                <w:szCs w:val="24"/>
              </w:rPr>
              <w:t xml:space="preserve">Ugunsgrēks </w:t>
            </w:r>
            <w:r w:rsidRPr="00B30606">
              <w:rPr>
                <w:sz w:val="24"/>
                <w:szCs w:val="24"/>
              </w:rPr>
              <w:t>– iepriekš neparedzēta un nekontrolējama degšana ar atklātu liesmu, kura izcēlusies no ugunij neparedzētas vai paredzētas vietas, tai turpinot patstāvīgi izplatīties tālāk. Atlīdzināms ir arī sodrēju, dūmu un uguns dzēšanas seku (t.sk. ugunsdzēsības līdzekļu – ūdens, putu) radītais kaitējums apdrošināšanas objektam, ja to cēlonis ir bijis ugunsgrēks;</w:t>
            </w:r>
          </w:p>
          <w:p w14:paraId="2E5A092A" w14:textId="77777777" w:rsidR="00505352" w:rsidRPr="00B30606" w:rsidRDefault="00505352" w:rsidP="00505352">
            <w:pPr>
              <w:pStyle w:val="ListParagraph"/>
              <w:widowControl w:val="0"/>
              <w:numPr>
                <w:ilvl w:val="2"/>
                <w:numId w:val="7"/>
              </w:numPr>
              <w:tabs>
                <w:tab w:val="left" w:pos="851"/>
              </w:tabs>
              <w:suppressAutoHyphens/>
              <w:ind w:left="467" w:right="26" w:hanging="567"/>
              <w:contextualSpacing w:val="0"/>
              <w:jc w:val="both"/>
              <w:rPr>
                <w:sz w:val="24"/>
                <w:szCs w:val="24"/>
              </w:rPr>
            </w:pPr>
            <w:r w:rsidRPr="00B30606">
              <w:rPr>
                <w:b/>
                <w:sz w:val="24"/>
                <w:szCs w:val="24"/>
              </w:rPr>
              <w:t xml:space="preserve">Eksplozija </w:t>
            </w:r>
            <w:r w:rsidRPr="00B30606">
              <w:rPr>
                <w:sz w:val="24"/>
                <w:szCs w:val="24"/>
              </w:rPr>
              <w:t>– momentāna (eksplozīva) vielas vai maisījuma ķīmiska pārvērtība, kas rada paaugstinātu spiedienu (triecienvilni). Atlīdzināmi ir arī tvertnes (katla, cauruļvada u. tml.) eksplozijas rezultātā radušies bojājumi apdrošināšanas objektam. Ar “tvertnes eksploziju” saprot pēkšņu ārdošu spiediena spēka izpausmi, kad tvertnes sienas ir plīsušas tādā mērā, ka notiek pēkšņa spiediena izlīdzināšanās starp tvertnes iekšpusi un ārpusi;</w:t>
            </w:r>
          </w:p>
          <w:p w14:paraId="4F1E5989" w14:textId="77777777" w:rsidR="00505352" w:rsidRPr="007E5F82" w:rsidRDefault="00505352" w:rsidP="00505352">
            <w:pPr>
              <w:pStyle w:val="ListParagraph"/>
              <w:widowControl w:val="0"/>
              <w:numPr>
                <w:ilvl w:val="2"/>
                <w:numId w:val="7"/>
              </w:numPr>
              <w:suppressAutoHyphens/>
              <w:ind w:left="467" w:right="26" w:hanging="567"/>
              <w:contextualSpacing w:val="0"/>
              <w:jc w:val="both"/>
              <w:rPr>
                <w:b/>
                <w:sz w:val="24"/>
                <w:szCs w:val="24"/>
              </w:rPr>
            </w:pPr>
            <w:r w:rsidRPr="007E5F82">
              <w:rPr>
                <w:sz w:val="24"/>
                <w:szCs w:val="24"/>
              </w:rPr>
              <w:t>Īssavienojuma, pārsprieguma vai tamlīdzīgu elektrisku parādību rezultātā radušies zaudējumi;</w:t>
            </w:r>
          </w:p>
          <w:p w14:paraId="5A5DCF55" w14:textId="77777777" w:rsidR="00505352" w:rsidRPr="006E319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bCs/>
                <w:color w:val="000000"/>
                <w:sz w:val="24"/>
                <w:szCs w:val="24"/>
              </w:rPr>
              <w:t>Vadāma lidaparāta, tā daļu vai lidaparāta pārvadājamās kravas uzkrišana</w:t>
            </w:r>
            <w:r w:rsidRPr="006E3191">
              <w:rPr>
                <w:color w:val="000000"/>
                <w:sz w:val="24"/>
                <w:szCs w:val="24"/>
              </w:rPr>
              <w:t xml:space="preserve"> apdrošināšanas objektam, kas izraisījis apdrošināšanas objekta aizdegšanos.</w:t>
            </w:r>
          </w:p>
          <w:p w14:paraId="5BE7E5AA" w14:textId="77777777" w:rsidR="00505352" w:rsidRPr="006E3191" w:rsidRDefault="00505352" w:rsidP="00505352">
            <w:pPr>
              <w:pStyle w:val="ListParagraph"/>
              <w:widowControl w:val="0"/>
              <w:numPr>
                <w:ilvl w:val="1"/>
                <w:numId w:val="7"/>
              </w:numPr>
              <w:suppressAutoHyphens/>
              <w:ind w:left="319" w:right="26"/>
              <w:contextualSpacing w:val="0"/>
              <w:jc w:val="both"/>
              <w:rPr>
                <w:b/>
                <w:sz w:val="24"/>
                <w:szCs w:val="24"/>
              </w:rPr>
            </w:pPr>
            <w:r w:rsidRPr="006E3191">
              <w:rPr>
                <w:b/>
                <w:bCs/>
                <w:sz w:val="24"/>
                <w:szCs w:val="24"/>
              </w:rPr>
              <w:t>Dabas stihisko postu risks:</w:t>
            </w:r>
          </w:p>
          <w:p w14:paraId="6A629946" w14:textId="77777777" w:rsidR="00505352" w:rsidRPr="006E3191" w:rsidRDefault="00505352" w:rsidP="00505352">
            <w:pPr>
              <w:pStyle w:val="ListParagraph"/>
              <w:widowControl w:val="0"/>
              <w:numPr>
                <w:ilvl w:val="2"/>
                <w:numId w:val="7"/>
              </w:numPr>
              <w:tabs>
                <w:tab w:val="left" w:pos="720"/>
              </w:tabs>
              <w:suppressAutoHyphens/>
              <w:ind w:left="467" w:right="26" w:hanging="567"/>
              <w:contextualSpacing w:val="0"/>
              <w:jc w:val="both"/>
              <w:rPr>
                <w:b/>
                <w:sz w:val="24"/>
                <w:szCs w:val="24"/>
              </w:rPr>
            </w:pPr>
            <w:r w:rsidRPr="006E3191">
              <w:rPr>
                <w:b/>
                <w:sz w:val="24"/>
                <w:szCs w:val="24"/>
              </w:rPr>
              <w:t>Zibens spēriens</w:t>
            </w:r>
            <w:r>
              <w:rPr>
                <w:b/>
                <w:sz w:val="24"/>
                <w:szCs w:val="24"/>
              </w:rPr>
              <w:t xml:space="preserve"> </w:t>
            </w:r>
            <w:r w:rsidRPr="006E3191">
              <w:rPr>
                <w:sz w:val="24"/>
                <w:szCs w:val="24"/>
              </w:rPr>
              <w:t>–</w:t>
            </w:r>
            <w:r>
              <w:rPr>
                <w:sz w:val="24"/>
                <w:szCs w:val="24"/>
              </w:rPr>
              <w:t xml:space="preserve"> </w:t>
            </w:r>
            <w:r w:rsidRPr="006E3191">
              <w:rPr>
                <w:color w:val="000000"/>
                <w:sz w:val="24"/>
                <w:szCs w:val="24"/>
              </w:rPr>
              <w:t xml:space="preserve">tieša zibens </w:t>
            </w:r>
            <w:r w:rsidRPr="006E3191">
              <w:rPr>
                <w:sz w:val="24"/>
                <w:szCs w:val="24"/>
              </w:rPr>
              <w:t xml:space="preserve">(tajā skaitā lodveida) </w:t>
            </w:r>
            <w:r w:rsidRPr="006E3191">
              <w:rPr>
                <w:color w:val="000000"/>
                <w:sz w:val="24"/>
                <w:szCs w:val="24"/>
              </w:rPr>
              <w:t>iedarbība uz apdrošināšanas objektu, kā rezultātā tam tiek nodarīts kaitējums</w:t>
            </w:r>
            <w:r>
              <w:rPr>
                <w:color w:val="000000"/>
                <w:sz w:val="24"/>
                <w:szCs w:val="24"/>
              </w:rPr>
              <w:t>,</w:t>
            </w:r>
            <w:r w:rsidRPr="006E3191">
              <w:rPr>
                <w:color w:val="000000"/>
                <w:sz w:val="24"/>
                <w:szCs w:val="24"/>
              </w:rPr>
              <w:t xml:space="preserve"> vai izceļas ugunsgrēks</w:t>
            </w:r>
            <w:r>
              <w:rPr>
                <w:color w:val="000000"/>
                <w:sz w:val="24"/>
                <w:szCs w:val="24"/>
              </w:rPr>
              <w:t>;</w:t>
            </w:r>
          </w:p>
          <w:p w14:paraId="639F0F8F" w14:textId="77777777" w:rsidR="00505352" w:rsidRPr="006E319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sz w:val="24"/>
                <w:szCs w:val="24"/>
              </w:rPr>
              <w:t>Vētra</w:t>
            </w:r>
            <w:r>
              <w:rPr>
                <w:b/>
                <w:sz w:val="24"/>
                <w:szCs w:val="24"/>
              </w:rPr>
              <w:t xml:space="preserve"> </w:t>
            </w:r>
            <w:r w:rsidRPr="006E3191">
              <w:rPr>
                <w:sz w:val="24"/>
                <w:szCs w:val="24"/>
              </w:rPr>
              <w:t>–</w:t>
            </w:r>
            <w:r>
              <w:rPr>
                <w:sz w:val="24"/>
                <w:szCs w:val="24"/>
              </w:rPr>
              <w:t xml:space="preserve"> </w:t>
            </w:r>
            <w:r w:rsidRPr="006E3191">
              <w:rPr>
                <w:sz w:val="24"/>
                <w:szCs w:val="24"/>
              </w:rPr>
              <w:t>gaisa masas plūsma, kuras</w:t>
            </w:r>
            <w:r>
              <w:rPr>
                <w:sz w:val="24"/>
                <w:szCs w:val="24"/>
              </w:rPr>
              <w:t xml:space="preserve"> </w:t>
            </w:r>
            <w:r w:rsidRPr="006E3191">
              <w:rPr>
                <w:sz w:val="24"/>
                <w:szCs w:val="24"/>
              </w:rPr>
              <w:t>vidējais ātrums ir ne mazāks par 17 (septiņpadsmit) metriem sekundē. Ja apdrošināšanas gadījuma vietā vēja ātrumu nav iespējams noteikt, tad uzskatāms, ka vētra ir bijusi, ja apdrošināšanas objekta apkārtnē gaisa masu pārvietošanās izraisījusi bojājumus arī labā stāvoklī uzturētām ēkām, tajā skaitā koku, zaru, mastu, stabu, būvju, konstrukciju un citu priekšmetu uzkrišana uz apdrošināšanas objekta</w:t>
            </w:r>
            <w:r>
              <w:rPr>
                <w:sz w:val="24"/>
                <w:szCs w:val="24"/>
              </w:rPr>
              <w:t>;</w:t>
            </w:r>
          </w:p>
          <w:p w14:paraId="6824C7D3" w14:textId="77777777" w:rsidR="00505352" w:rsidRPr="006E319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sz w:val="24"/>
                <w:szCs w:val="24"/>
              </w:rPr>
              <w:lastRenderedPageBreak/>
              <w:t>Krusa</w:t>
            </w:r>
            <w:r>
              <w:rPr>
                <w:b/>
                <w:sz w:val="24"/>
                <w:szCs w:val="24"/>
              </w:rPr>
              <w:t xml:space="preserve"> </w:t>
            </w:r>
            <w:r w:rsidRPr="006E3191">
              <w:rPr>
                <w:sz w:val="24"/>
                <w:szCs w:val="24"/>
              </w:rPr>
              <w:t>–</w:t>
            </w:r>
            <w:r>
              <w:rPr>
                <w:sz w:val="24"/>
                <w:szCs w:val="24"/>
              </w:rPr>
              <w:t xml:space="preserve"> </w:t>
            </w:r>
            <w:r w:rsidRPr="006E3191">
              <w:rPr>
                <w:sz w:val="24"/>
                <w:szCs w:val="24"/>
              </w:rPr>
              <w:t>dažādas formas, lieluma un svara ledus gabalu nokrišņi, kas, nokrītot uz apdrošināšanas objekta,</w:t>
            </w:r>
            <w:r>
              <w:rPr>
                <w:sz w:val="24"/>
                <w:szCs w:val="24"/>
              </w:rPr>
              <w:t xml:space="preserve"> </w:t>
            </w:r>
            <w:r w:rsidRPr="006E3191">
              <w:rPr>
                <w:sz w:val="24"/>
                <w:szCs w:val="24"/>
              </w:rPr>
              <w:t>rada tam bojājumus</w:t>
            </w:r>
            <w:r>
              <w:rPr>
                <w:sz w:val="24"/>
                <w:szCs w:val="24"/>
              </w:rPr>
              <w:t>;</w:t>
            </w:r>
          </w:p>
          <w:p w14:paraId="6612D28D" w14:textId="7537911F" w:rsidR="00505352" w:rsidRPr="006E319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bCs/>
                <w:color w:val="000000"/>
                <w:sz w:val="24"/>
                <w:szCs w:val="24"/>
              </w:rPr>
              <w:t>Nepārtraukta snigšan</w:t>
            </w:r>
            <w:r w:rsidRPr="006E3191">
              <w:rPr>
                <w:b/>
                <w:color w:val="000000"/>
                <w:sz w:val="24"/>
                <w:szCs w:val="24"/>
              </w:rPr>
              <w:t>a</w:t>
            </w:r>
            <w:r>
              <w:rPr>
                <w:b/>
                <w:color w:val="000000"/>
                <w:sz w:val="24"/>
                <w:szCs w:val="24"/>
              </w:rPr>
              <w:t xml:space="preserve"> </w:t>
            </w:r>
            <w:r w:rsidRPr="006E3191">
              <w:rPr>
                <w:color w:val="000000"/>
                <w:sz w:val="24"/>
                <w:szCs w:val="24"/>
              </w:rPr>
              <w:t xml:space="preserve">– pēkšņa sniega slāņa palielināšanās vismaz par 10 cm diennakts laikā, kā rezultātā sniega vai kūstoša (slapja) un krītoša sniega vai ledus svars nodara bojājumus apdrošināšanas </w:t>
            </w:r>
            <w:r w:rsidRPr="005E13D1">
              <w:rPr>
                <w:color w:val="000000"/>
                <w:sz w:val="24"/>
                <w:szCs w:val="24"/>
              </w:rPr>
              <w:t>objektam</w:t>
            </w:r>
            <w:r w:rsidRPr="005E13D1">
              <w:rPr>
                <w:bCs/>
                <w:sz w:val="24"/>
                <w:szCs w:val="24"/>
              </w:rPr>
              <w:t>;</w:t>
            </w:r>
          </w:p>
          <w:p w14:paraId="7B245073" w14:textId="77777777" w:rsidR="00505352" w:rsidRPr="006E319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bCs/>
                <w:sz w:val="24"/>
                <w:szCs w:val="24"/>
              </w:rPr>
              <w:t xml:space="preserve">Plūdi </w:t>
            </w:r>
            <w:r w:rsidRPr="006E3191">
              <w:rPr>
                <w:sz w:val="24"/>
                <w:szCs w:val="24"/>
              </w:rPr>
              <w:t>– noteiktas teritorijas applūšana ar ūdeni, kas pārgājis pāri ūdens tilpņu vai dabīgo ūdens baseinu robežām</w:t>
            </w:r>
            <w:r>
              <w:rPr>
                <w:sz w:val="24"/>
                <w:szCs w:val="24"/>
              </w:rPr>
              <w:t>;</w:t>
            </w:r>
          </w:p>
          <w:p w14:paraId="3B2F34D4" w14:textId="77777777" w:rsidR="00505352" w:rsidRPr="006E3191" w:rsidRDefault="00505352" w:rsidP="00A406BB">
            <w:pPr>
              <w:pStyle w:val="ListParagraph"/>
              <w:widowControl w:val="0"/>
              <w:tabs>
                <w:tab w:val="left" w:pos="720"/>
              </w:tabs>
              <w:suppressAutoHyphens/>
              <w:ind w:left="467" w:right="26"/>
              <w:jc w:val="both"/>
              <w:rPr>
                <w:b/>
                <w:sz w:val="24"/>
                <w:szCs w:val="24"/>
              </w:rPr>
            </w:pPr>
            <w:r w:rsidRPr="006E3191">
              <w:rPr>
                <w:bCs/>
                <w:sz w:val="24"/>
                <w:szCs w:val="24"/>
              </w:rPr>
              <w:t>Papildus jāsed</w:t>
            </w:r>
            <w:r w:rsidRPr="006E3191">
              <w:rPr>
                <w:sz w:val="24"/>
                <w:szCs w:val="24"/>
              </w:rPr>
              <w:t>z stipru nokrišņu rezultātā izraisītu plūdu rezultātā nodarītie zaudējumi (t.sk. bet ne tikai gruntsūdeņu un notekūdeņu līmeņa celšanās dēļ vai pārplūstot ūdens savākšanas sistēmām, jumta notekcaurulēm)</w:t>
            </w:r>
            <w:r w:rsidRPr="006E3191">
              <w:rPr>
                <w:b/>
                <w:sz w:val="24"/>
                <w:szCs w:val="24"/>
              </w:rPr>
              <w:t xml:space="preserve">. </w:t>
            </w:r>
            <w:r w:rsidRPr="006E3191">
              <w:rPr>
                <w:sz w:val="24"/>
                <w:szCs w:val="24"/>
              </w:rPr>
              <w:t>Par „stipriem nokrišņiem” uzskatāms stiprs lietus ar intensitāti 40 (četrdesmit) un vairāk milimetri 12 (divpadsmit) vai mazāk stundās</w:t>
            </w:r>
            <w:r>
              <w:rPr>
                <w:sz w:val="24"/>
                <w:szCs w:val="24"/>
              </w:rPr>
              <w:t>;</w:t>
            </w:r>
          </w:p>
          <w:p w14:paraId="1D0A75F8" w14:textId="77777777" w:rsidR="00505352" w:rsidRPr="005E13D1" w:rsidRDefault="00505352" w:rsidP="00505352">
            <w:pPr>
              <w:pStyle w:val="ListParagraph"/>
              <w:widowControl w:val="0"/>
              <w:numPr>
                <w:ilvl w:val="2"/>
                <w:numId w:val="7"/>
              </w:numPr>
              <w:suppressAutoHyphens/>
              <w:ind w:left="467" w:right="26" w:hanging="567"/>
              <w:contextualSpacing w:val="0"/>
              <w:jc w:val="both"/>
              <w:rPr>
                <w:b/>
                <w:sz w:val="24"/>
                <w:szCs w:val="24"/>
              </w:rPr>
            </w:pPr>
            <w:r w:rsidRPr="006E3191">
              <w:rPr>
                <w:b/>
                <w:sz w:val="24"/>
                <w:szCs w:val="24"/>
              </w:rPr>
              <w:t>Zemestrīce</w:t>
            </w:r>
            <w:r>
              <w:rPr>
                <w:b/>
                <w:sz w:val="24"/>
                <w:szCs w:val="24"/>
              </w:rPr>
              <w:t xml:space="preserve"> </w:t>
            </w:r>
            <w:r w:rsidRPr="006E3191">
              <w:rPr>
                <w:sz w:val="24"/>
                <w:szCs w:val="24"/>
              </w:rPr>
              <w:t>–</w:t>
            </w:r>
            <w:r>
              <w:rPr>
                <w:sz w:val="24"/>
                <w:szCs w:val="24"/>
              </w:rPr>
              <w:t xml:space="preserve"> </w:t>
            </w:r>
            <w:r w:rsidRPr="006E3191">
              <w:rPr>
                <w:sz w:val="24"/>
                <w:szCs w:val="24"/>
              </w:rPr>
              <w:t>dabiskas zemes garozas svārstības, kuru stiprums pēc Rihtera skalas ir vismaz 4 (četras) balles</w:t>
            </w:r>
            <w:r>
              <w:rPr>
                <w:sz w:val="24"/>
                <w:szCs w:val="24"/>
              </w:rPr>
              <w:t xml:space="preserve"> </w:t>
            </w:r>
            <w:r w:rsidRPr="005E13D1">
              <w:rPr>
                <w:sz w:val="24"/>
                <w:szCs w:val="24"/>
              </w:rPr>
              <w:t>vai pēc starptautiskās starptautisko satricinājumu skalas MSK-64 ir vismaz 5 balles stipras un kas rada bojājumus apdrošināšanas objektam.</w:t>
            </w:r>
          </w:p>
          <w:p w14:paraId="355C737A" w14:textId="77777777" w:rsidR="00505352" w:rsidRDefault="00505352" w:rsidP="00505352">
            <w:pPr>
              <w:pStyle w:val="ListParagraph"/>
              <w:widowControl w:val="0"/>
              <w:numPr>
                <w:ilvl w:val="2"/>
                <w:numId w:val="7"/>
              </w:numPr>
              <w:suppressAutoHyphens/>
              <w:ind w:left="467" w:right="26" w:hanging="567"/>
              <w:contextualSpacing w:val="0"/>
              <w:jc w:val="both"/>
              <w:rPr>
                <w:b/>
                <w:sz w:val="24"/>
                <w:szCs w:val="24"/>
              </w:rPr>
            </w:pPr>
            <w:r w:rsidRPr="005E13D1">
              <w:rPr>
                <w:b/>
                <w:bCs/>
                <w:color w:val="000000"/>
                <w:sz w:val="24"/>
                <w:szCs w:val="24"/>
              </w:rPr>
              <w:t>Koku (t.sk. zaru), mastu, stabu un citu konstrukciju uzkrišana</w:t>
            </w:r>
            <w:r w:rsidRPr="005E13D1">
              <w:rPr>
                <w:color w:val="000000"/>
                <w:sz w:val="24"/>
                <w:szCs w:val="24"/>
              </w:rPr>
              <w:t xml:space="preserve"> apdrošināšanas objektam</w:t>
            </w:r>
            <w:r w:rsidRPr="005E13D1">
              <w:rPr>
                <w:sz w:val="24"/>
                <w:szCs w:val="24"/>
              </w:rPr>
              <w:t>, radot tam bojājumus vai bojāeju, neatkarīgi no iemesla.</w:t>
            </w:r>
          </w:p>
          <w:p w14:paraId="36C6D4A1" w14:textId="77777777" w:rsidR="00505352" w:rsidRPr="005E13D1" w:rsidRDefault="00505352" w:rsidP="00505352">
            <w:pPr>
              <w:pStyle w:val="ListParagraph"/>
              <w:widowControl w:val="0"/>
              <w:numPr>
                <w:ilvl w:val="1"/>
                <w:numId w:val="7"/>
              </w:numPr>
              <w:suppressAutoHyphens/>
              <w:ind w:left="325" w:right="26"/>
              <w:contextualSpacing w:val="0"/>
              <w:jc w:val="both"/>
              <w:rPr>
                <w:b/>
                <w:sz w:val="24"/>
                <w:szCs w:val="24"/>
              </w:rPr>
            </w:pPr>
            <w:r>
              <w:rPr>
                <w:b/>
                <w:sz w:val="24"/>
                <w:szCs w:val="24"/>
              </w:rPr>
              <w:t>Citi riski:</w:t>
            </w:r>
          </w:p>
          <w:p w14:paraId="04D7FF01" w14:textId="77777777" w:rsidR="00505352" w:rsidRPr="005E13D1" w:rsidRDefault="00505352" w:rsidP="00505352">
            <w:pPr>
              <w:pStyle w:val="ListParagraph"/>
              <w:widowControl w:val="0"/>
              <w:numPr>
                <w:ilvl w:val="2"/>
                <w:numId w:val="7"/>
              </w:numPr>
              <w:suppressAutoHyphens/>
              <w:ind w:left="467" w:right="26" w:hanging="567"/>
              <w:contextualSpacing w:val="0"/>
              <w:jc w:val="both"/>
              <w:rPr>
                <w:bCs/>
                <w:sz w:val="24"/>
                <w:szCs w:val="24"/>
              </w:rPr>
            </w:pPr>
            <w:r w:rsidRPr="005E13D1">
              <w:rPr>
                <w:b/>
                <w:sz w:val="24"/>
                <w:szCs w:val="24"/>
              </w:rPr>
              <w:t xml:space="preserve">Trešo personu prettiesiska rīcība – </w:t>
            </w:r>
            <w:r w:rsidRPr="005E13D1">
              <w:rPr>
                <w:bCs/>
                <w:sz w:val="24"/>
                <w:szCs w:val="24"/>
              </w:rPr>
              <w:t>zādzība ar ielaušanos, laupīšana</w:t>
            </w:r>
            <w:r>
              <w:rPr>
                <w:bCs/>
                <w:sz w:val="24"/>
                <w:szCs w:val="24"/>
              </w:rPr>
              <w:t xml:space="preserve">, </w:t>
            </w:r>
            <w:r w:rsidRPr="005E13D1">
              <w:rPr>
                <w:bCs/>
                <w:sz w:val="24"/>
                <w:szCs w:val="24"/>
              </w:rPr>
              <w:t>vandālisms,</w:t>
            </w:r>
            <w:r>
              <w:rPr>
                <w:bCs/>
                <w:sz w:val="24"/>
                <w:szCs w:val="24"/>
              </w:rPr>
              <w:t xml:space="preserve"> </w:t>
            </w:r>
            <w:r w:rsidRPr="005E13D1">
              <w:rPr>
                <w:bCs/>
                <w:sz w:val="24"/>
                <w:szCs w:val="24"/>
              </w:rPr>
              <w:t>tīša/netīša īpašuma iznīcināšana</w:t>
            </w:r>
            <w:r>
              <w:rPr>
                <w:bCs/>
                <w:sz w:val="24"/>
                <w:szCs w:val="24"/>
              </w:rPr>
              <w:t xml:space="preserve"> vai </w:t>
            </w:r>
            <w:r w:rsidRPr="005E13D1">
              <w:rPr>
                <w:bCs/>
                <w:sz w:val="24"/>
                <w:szCs w:val="24"/>
              </w:rPr>
              <w:t>bojāšana</w:t>
            </w:r>
            <w:r>
              <w:rPr>
                <w:bCs/>
                <w:sz w:val="24"/>
                <w:szCs w:val="24"/>
              </w:rPr>
              <w:t xml:space="preserve">, </w:t>
            </w:r>
            <w:r w:rsidRPr="005E13D1">
              <w:rPr>
                <w:bCs/>
                <w:sz w:val="24"/>
                <w:szCs w:val="24"/>
              </w:rPr>
              <w:t>tai skaitā sienu dekoratīvā seguma apzīmēšana ar „Grafiti”</w:t>
            </w:r>
            <w:r>
              <w:rPr>
                <w:bCs/>
                <w:sz w:val="24"/>
                <w:szCs w:val="24"/>
              </w:rPr>
              <w:t>.;</w:t>
            </w:r>
          </w:p>
          <w:p w14:paraId="6D5E8D05" w14:textId="77777777" w:rsidR="00505352" w:rsidRPr="005E13D1" w:rsidRDefault="00505352" w:rsidP="00505352">
            <w:pPr>
              <w:pStyle w:val="ListParagraph"/>
              <w:widowControl w:val="0"/>
              <w:numPr>
                <w:ilvl w:val="2"/>
                <w:numId w:val="7"/>
              </w:numPr>
              <w:suppressAutoHyphens/>
              <w:ind w:left="467" w:right="26" w:hanging="567"/>
              <w:contextualSpacing w:val="0"/>
              <w:jc w:val="both"/>
              <w:rPr>
                <w:bCs/>
                <w:sz w:val="24"/>
                <w:szCs w:val="24"/>
              </w:rPr>
            </w:pPr>
            <w:r w:rsidRPr="005E13D1">
              <w:rPr>
                <w:b/>
                <w:sz w:val="24"/>
                <w:szCs w:val="24"/>
              </w:rPr>
              <w:t>Mehānisko transportlīdzekļu</w:t>
            </w:r>
            <w:r>
              <w:rPr>
                <w:b/>
                <w:sz w:val="24"/>
                <w:szCs w:val="24"/>
              </w:rPr>
              <w:t xml:space="preserve"> un speciālās militārās tehnikas</w:t>
            </w:r>
            <w:r w:rsidRPr="00FB2E4D">
              <w:rPr>
                <w:rStyle w:val="FootnoteReference"/>
                <w:sz w:val="24"/>
                <w:szCs w:val="24"/>
              </w:rPr>
              <w:footnoteReference w:id="2"/>
            </w:r>
            <w:r>
              <w:rPr>
                <w:b/>
                <w:sz w:val="24"/>
                <w:szCs w:val="24"/>
              </w:rPr>
              <w:t xml:space="preserve"> iedarbība </w:t>
            </w:r>
            <w:r w:rsidRPr="005E13D1">
              <w:rPr>
                <w:b/>
                <w:sz w:val="24"/>
                <w:szCs w:val="24"/>
              </w:rPr>
              <w:t xml:space="preserve">– </w:t>
            </w:r>
            <w:r w:rsidRPr="005E13D1">
              <w:rPr>
                <w:bCs/>
                <w:sz w:val="24"/>
                <w:szCs w:val="24"/>
              </w:rPr>
              <w:t>jebkura veida mehāniskā transportlīdzekļa</w:t>
            </w:r>
            <w:r>
              <w:rPr>
                <w:bCs/>
                <w:sz w:val="24"/>
                <w:szCs w:val="24"/>
              </w:rPr>
              <w:t xml:space="preserve"> vai speciālās militārās tehnikas</w:t>
            </w:r>
            <w:r w:rsidRPr="005E13D1">
              <w:rPr>
                <w:bCs/>
                <w:sz w:val="24"/>
                <w:szCs w:val="24"/>
              </w:rPr>
              <w:t xml:space="preserve"> ietriekšanās </w:t>
            </w:r>
            <w:r>
              <w:rPr>
                <w:bCs/>
                <w:sz w:val="24"/>
                <w:szCs w:val="24"/>
              </w:rPr>
              <w:t xml:space="preserve">vai uzbraukšana </w:t>
            </w:r>
            <w:r w:rsidRPr="005E13D1">
              <w:rPr>
                <w:bCs/>
                <w:sz w:val="24"/>
                <w:szCs w:val="24"/>
              </w:rPr>
              <w:t>apdrošinātajā objektā, kā arī mehāniskā transportlīdzekļa</w:t>
            </w:r>
            <w:r>
              <w:rPr>
                <w:bCs/>
                <w:sz w:val="24"/>
                <w:szCs w:val="24"/>
              </w:rPr>
              <w:t xml:space="preserve"> vai speciālās militārās tehnikas</w:t>
            </w:r>
            <w:r w:rsidRPr="005E13D1">
              <w:rPr>
                <w:bCs/>
                <w:sz w:val="24"/>
                <w:szCs w:val="24"/>
              </w:rPr>
              <w:t xml:space="preserve">, iekraušanas vai izkraušanas mehānisma </w:t>
            </w:r>
            <w:r>
              <w:rPr>
                <w:bCs/>
                <w:sz w:val="24"/>
                <w:szCs w:val="24"/>
              </w:rPr>
              <w:t xml:space="preserve">vai aprīkojuma </w:t>
            </w:r>
            <w:r w:rsidRPr="005E13D1">
              <w:rPr>
                <w:bCs/>
                <w:sz w:val="24"/>
                <w:szCs w:val="24"/>
              </w:rPr>
              <w:t>tiešs trieciens apdrošināšanas objektam;</w:t>
            </w:r>
          </w:p>
          <w:p w14:paraId="5F54F9D7" w14:textId="77777777" w:rsidR="00505352" w:rsidRPr="005E13D1" w:rsidRDefault="00505352" w:rsidP="00505352">
            <w:pPr>
              <w:pStyle w:val="ListParagraph"/>
              <w:widowControl w:val="0"/>
              <w:numPr>
                <w:ilvl w:val="2"/>
                <w:numId w:val="7"/>
              </w:numPr>
              <w:suppressAutoHyphens/>
              <w:ind w:left="467" w:right="26" w:hanging="567"/>
              <w:contextualSpacing w:val="0"/>
              <w:jc w:val="both"/>
              <w:rPr>
                <w:bCs/>
                <w:sz w:val="24"/>
                <w:szCs w:val="24"/>
              </w:rPr>
            </w:pPr>
            <w:r w:rsidRPr="005E13D1">
              <w:rPr>
                <w:b/>
                <w:sz w:val="24"/>
                <w:szCs w:val="24"/>
              </w:rPr>
              <w:t>Applūšana</w:t>
            </w:r>
            <w:r w:rsidRPr="005E13D1">
              <w:rPr>
                <w:bCs/>
                <w:sz w:val="24"/>
                <w:szCs w:val="24"/>
              </w:rPr>
              <w:t xml:space="preserve"> – ūdens, šķidruma noplūde – jebkuras caurules ūdens vai</w:t>
            </w:r>
            <w:r>
              <w:rPr>
                <w:bCs/>
                <w:sz w:val="24"/>
                <w:szCs w:val="24"/>
              </w:rPr>
              <w:t xml:space="preserve"> kanalizācijas sistēmas avārija\, kuras</w:t>
            </w:r>
            <w:r w:rsidRPr="005E13D1">
              <w:rPr>
                <w:bCs/>
                <w:sz w:val="24"/>
                <w:szCs w:val="24"/>
              </w:rPr>
              <w:t xml:space="preserve"> rezultātā noplūstot šķidrumam vai tvaikam no ūdens apgādes, kanalizācijas, apkures, ugunsdzēšanas sistēmu cauruļvadiem vai ierīcēm, kā arī no citām ēkā izvietotām ierīcēm un cauruļvadiem, tai skaitā no kondicionēšanas sistēmām;</w:t>
            </w:r>
          </w:p>
          <w:p w14:paraId="5A01A537" w14:textId="77777777" w:rsidR="00505352" w:rsidRPr="00673AD6" w:rsidRDefault="00505352" w:rsidP="00505352">
            <w:pPr>
              <w:pStyle w:val="ListParagraph"/>
              <w:widowControl w:val="0"/>
              <w:numPr>
                <w:ilvl w:val="2"/>
                <w:numId w:val="7"/>
              </w:numPr>
              <w:suppressAutoHyphens/>
              <w:ind w:left="460" w:right="26" w:hanging="567"/>
              <w:contextualSpacing w:val="0"/>
              <w:jc w:val="both"/>
              <w:rPr>
                <w:bCs/>
                <w:sz w:val="24"/>
                <w:szCs w:val="24"/>
              </w:rPr>
            </w:pPr>
            <w:r w:rsidRPr="005E13D1">
              <w:rPr>
                <w:bCs/>
                <w:sz w:val="24"/>
                <w:szCs w:val="24"/>
              </w:rPr>
              <w:t>Stiklojuma, tajā skaitā vitrīnu apdrošināšana.</w:t>
            </w:r>
          </w:p>
        </w:tc>
      </w:tr>
      <w:tr w:rsidR="00505352" w14:paraId="63D4F47A" w14:textId="77777777" w:rsidTr="00A406BB">
        <w:trPr>
          <w:trHeight w:val="1833"/>
        </w:trPr>
        <w:tc>
          <w:tcPr>
            <w:tcW w:w="2127" w:type="dxa"/>
          </w:tcPr>
          <w:p w14:paraId="115546B6" w14:textId="77777777" w:rsidR="00505352" w:rsidRPr="00F50110" w:rsidRDefault="00505352" w:rsidP="00A406BB">
            <w:pPr>
              <w:rPr>
                <w:b/>
                <w:sz w:val="24"/>
                <w:szCs w:val="24"/>
              </w:rPr>
            </w:pPr>
            <w:r w:rsidRPr="00F50110">
              <w:rPr>
                <w:b/>
                <w:sz w:val="24"/>
                <w:szCs w:val="24"/>
              </w:rPr>
              <w:lastRenderedPageBreak/>
              <w:t>Pakalpojuma izpildes kārtība</w:t>
            </w:r>
          </w:p>
        </w:tc>
        <w:tc>
          <w:tcPr>
            <w:tcW w:w="7655" w:type="dxa"/>
          </w:tcPr>
          <w:p w14:paraId="0F86803F" w14:textId="77777777" w:rsidR="00505352" w:rsidRPr="00AD5C4E" w:rsidRDefault="00505352" w:rsidP="00505352">
            <w:pPr>
              <w:pStyle w:val="ListParagraph"/>
              <w:widowControl w:val="0"/>
              <w:numPr>
                <w:ilvl w:val="0"/>
                <w:numId w:val="9"/>
              </w:numPr>
              <w:tabs>
                <w:tab w:val="left" w:pos="720"/>
              </w:tabs>
              <w:suppressAutoHyphens/>
              <w:ind w:right="26"/>
              <w:jc w:val="both"/>
              <w:rPr>
                <w:b/>
                <w:sz w:val="24"/>
                <w:szCs w:val="24"/>
              </w:rPr>
            </w:pPr>
            <w:r w:rsidRPr="00AD5C4E">
              <w:rPr>
                <w:sz w:val="24"/>
                <w:szCs w:val="24"/>
              </w:rPr>
              <w:t xml:space="preserve"> </w:t>
            </w:r>
            <w:r w:rsidRPr="00AD5C4E">
              <w:rPr>
                <w:b/>
                <w:sz w:val="24"/>
                <w:szCs w:val="24"/>
              </w:rPr>
              <w:t>Īpašie apdrošināšanas nosacījumi:</w:t>
            </w:r>
          </w:p>
          <w:p w14:paraId="35F2B958" w14:textId="77777777" w:rsidR="00505352" w:rsidRPr="006E3191"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A9785B">
              <w:rPr>
                <w:sz w:val="24"/>
                <w:szCs w:val="24"/>
              </w:rPr>
              <w:t>Apdrošināšanas objekta pilnīgas bojāejas</w:t>
            </w:r>
            <w:r w:rsidRPr="006E3191">
              <w:rPr>
                <w:sz w:val="24"/>
                <w:szCs w:val="24"/>
              </w:rPr>
              <w:t xml:space="preserve"> gadījumā tiek atlīdzināti atjaunošanas izdevumi, nepiemērojot zemapdrošināšanu.</w:t>
            </w:r>
          </w:p>
          <w:p w14:paraId="3BBD313F" w14:textId="77777777" w:rsidR="00505352" w:rsidRPr="006E3191"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6E3191">
              <w:rPr>
                <w:sz w:val="24"/>
                <w:szCs w:val="24"/>
              </w:rPr>
              <w:t>Apdrošināšanas objekta daļēja bojājuma gadījumā tiek atlīdzināti izdevumi nepieciešamo remonta vai restaurācijas darbu apmērā, nepiemērojot zemapdrošināšanu.</w:t>
            </w:r>
          </w:p>
          <w:p w14:paraId="64171447" w14:textId="77777777" w:rsidR="00505352" w:rsidRPr="00057204"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057204">
              <w:rPr>
                <w:sz w:val="24"/>
                <w:szCs w:val="24"/>
              </w:rPr>
              <w:t>Iestājoties apdrošināšanas gadījumam, netiek ņemts vērā apdrošinātā objekta nolietojums.</w:t>
            </w:r>
          </w:p>
          <w:p w14:paraId="6471D230" w14:textId="77777777" w:rsidR="00505352" w:rsidRPr="009006CF"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057204">
              <w:rPr>
                <w:sz w:val="24"/>
                <w:szCs w:val="24"/>
              </w:rPr>
              <w:t xml:space="preserve">Tiek atlīdzināti arī darbinieku radītie zaudējumi. Regresa prasība par izmaksāto apdrošināšanas atlīdzību netiek vērsta pret PASŪTĪTĀJU un tā darbiniekiem, izņemot, ja </w:t>
            </w:r>
            <w:r w:rsidRPr="005D0EE5">
              <w:rPr>
                <w:sz w:val="24"/>
                <w:szCs w:val="24"/>
              </w:rPr>
              <w:t>darbinieki ir rīkojušies ar ļaunu nolūku.</w:t>
            </w:r>
          </w:p>
          <w:p w14:paraId="7D9978F0" w14:textId="77777777" w:rsidR="00505352" w:rsidRPr="009006CF"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5D0EE5">
              <w:rPr>
                <w:sz w:val="24"/>
                <w:szCs w:val="24"/>
              </w:rPr>
              <w:t>Apdrošināšana ir spēkā arī apdrošināto objektu īrnieku, nomnieku, tiesisko lietotāju, būvnieku un to piesaistīto apakšuzņēmēju un citu apdrošināmajā objektā strādājošo un to izmantojošo personu, kas nav PASŪTĪTĀJS, darbības vai bezdarbības, vieglas un rupjas neuzmanības gadījumos.</w:t>
            </w:r>
          </w:p>
          <w:p w14:paraId="03C198E9" w14:textId="77777777" w:rsidR="00505352" w:rsidRPr="009006CF"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5D0EE5">
              <w:rPr>
                <w:sz w:val="24"/>
                <w:szCs w:val="24"/>
              </w:rPr>
              <w:lastRenderedPageBreak/>
              <w:t xml:space="preserve">Tiek atlīdzināti zaudējumi, kas radušies būvdarbu, remonta, apkopes, montāžas, u.tml. darbu rezultātā, kuru veikšanai saskaņā ar spēkā esošajiem normatīvajiem aktiem nav nepieciešama būvatļauja. </w:t>
            </w:r>
          </w:p>
          <w:p w14:paraId="3513D0BA" w14:textId="77777777" w:rsidR="00505352" w:rsidRPr="00FE1EF6"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3B6DFE">
              <w:rPr>
                <w:sz w:val="24"/>
                <w:szCs w:val="24"/>
              </w:rPr>
              <w:t>Apdrošināšanas objekt</w:t>
            </w:r>
            <w:r w:rsidRPr="00057204">
              <w:rPr>
                <w:sz w:val="24"/>
                <w:szCs w:val="24"/>
              </w:rPr>
              <w:t>a</w:t>
            </w:r>
            <w:r w:rsidRPr="003B6DFE">
              <w:rPr>
                <w:sz w:val="24"/>
                <w:szCs w:val="24"/>
              </w:rPr>
              <w:t>m pēc apdrošināšanas atlīdzīb</w:t>
            </w:r>
            <w:r w:rsidRPr="00057204">
              <w:rPr>
                <w:sz w:val="24"/>
                <w:szCs w:val="24"/>
              </w:rPr>
              <w:t xml:space="preserve">as izmaksas </w:t>
            </w:r>
            <w:r w:rsidRPr="00FE1EF6">
              <w:rPr>
                <w:sz w:val="24"/>
                <w:szCs w:val="24"/>
              </w:rPr>
              <w:t>apdrošinājuma summa netiek samazināta, izņemot apdrošināšanas objekta pilnīgas bojāejas gadījumus.</w:t>
            </w:r>
          </w:p>
          <w:p w14:paraId="543B3E3E" w14:textId="77777777" w:rsidR="00505352" w:rsidRPr="00FE1EF6" w:rsidRDefault="00505352" w:rsidP="00505352">
            <w:pPr>
              <w:pStyle w:val="ListParagraph"/>
              <w:numPr>
                <w:ilvl w:val="1"/>
                <w:numId w:val="9"/>
              </w:numPr>
              <w:tabs>
                <w:tab w:val="center" w:pos="4153"/>
                <w:tab w:val="right" w:pos="8306"/>
              </w:tabs>
              <w:ind w:left="467" w:hanging="467"/>
              <w:contextualSpacing w:val="0"/>
              <w:jc w:val="both"/>
              <w:rPr>
                <w:sz w:val="24"/>
                <w:szCs w:val="24"/>
              </w:rPr>
            </w:pPr>
            <w:r w:rsidRPr="00FE1EF6">
              <w:rPr>
                <w:sz w:val="24"/>
                <w:szCs w:val="24"/>
                <w:lang w:eastAsia="ar-SA"/>
              </w:rPr>
              <w:t xml:space="preserve">Paša risks tiek noteikts 140,00 EUR (simtu četrdesmit </w:t>
            </w:r>
            <w:r w:rsidRPr="00FE1EF6">
              <w:rPr>
                <w:i/>
                <w:sz w:val="24"/>
                <w:szCs w:val="24"/>
                <w:lang w:eastAsia="ar-SA"/>
              </w:rPr>
              <w:t>euro</w:t>
            </w:r>
            <w:r w:rsidRPr="00FE1EF6">
              <w:rPr>
                <w:sz w:val="24"/>
                <w:szCs w:val="24"/>
                <w:lang w:eastAsia="ar-SA"/>
              </w:rPr>
              <w:t xml:space="preserve"> un 00 centi) par katru apdrošināšanas gadījumu katrā objektā.</w:t>
            </w:r>
          </w:p>
          <w:p w14:paraId="7FCFC615" w14:textId="77777777" w:rsidR="00505352" w:rsidRPr="00FE1EF6" w:rsidRDefault="00505352" w:rsidP="00A406BB">
            <w:pPr>
              <w:pStyle w:val="ListParagraph"/>
              <w:tabs>
                <w:tab w:val="center" w:pos="4153"/>
                <w:tab w:val="right" w:pos="8306"/>
              </w:tabs>
              <w:ind w:left="467"/>
              <w:jc w:val="both"/>
              <w:rPr>
                <w:sz w:val="24"/>
                <w:szCs w:val="24"/>
              </w:rPr>
            </w:pPr>
            <w:r w:rsidRPr="00FE1EF6">
              <w:rPr>
                <w:sz w:val="24"/>
                <w:szCs w:val="24"/>
                <w:lang w:eastAsia="ar-SA"/>
              </w:rPr>
              <w:t xml:space="preserve">Paša risks stikliem – ne lielāks par 70,00 EUR (septiņdesmit </w:t>
            </w:r>
            <w:r w:rsidRPr="00FE1EF6">
              <w:rPr>
                <w:i/>
                <w:sz w:val="24"/>
                <w:szCs w:val="24"/>
                <w:lang w:eastAsia="ar-SA"/>
              </w:rPr>
              <w:t>euro</w:t>
            </w:r>
            <w:r w:rsidRPr="00FE1EF6">
              <w:rPr>
                <w:sz w:val="24"/>
                <w:szCs w:val="24"/>
                <w:lang w:eastAsia="ar-SA"/>
              </w:rPr>
              <w:t xml:space="preserve"> un 00 centi).</w:t>
            </w:r>
          </w:p>
          <w:p w14:paraId="60EF139B" w14:textId="77777777" w:rsidR="00505352" w:rsidRPr="00057204" w:rsidRDefault="00505352" w:rsidP="00A406BB">
            <w:pPr>
              <w:pStyle w:val="ListParagraph"/>
              <w:tabs>
                <w:tab w:val="center" w:pos="4153"/>
                <w:tab w:val="right" w:pos="8306"/>
              </w:tabs>
              <w:ind w:left="467"/>
              <w:jc w:val="both"/>
              <w:rPr>
                <w:sz w:val="24"/>
                <w:szCs w:val="24"/>
              </w:rPr>
            </w:pPr>
            <w:r w:rsidRPr="00FE1EF6">
              <w:rPr>
                <w:sz w:val="24"/>
                <w:szCs w:val="24"/>
                <w:lang w:eastAsia="ar-SA"/>
              </w:rPr>
              <w:t>Norādītais paša risks attiecas</w:t>
            </w:r>
            <w:r w:rsidRPr="00057204">
              <w:rPr>
                <w:sz w:val="24"/>
                <w:szCs w:val="24"/>
                <w:lang w:eastAsia="ar-SA"/>
              </w:rPr>
              <w:t xml:space="preserve"> uz visiem objektiem vienlaicīgi un tiek piemērots tikai vienu reizi apdrošināšanas gadījumā, ja apdrošināšanas gadījums objektos iestājies viena un tā paša cēloņa rezultātā.  </w:t>
            </w:r>
          </w:p>
          <w:p w14:paraId="4ED00470" w14:textId="77777777" w:rsidR="00505352" w:rsidRPr="008171EC" w:rsidRDefault="00505352" w:rsidP="00505352">
            <w:pPr>
              <w:pStyle w:val="ListParagraph"/>
              <w:numPr>
                <w:ilvl w:val="1"/>
                <w:numId w:val="9"/>
              </w:numPr>
              <w:tabs>
                <w:tab w:val="center" w:pos="4153"/>
                <w:tab w:val="right" w:pos="8306"/>
              </w:tabs>
              <w:ind w:left="467" w:hanging="567"/>
              <w:contextualSpacing w:val="0"/>
              <w:jc w:val="both"/>
              <w:rPr>
                <w:sz w:val="24"/>
                <w:szCs w:val="24"/>
              </w:rPr>
            </w:pPr>
            <w:r w:rsidRPr="005D0EE5">
              <w:rPr>
                <w:sz w:val="24"/>
                <w:szCs w:val="24"/>
              </w:rPr>
              <w:t xml:space="preserve">Pretendentam ir jānodrošina apdrošināšanas segums, neizvirzot papildus prasības attiecībā uz apdrošināšanas objektu ugunsdrošību, un apsardzi </w:t>
            </w:r>
            <w:r>
              <w:rPr>
                <w:sz w:val="24"/>
                <w:szCs w:val="24"/>
              </w:rPr>
              <w:t xml:space="preserve">papildus </w:t>
            </w:r>
            <w:r w:rsidRPr="005D0EE5">
              <w:rPr>
                <w:sz w:val="24"/>
                <w:szCs w:val="24"/>
              </w:rPr>
              <w:t>jau esošajām</w:t>
            </w:r>
            <w:r>
              <w:rPr>
                <w:sz w:val="24"/>
                <w:szCs w:val="24"/>
              </w:rPr>
              <w:t xml:space="preserve"> ugunsdrošības, apsardzes u.tml. sistēmām</w:t>
            </w:r>
            <w:r w:rsidRPr="005D0EE5">
              <w:rPr>
                <w:sz w:val="24"/>
                <w:szCs w:val="24"/>
              </w:rPr>
              <w:t>.</w:t>
            </w:r>
          </w:p>
          <w:p w14:paraId="1D472271" w14:textId="77777777" w:rsidR="00505352" w:rsidRPr="008171EC" w:rsidRDefault="00505352" w:rsidP="00505352">
            <w:pPr>
              <w:pStyle w:val="ListParagraph"/>
              <w:numPr>
                <w:ilvl w:val="1"/>
                <w:numId w:val="9"/>
              </w:numPr>
              <w:tabs>
                <w:tab w:val="right" w:pos="8306"/>
              </w:tabs>
              <w:ind w:left="467" w:hanging="567"/>
              <w:contextualSpacing w:val="0"/>
              <w:jc w:val="both"/>
              <w:rPr>
                <w:sz w:val="24"/>
                <w:szCs w:val="24"/>
              </w:rPr>
            </w:pPr>
            <w:r w:rsidRPr="005D0EE5">
              <w:rPr>
                <w:bCs/>
                <w:kern w:val="32"/>
                <w:sz w:val="24"/>
                <w:szCs w:val="24"/>
              </w:rPr>
              <w:t>Katra apdrošināšanas objekta minimālā apdrošinājuma summa norādīta Finanšu piedāvājuma veidlapā.</w:t>
            </w:r>
          </w:p>
          <w:p w14:paraId="4D011627" w14:textId="77777777" w:rsidR="00505352" w:rsidRPr="008171EC" w:rsidRDefault="00505352" w:rsidP="00505352">
            <w:pPr>
              <w:pStyle w:val="ListParagraph"/>
              <w:numPr>
                <w:ilvl w:val="1"/>
                <w:numId w:val="9"/>
              </w:numPr>
              <w:tabs>
                <w:tab w:val="right" w:pos="8306"/>
              </w:tabs>
              <w:ind w:left="467" w:hanging="567"/>
              <w:contextualSpacing w:val="0"/>
              <w:jc w:val="both"/>
              <w:rPr>
                <w:sz w:val="24"/>
                <w:szCs w:val="24"/>
              </w:rPr>
            </w:pPr>
            <w:r w:rsidRPr="005D0EE5">
              <w:rPr>
                <w:sz w:val="24"/>
                <w:szCs w:val="24"/>
              </w:rPr>
              <w:t>PASŪTĪTĀJAM ir tiesības izvēlēties, vai apdrošināšanas atlīdzība par apdrošinātā objekta bojājumiem vai bojāeju ir atlīdzība naudas izteiksmē vai pakalpojumu kopums objekta atjaunošanai.</w:t>
            </w:r>
          </w:p>
          <w:p w14:paraId="3DBBAC7C" w14:textId="77777777" w:rsidR="00505352" w:rsidRPr="00673AD6" w:rsidRDefault="00505352" w:rsidP="00505352">
            <w:pPr>
              <w:pStyle w:val="ListParagraph"/>
              <w:numPr>
                <w:ilvl w:val="1"/>
                <w:numId w:val="9"/>
              </w:numPr>
              <w:tabs>
                <w:tab w:val="right" w:pos="8306"/>
              </w:tabs>
              <w:ind w:left="467" w:hanging="567"/>
              <w:contextualSpacing w:val="0"/>
              <w:jc w:val="both"/>
              <w:rPr>
                <w:sz w:val="24"/>
                <w:szCs w:val="24"/>
              </w:rPr>
            </w:pPr>
            <w:r w:rsidRPr="005D0EE5">
              <w:rPr>
                <w:sz w:val="24"/>
                <w:szCs w:val="24"/>
              </w:rPr>
              <w:t>Ja atlīdzība naudas izteiksmē tiek izmantota bojātā/ bojāgājušā nekustamā īpašuma objekta atjaunošanai, atlīdzība tiek noteikta kā apdrošinātā objekta atjaunošanas tāmes ekvivalents naudas izteiksmē</w:t>
            </w:r>
            <w:r>
              <w:rPr>
                <w:sz w:val="24"/>
                <w:szCs w:val="24"/>
              </w:rPr>
              <w:t>,</w:t>
            </w:r>
            <w:r w:rsidRPr="005D0EE5">
              <w:rPr>
                <w:sz w:val="24"/>
                <w:szCs w:val="24"/>
              </w:rPr>
              <w:t xml:space="preserve"> iekļaujot visus nodokļus, no kura tiek ieturēts apdrošināšanas polisē norādītais pašrisks.</w:t>
            </w:r>
          </w:p>
        </w:tc>
      </w:tr>
      <w:tr w:rsidR="00505352" w14:paraId="31F7F620" w14:textId="77777777" w:rsidTr="00A406BB">
        <w:trPr>
          <w:trHeight w:val="1487"/>
        </w:trPr>
        <w:tc>
          <w:tcPr>
            <w:tcW w:w="2127" w:type="dxa"/>
          </w:tcPr>
          <w:p w14:paraId="7BB3C794" w14:textId="77777777" w:rsidR="00505352" w:rsidRPr="00F50110" w:rsidRDefault="00505352" w:rsidP="00A406BB">
            <w:pPr>
              <w:rPr>
                <w:b/>
                <w:sz w:val="24"/>
                <w:szCs w:val="24"/>
              </w:rPr>
            </w:pPr>
            <w:r w:rsidRPr="00E30736">
              <w:rPr>
                <w:b/>
                <w:sz w:val="24"/>
                <w:szCs w:val="24"/>
              </w:rPr>
              <w:lastRenderedPageBreak/>
              <w:t>Citas specifiskas prasības un pielikumi</w:t>
            </w:r>
          </w:p>
        </w:tc>
        <w:tc>
          <w:tcPr>
            <w:tcW w:w="7655" w:type="dxa"/>
          </w:tcPr>
          <w:p w14:paraId="3AFC821C" w14:textId="77777777" w:rsidR="00505352" w:rsidRPr="00992833" w:rsidRDefault="00505352" w:rsidP="00505352">
            <w:pPr>
              <w:pStyle w:val="ListParagraph"/>
              <w:widowControl w:val="0"/>
              <w:numPr>
                <w:ilvl w:val="0"/>
                <w:numId w:val="8"/>
              </w:numPr>
              <w:tabs>
                <w:tab w:val="left" w:pos="171"/>
              </w:tabs>
              <w:suppressAutoHyphens/>
              <w:ind w:left="313" w:right="26" w:hanging="313"/>
              <w:jc w:val="both"/>
              <w:rPr>
                <w:sz w:val="24"/>
                <w:szCs w:val="24"/>
              </w:rPr>
            </w:pPr>
            <w:r w:rsidRPr="00992833">
              <w:rPr>
                <w:sz w:val="24"/>
                <w:szCs w:val="24"/>
              </w:rPr>
              <w:t xml:space="preserve">Apdrošināšanas segums attiecas uz visiem PASŪTĪTĀJA norādītajiem objektiem 24 (divdesmit </w:t>
            </w:r>
            <w:r>
              <w:rPr>
                <w:sz w:val="24"/>
                <w:szCs w:val="24"/>
              </w:rPr>
              <w:t>četras) stundas diennaktī visā p</w:t>
            </w:r>
            <w:r w:rsidRPr="00992833">
              <w:rPr>
                <w:sz w:val="24"/>
                <w:szCs w:val="24"/>
              </w:rPr>
              <w:t>olises darbības periodā.</w:t>
            </w:r>
          </w:p>
          <w:p w14:paraId="04184411" w14:textId="77777777" w:rsidR="00505352" w:rsidRPr="00A4459A" w:rsidRDefault="00505352" w:rsidP="00505352">
            <w:pPr>
              <w:pStyle w:val="ListParagraph"/>
              <w:numPr>
                <w:ilvl w:val="0"/>
                <w:numId w:val="8"/>
              </w:numPr>
              <w:ind w:left="313" w:hanging="266"/>
              <w:jc w:val="both"/>
              <w:rPr>
                <w:sz w:val="24"/>
                <w:szCs w:val="24"/>
              </w:rPr>
            </w:pPr>
            <w:r w:rsidRPr="00DA50FC">
              <w:rPr>
                <w:sz w:val="24"/>
                <w:szCs w:val="24"/>
              </w:rPr>
              <w:t>Objektu skaits var tikt mainīts, no saraksta izņemot vai tajā iekļaujot papildu objektus.</w:t>
            </w:r>
          </w:p>
        </w:tc>
      </w:tr>
    </w:tbl>
    <w:p w14:paraId="5EE8F09C" w14:textId="77777777" w:rsidR="00505352" w:rsidRPr="00A8638E" w:rsidRDefault="00505352" w:rsidP="00AA78A6">
      <w:pPr>
        <w:pStyle w:val="Title"/>
        <w:rPr>
          <w:i w:val="0"/>
          <w:sz w:val="28"/>
          <w:szCs w:val="28"/>
          <w:lang w:val="lv-LV"/>
        </w:rPr>
      </w:pPr>
    </w:p>
    <w:p w14:paraId="01576F91" w14:textId="77777777" w:rsidR="00505352" w:rsidRDefault="00505352" w:rsidP="00505352"/>
    <w:p w14:paraId="7F1A1FFC" w14:textId="77777777" w:rsidR="00505352" w:rsidRDefault="00505352" w:rsidP="00505352"/>
    <w:p w14:paraId="389D504C" w14:textId="77777777" w:rsidR="00505352" w:rsidRDefault="00505352" w:rsidP="00505352"/>
    <w:p w14:paraId="4FED9039" w14:textId="77777777" w:rsidR="00505352" w:rsidRDefault="00505352" w:rsidP="00505352"/>
    <w:p w14:paraId="31C6655B" w14:textId="77777777" w:rsidR="00505352" w:rsidRDefault="00505352" w:rsidP="00505352"/>
    <w:p w14:paraId="466DB1B0" w14:textId="77777777" w:rsidR="00505352" w:rsidRDefault="00505352" w:rsidP="00505352"/>
    <w:p w14:paraId="240BD6AE" w14:textId="77777777" w:rsidR="00505352" w:rsidRDefault="00505352" w:rsidP="00505352"/>
    <w:p w14:paraId="40026562" w14:textId="5A2E8826" w:rsidR="00505352" w:rsidRDefault="00AC23CC" w:rsidP="00505352">
      <w:r>
        <w:t>[..]</w:t>
      </w:r>
    </w:p>
    <w:p w14:paraId="36F8429C" w14:textId="2C8494BD" w:rsidR="00505352" w:rsidRPr="008068AC" w:rsidRDefault="00AC23CC" w:rsidP="00505352">
      <w:r>
        <w:t>[..]</w:t>
      </w:r>
    </w:p>
    <w:p w14:paraId="2AF07A80" w14:textId="0057B689" w:rsidR="007655AF" w:rsidRPr="00085C69" w:rsidRDefault="007655AF" w:rsidP="00085C69">
      <w:pPr>
        <w:widowControl w:val="0"/>
        <w:rPr>
          <w:rFonts w:eastAsia="Calibri"/>
          <w:lang w:eastAsia="en-US"/>
        </w:rPr>
      </w:pPr>
    </w:p>
    <w:p w14:paraId="4CF29D10" w14:textId="77777777" w:rsidR="00AC23CC" w:rsidRPr="00D82478" w:rsidRDefault="00AC23CC" w:rsidP="00AC23CC">
      <w:pPr>
        <w:ind w:right="55"/>
        <w:jc w:val="right"/>
        <w:rPr>
          <w:i/>
          <w:sz w:val="22"/>
          <w:szCs w:val="22"/>
        </w:rPr>
      </w:pPr>
      <w:r w:rsidRPr="00D82478">
        <w:rPr>
          <w:i/>
          <w:sz w:val="22"/>
          <w:szCs w:val="22"/>
        </w:rPr>
        <w:t>IZRAKSTS PAREIZS</w:t>
      </w:r>
    </w:p>
    <w:p w14:paraId="1280553E" w14:textId="77777777" w:rsidR="00AC23CC" w:rsidRPr="00D82478" w:rsidRDefault="00AC23CC" w:rsidP="00AC23CC">
      <w:pPr>
        <w:ind w:right="55"/>
        <w:jc w:val="right"/>
        <w:rPr>
          <w:sz w:val="22"/>
          <w:szCs w:val="22"/>
        </w:rPr>
      </w:pPr>
      <w:r w:rsidRPr="00D82478">
        <w:rPr>
          <w:sz w:val="22"/>
          <w:szCs w:val="22"/>
        </w:rPr>
        <w:t>Centra Juridiskā un iepirkumu nodrošinājuma departamenta</w:t>
      </w:r>
    </w:p>
    <w:p w14:paraId="6052EA9D" w14:textId="77777777" w:rsidR="00AC23CC" w:rsidRPr="00D82478" w:rsidRDefault="00AC23CC" w:rsidP="00AC23CC">
      <w:pPr>
        <w:ind w:right="55"/>
        <w:jc w:val="right"/>
        <w:rPr>
          <w:sz w:val="22"/>
          <w:szCs w:val="22"/>
        </w:rPr>
      </w:pPr>
      <w:r w:rsidRPr="00D82478">
        <w:rPr>
          <w:sz w:val="22"/>
          <w:szCs w:val="22"/>
        </w:rPr>
        <w:t>Infrastruktūras līgumu un iepirkumu nodaļas eksperte</w:t>
      </w:r>
    </w:p>
    <w:p w14:paraId="67FF60A0" w14:textId="4217F5FF" w:rsidR="00AC23CC" w:rsidRPr="00D82478" w:rsidRDefault="00AC23CC" w:rsidP="00AC23CC">
      <w:pPr>
        <w:ind w:right="55"/>
        <w:jc w:val="right"/>
        <w:rPr>
          <w:sz w:val="22"/>
          <w:szCs w:val="22"/>
        </w:rPr>
      </w:pPr>
      <w:r>
        <w:rPr>
          <w:sz w:val="22"/>
          <w:szCs w:val="22"/>
        </w:rPr>
        <w:t>M.Šlanka</w:t>
      </w:r>
      <w:r w:rsidRPr="00D82478">
        <w:rPr>
          <w:sz w:val="22"/>
          <w:szCs w:val="22"/>
        </w:rPr>
        <w:t xml:space="preserve"> </w:t>
      </w:r>
      <w:r w:rsidRPr="00D82478">
        <w:rPr>
          <w:i/>
          <w:sz w:val="22"/>
          <w:szCs w:val="22"/>
        </w:rPr>
        <w:t>(personīgais paraksts)</w:t>
      </w:r>
    </w:p>
    <w:p w14:paraId="4B2AC0ED" w14:textId="77D06A2B" w:rsidR="00AC23CC" w:rsidRPr="00F81355" w:rsidRDefault="00AC23CC" w:rsidP="00AC23CC">
      <w:pPr>
        <w:jc w:val="right"/>
        <w:rPr>
          <w:sz w:val="22"/>
          <w:szCs w:val="22"/>
        </w:rPr>
      </w:pPr>
      <w:r>
        <w:rPr>
          <w:sz w:val="22"/>
          <w:szCs w:val="22"/>
        </w:rPr>
        <w:t>Liepājā, 1</w:t>
      </w:r>
      <w:r w:rsidR="007D65FD">
        <w:rPr>
          <w:sz w:val="22"/>
          <w:szCs w:val="22"/>
        </w:rPr>
        <w:t>3</w:t>
      </w:r>
      <w:r>
        <w:rPr>
          <w:sz w:val="22"/>
          <w:szCs w:val="22"/>
        </w:rPr>
        <w:t>.05</w:t>
      </w:r>
      <w:r>
        <w:rPr>
          <w:sz w:val="22"/>
          <w:szCs w:val="22"/>
        </w:rPr>
        <w:t>.2026.</w:t>
      </w:r>
    </w:p>
    <w:p w14:paraId="37B6D5B0" w14:textId="68E175F2" w:rsidR="00FF5FE5" w:rsidRPr="00A8638E" w:rsidRDefault="00FF5FE5" w:rsidP="007655AF"/>
    <w:sectPr w:rsidR="00FF5FE5" w:rsidRPr="00A8638E" w:rsidSect="00C70A75">
      <w:footerReference w:type="even" r:id="rId7"/>
      <w:footerReference w:type="default" r:id="rId8"/>
      <w:pgSz w:w="11906" w:h="16838"/>
      <w:pgMar w:top="709" w:right="1134" w:bottom="851"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F14A" w14:textId="77777777" w:rsidR="00F37034" w:rsidRDefault="00F37034">
      <w:r>
        <w:separator/>
      </w:r>
    </w:p>
  </w:endnote>
  <w:endnote w:type="continuationSeparator" w:id="0">
    <w:p w14:paraId="3C55EDAC" w14:textId="77777777" w:rsidR="00F37034" w:rsidRDefault="00F3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060E" w14:textId="77777777" w:rsidR="00866DA6" w:rsidRDefault="00BD6990" w:rsidP="00866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41935" w14:textId="77777777" w:rsidR="00866DA6" w:rsidRDefault="00866DA6" w:rsidP="00866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8" w14:textId="33D4136F" w:rsidR="00866DA6" w:rsidRPr="00C70A75" w:rsidRDefault="00BD6990" w:rsidP="00C70A75">
    <w:pPr>
      <w:pStyle w:val="Footer"/>
      <w:framePr w:wrap="around" w:vAnchor="text" w:hAnchor="page" w:x="10921" w:y="128"/>
      <w:rPr>
        <w:rStyle w:val="PageNumber"/>
      </w:rPr>
    </w:pPr>
    <w:r w:rsidRPr="00F43707">
      <w:rPr>
        <w:rStyle w:val="PageNumber"/>
        <w:sz w:val="24"/>
        <w:szCs w:val="24"/>
      </w:rPr>
      <w:fldChar w:fldCharType="begin"/>
    </w:r>
    <w:r w:rsidRPr="00F43707">
      <w:rPr>
        <w:rStyle w:val="PageNumber"/>
        <w:sz w:val="24"/>
        <w:szCs w:val="24"/>
      </w:rPr>
      <w:instrText xml:space="preserve">PAGE  </w:instrText>
    </w:r>
    <w:r w:rsidRPr="00F43707">
      <w:rPr>
        <w:rStyle w:val="PageNumber"/>
        <w:sz w:val="24"/>
        <w:szCs w:val="24"/>
      </w:rPr>
      <w:fldChar w:fldCharType="separate"/>
    </w:r>
    <w:r w:rsidR="00897EF5">
      <w:rPr>
        <w:rStyle w:val="PageNumber"/>
        <w:noProof/>
        <w:sz w:val="24"/>
        <w:szCs w:val="24"/>
      </w:rPr>
      <w:t>2</w:t>
    </w:r>
    <w:r w:rsidRPr="00F43707">
      <w:rPr>
        <w:rStyle w:val="PageNumber"/>
        <w:sz w:val="24"/>
        <w:szCs w:val="24"/>
      </w:rPr>
      <w:fldChar w:fldCharType="end"/>
    </w:r>
  </w:p>
  <w:p w14:paraId="1F4DC359" w14:textId="77777777" w:rsidR="00775F25" w:rsidRDefault="00775F25" w:rsidP="00775F25">
    <w:pPr>
      <w:pStyle w:val="Footer"/>
      <w:jc w:val="both"/>
    </w:pPr>
  </w:p>
  <w:p w14:paraId="4B7D910D" w14:textId="77777777" w:rsidR="00866DA6" w:rsidRDefault="00866DA6" w:rsidP="00866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E85A" w14:textId="77777777" w:rsidR="00F37034" w:rsidRDefault="00F37034">
      <w:r>
        <w:separator/>
      </w:r>
    </w:p>
  </w:footnote>
  <w:footnote w:type="continuationSeparator" w:id="0">
    <w:p w14:paraId="2B395ADC" w14:textId="77777777" w:rsidR="00F37034" w:rsidRDefault="00F37034">
      <w:r>
        <w:continuationSeparator/>
      </w:r>
    </w:p>
  </w:footnote>
  <w:footnote w:id="1">
    <w:p w14:paraId="10A9FB13" w14:textId="77777777" w:rsidR="00505352" w:rsidRDefault="00505352" w:rsidP="00505352">
      <w:pPr>
        <w:pStyle w:val="FootnoteText"/>
      </w:pPr>
      <w:r>
        <w:rPr>
          <w:rStyle w:val="FootnoteReference"/>
        </w:rPr>
        <w:footnoteRef/>
      </w:r>
      <w:r>
        <w:t xml:space="preserve"> </w:t>
      </w:r>
      <w:r w:rsidRPr="006E49CF">
        <w:t>Minimālais risku un zaudējumu cēloņu uzskaitījums, kas nosaka gadījumus, kuros iestājas Apdrošinātāja pienākums i</w:t>
      </w:r>
      <w:r>
        <w:t>zmaksāt apdrošināšanas atlīdzība.</w:t>
      </w:r>
    </w:p>
  </w:footnote>
  <w:footnote w:id="2">
    <w:p w14:paraId="6411CC63" w14:textId="77777777" w:rsidR="00505352" w:rsidRPr="00FB2E4D" w:rsidRDefault="00505352" w:rsidP="00505352">
      <w:pPr>
        <w:widowControl w:val="0"/>
        <w:jc w:val="both"/>
      </w:pPr>
      <w:r w:rsidRPr="00FB2E4D">
        <w:rPr>
          <w:rStyle w:val="FootnoteReference"/>
        </w:rPr>
        <w:footnoteRef/>
      </w:r>
      <w:r>
        <w:t>B</w:t>
      </w:r>
      <w:r w:rsidRPr="005D0EE5">
        <w:t>ruņutehnika, inženiertehnika un cita speciāla pašgājēja tehnika ar iekšdedzes motoru, ja tā nav būvēta uz automobiļa bāzes un pēc konstrukcijas ir paredzēta izmantošanai mācību kaujās un kaujas apstākļos.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334B5"/>
    <w:multiLevelType w:val="multilevel"/>
    <w:tmpl w:val="485ECEB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C2E61"/>
    <w:multiLevelType w:val="multilevel"/>
    <w:tmpl w:val="485ECEB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F0B14"/>
    <w:multiLevelType w:val="hybridMultilevel"/>
    <w:tmpl w:val="7B980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540FD0"/>
    <w:multiLevelType w:val="hybridMultilevel"/>
    <w:tmpl w:val="F7F64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2F7CEB"/>
    <w:multiLevelType w:val="hybridMultilevel"/>
    <w:tmpl w:val="0E20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D6FFC"/>
    <w:multiLevelType w:val="multilevel"/>
    <w:tmpl w:val="0426001F"/>
    <w:lvl w:ilvl="0">
      <w:start w:val="1"/>
      <w:numFmt w:val="decimal"/>
      <w:lvlText w:val="%1."/>
      <w:lvlJc w:val="left"/>
      <w:pPr>
        <w:ind w:left="360" w:hanging="360"/>
      </w:pPr>
      <w:rPr>
        <w:b/>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58463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EE7F1E"/>
    <w:multiLevelType w:val="hybridMultilevel"/>
    <w:tmpl w:val="84DC9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8520038">
    <w:abstractNumId w:val="4"/>
  </w:num>
  <w:num w:numId="2" w16cid:durableId="1494292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254873">
    <w:abstractNumId w:val="8"/>
  </w:num>
  <w:num w:numId="4" w16cid:durableId="1363745278">
    <w:abstractNumId w:val="0"/>
  </w:num>
  <w:num w:numId="5" w16cid:durableId="459805973">
    <w:abstractNumId w:val="5"/>
  </w:num>
  <w:num w:numId="6" w16cid:durableId="343484492">
    <w:abstractNumId w:val="7"/>
  </w:num>
  <w:num w:numId="7" w16cid:durableId="155999350">
    <w:abstractNumId w:val="1"/>
  </w:num>
  <w:num w:numId="8" w16cid:durableId="661541673">
    <w:abstractNumId w:val="3"/>
  </w:num>
  <w:num w:numId="9" w16cid:durableId="195940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A6"/>
    <w:rsid w:val="000178DC"/>
    <w:rsid w:val="0002098B"/>
    <w:rsid w:val="00025E8D"/>
    <w:rsid w:val="00032C2F"/>
    <w:rsid w:val="00052628"/>
    <w:rsid w:val="00085C69"/>
    <w:rsid w:val="00092FCB"/>
    <w:rsid w:val="001A787F"/>
    <w:rsid w:val="001E36C5"/>
    <w:rsid w:val="001F31E6"/>
    <w:rsid w:val="002762AD"/>
    <w:rsid w:val="00322379"/>
    <w:rsid w:val="00385981"/>
    <w:rsid w:val="003A276E"/>
    <w:rsid w:val="003F7A6F"/>
    <w:rsid w:val="00410EC2"/>
    <w:rsid w:val="00423733"/>
    <w:rsid w:val="00436EC9"/>
    <w:rsid w:val="00461254"/>
    <w:rsid w:val="004713F1"/>
    <w:rsid w:val="004A270E"/>
    <w:rsid w:val="004C2EC5"/>
    <w:rsid w:val="00505352"/>
    <w:rsid w:val="0057588A"/>
    <w:rsid w:val="005C231F"/>
    <w:rsid w:val="005C7A73"/>
    <w:rsid w:val="005E7D47"/>
    <w:rsid w:val="0061271F"/>
    <w:rsid w:val="00680E02"/>
    <w:rsid w:val="00692AA7"/>
    <w:rsid w:val="00724BA1"/>
    <w:rsid w:val="0075717F"/>
    <w:rsid w:val="00757305"/>
    <w:rsid w:val="007655AF"/>
    <w:rsid w:val="00775F25"/>
    <w:rsid w:val="007922B3"/>
    <w:rsid w:val="007C5C9C"/>
    <w:rsid w:val="007D0F47"/>
    <w:rsid w:val="007D65FD"/>
    <w:rsid w:val="00846F1F"/>
    <w:rsid w:val="00866DA6"/>
    <w:rsid w:val="00897EF5"/>
    <w:rsid w:val="008C1F57"/>
    <w:rsid w:val="008C4994"/>
    <w:rsid w:val="008F4959"/>
    <w:rsid w:val="00923231"/>
    <w:rsid w:val="00942046"/>
    <w:rsid w:val="00953055"/>
    <w:rsid w:val="00964B6C"/>
    <w:rsid w:val="00995431"/>
    <w:rsid w:val="00A17F41"/>
    <w:rsid w:val="00A8638E"/>
    <w:rsid w:val="00AA2C09"/>
    <w:rsid w:val="00AA78A6"/>
    <w:rsid w:val="00AC23CC"/>
    <w:rsid w:val="00B10961"/>
    <w:rsid w:val="00B7561D"/>
    <w:rsid w:val="00B9777B"/>
    <w:rsid w:val="00BD62C0"/>
    <w:rsid w:val="00BD6990"/>
    <w:rsid w:val="00C15A49"/>
    <w:rsid w:val="00C65741"/>
    <w:rsid w:val="00C70A75"/>
    <w:rsid w:val="00C82967"/>
    <w:rsid w:val="00CA5F23"/>
    <w:rsid w:val="00CB59FE"/>
    <w:rsid w:val="00CE34C1"/>
    <w:rsid w:val="00D03F35"/>
    <w:rsid w:val="00D13C36"/>
    <w:rsid w:val="00D20002"/>
    <w:rsid w:val="00D4155E"/>
    <w:rsid w:val="00D640E8"/>
    <w:rsid w:val="00D921D3"/>
    <w:rsid w:val="00E2132D"/>
    <w:rsid w:val="00E72E14"/>
    <w:rsid w:val="00E83782"/>
    <w:rsid w:val="00E90B39"/>
    <w:rsid w:val="00EB1623"/>
    <w:rsid w:val="00EC600E"/>
    <w:rsid w:val="00F338A2"/>
    <w:rsid w:val="00F37034"/>
    <w:rsid w:val="00F43707"/>
    <w:rsid w:val="00F94220"/>
    <w:rsid w:val="00FC4D26"/>
    <w:rsid w:val="00FF5FE5"/>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93437"/>
  <w15:docId w15:val="{8A1C7D47-AF7B-48FA-8962-3A91D96A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A6"/>
    <w:pPr>
      <w:spacing w:after="0" w:line="240" w:lineRule="auto"/>
    </w:pPr>
    <w:rPr>
      <w:rFonts w:ascii="Times New Roman" w:eastAsia="Times New Roman" w:hAnsi="Times New Roman" w:cs="Times New Roman"/>
      <w:sz w:val="20"/>
      <w:szCs w:val="20"/>
      <w:lang w:eastAsia="lv-LV"/>
    </w:rPr>
  </w:style>
  <w:style w:type="paragraph" w:styleId="Heading5">
    <w:name w:val="heading 5"/>
    <w:basedOn w:val="Normal"/>
    <w:next w:val="Normal"/>
    <w:link w:val="Heading5Char"/>
    <w:uiPriority w:val="9"/>
    <w:semiHidden/>
    <w:unhideWhenUsed/>
    <w:qFormat/>
    <w:rsid w:val="00AA78A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A78A6"/>
    <w:rPr>
      <w:rFonts w:asciiTheme="majorHAnsi" w:eastAsiaTheme="majorEastAsia" w:hAnsiTheme="majorHAnsi" w:cstheme="majorBidi"/>
      <w:color w:val="243F60" w:themeColor="accent1" w:themeShade="7F"/>
      <w:sz w:val="20"/>
      <w:szCs w:val="20"/>
      <w:lang w:eastAsia="lv-LV"/>
    </w:rPr>
  </w:style>
  <w:style w:type="character" w:styleId="Hyperlink">
    <w:name w:val="Hyperlink"/>
    <w:rsid w:val="00AA78A6"/>
    <w:rPr>
      <w:color w:val="0000FF"/>
      <w:u w:val="single"/>
    </w:rPr>
  </w:style>
  <w:style w:type="paragraph" w:customStyle="1" w:styleId="Normal14pt">
    <w:name w:val="Normal + 14 pt"/>
    <w:aliases w:val="Justified"/>
    <w:basedOn w:val="Normal"/>
    <w:rsid w:val="00AA78A6"/>
    <w:pPr>
      <w:jc w:val="both"/>
    </w:pPr>
    <w:rPr>
      <w:b/>
      <w:sz w:val="28"/>
      <w:szCs w:val="28"/>
    </w:rPr>
  </w:style>
  <w:style w:type="paragraph" w:styleId="Footer">
    <w:name w:val="footer"/>
    <w:basedOn w:val="Normal"/>
    <w:link w:val="FooterChar"/>
    <w:rsid w:val="00AA78A6"/>
    <w:pPr>
      <w:tabs>
        <w:tab w:val="center" w:pos="4153"/>
        <w:tab w:val="right" w:pos="8306"/>
      </w:tabs>
    </w:pPr>
  </w:style>
  <w:style w:type="character" w:customStyle="1" w:styleId="FooterChar">
    <w:name w:val="Footer Char"/>
    <w:basedOn w:val="DefaultParagraphFont"/>
    <w:link w:val="Footer"/>
    <w:rsid w:val="00AA78A6"/>
    <w:rPr>
      <w:rFonts w:ascii="Times New Roman" w:eastAsia="Times New Roman" w:hAnsi="Times New Roman" w:cs="Times New Roman"/>
      <w:sz w:val="20"/>
      <w:szCs w:val="20"/>
      <w:lang w:eastAsia="lv-LV"/>
    </w:rPr>
  </w:style>
  <w:style w:type="character" w:styleId="PageNumber">
    <w:name w:val="page number"/>
    <w:basedOn w:val="DefaultParagraphFont"/>
    <w:rsid w:val="00AA78A6"/>
  </w:style>
  <w:style w:type="paragraph" w:styleId="Header">
    <w:name w:val="header"/>
    <w:basedOn w:val="Normal"/>
    <w:link w:val="HeaderChar"/>
    <w:uiPriority w:val="99"/>
    <w:rsid w:val="00AA78A6"/>
    <w:pPr>
      <w:tabs>
        <w:tab w:val="center" w:pos="4153"/>
        <w:tab w:val="right" w:pos="8306"/>
      </w:tabs>
    </w:pPr>
    <w:rPr>
      <w:sz w:val="24"/>
      <w:szCs w:val="24"/>
    </w:rPr>
  </w:style>
  <w:style w:type="character" w:customStyle="1" w:styleId="HeaderChar">
    <w:name w:val="Header Char"/>
    <w:basedOn w:val="DefaultParagraphFont"/>
    <w:link w:val="Header"/>
    <w:uiPriority w:val="99"/>
    <w:rsid w:val="00AA78A6"/>
    <w:rPr>
      <w:rFonts w:ascii="Times New Roman" w:eastAsia="Times New Roman" w:hAnsi="Times New Roman" w:cs="Times New Roman"/>
      <w:sz w:val="24"/>
      <w:szCs w:val="24"/>
      <w:lang w:eastAsia="lv-LV"/>
    </w:rPr>
  </w:style>
  <w:style w:type="paragraph" w:styleId="Title">
    <w:name w:val="Title"/>
    <w:basedOn w:val="Normal"/>
    <w:link w:val="TitleChar"/>
    <w:qFormat/>
    <w:rsid w:val="00AA78A6"/>
    <w:pPr>
      <w:jc w:val="center"/>
    </w:pPr>
    <w:rPr>
      <w:b/>
      <w:i/>
      <w:sz w:val="24"/>
      <w:lang w:val="en-US"/>
    </w:rPr>
  </w:style>
  <w:style w:type="character" w:customStyle="1" w:styleId="TitleChar">
    <w:name w:val="Title Char"/>
    <w:basedOn w:val="DefaultParagraphFont"/>
    <w:link w:val="Title"/>
    <w:rsid w:val="00AA78A6"/>
    <w:rPr>
      <w:rFonts w:ascii="Times New Roman" w:eastAsia="Times New Roman" w:hAnsi="Times New Roman" w:cs="Times New Roman"/>
      <w:b/>
      <w:i/>
      <w:sz w:val="24"/>
      <w:szCs w:val="20"/>
      <w:lang w:val="en-US" w:eastAsia="lv-LV"/>
    </w:rPr>
  </w:style>
  <w:style w:type="paragraph" w:styleId="BodyTextIndent">
    <w:name w:val="Body Text Indent"/>
    <w:basedOn w:val="Normal"/>
    <w:link w:val="BodyTextIndentChar"/>
    <w:rsid w:val="00AA78A6"/>
    <w:pPr>
      <w:tabs>
        <w:tab w:val="num" w:pos="720"/>
      </w:tabs>
      <w:ind w:left="284" w:hanging="284"/>
      <w:jc w:val="both"/>
    </w:pPr>
    <w:rPr>
      <w:sz w:val="28"/>
      <w:szCs w:val="28"/>
    </w:rPr>
  </w:style>
  <w:style w:type="character" w:customStyle="1" w:styleId="BodyTextIndentChar">
    <w:name w:val="Body Text Indent Char"/>
    <w:basedOn w:val="DefaultParagraphFont"/>
    <w:link w:val="BodyTextIndent"/>
    <w:rsid w:val="00AA78A6"/>
    <w:rPr>
      <w:rFonts w:ascii="Times New Roman" w:eastAsia="Times New Roman" w:hAnsi="Times New Roman" w:cs="Times New Roman"/>
      <w:sz w:val="28"/>
      <w:szCs w:val="28"/>
      <w:lang w:eastAsia="lv-LV"/>
    </w:rPr>
  </w:style>
  <w:style w:type="paragraph" w:styleId="Subtitle">
    <w:name w:val="Subtitle"/>
    <w:basedOn w:val="Normal"/>
    <w:link w:val="SubtitleChar"/>
    <w:qFormat/>
    <w:rsid w:val="00AA78A6"/>
    <w:pPr>
      <w:jc w:val="center"/>
    </w:pPr>
    <w:rPr>
      <w:b/>
      <w:bCs/>
      <w:sz w:val="24"/>
      <w:szCs w:val="24"/>
    </w:rPr>
  </w:style>
  <w:style w:type="character" w:customStyle="1" w:styleId="SubtitleChar">
    <w:name w:val="Subtitle Char"/>
    <w:basedOn w:val="DefaultParagraphFont"/>
    <w:link w:val="Subtitle"/>
    <w:rsid w:val="00AA78A6"/>
    <w:rPr>
      <w:rFonts w:ascii="Times New Roman" w:eastAsia="Times New Roman" w:hAnsi="Times New Roman" w:cs="Times New Roman"/>
      <w:b/>
      <w:bCs/>
      <w:sz w:val="24"/>
      <w:szCs w:val="24"/>
      <w:lang w:eastAsia="lv-LV"/>
    </w:rPr>
  </w:style>
  <w:style w:type="character" w:styleId="CommentReference">
    <w:name w:val="annotation reference"/>
    <w:basedOn w:val="DefaultParagraphFont"/>
    <w:uiPriority w:val="99"/>
    <w:semiHidden/>
    <w:unhideWhenUsed/>
    <w:rsid w:val="00AA78A6"/>
    <w:rPr>
      <w:sz w:val="16"/>
      <w:szCs w:val="16"/>
    </w:rPr>
  </w:style>
  <w:style w:type="paragraph" w:styleId="CommentText">
    <w:name w:val="annotation text"/>
    <w:basedOn w:val="Normal"/>
    <w:link w:val="CommentTextChar"/>
    <w:uiPriority w:val="99"/>
    <w:unhideWhenUsed/>
    <w:rsid w:val="00AA78A6"/>
  </w:style>
  <w:style w:type="character" w:customStyle="1" w:styleId="CommentTextChar">
    <w:name w:val="Comment Text Char"/>
    <w:basedOn w:val="DefaultParagraphFont"/>
    <w:link w:val="CommentText"/>
    <w:uiPriority w:val="99"/>
    <w:rsid w:val="00AA78A6"/>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A78A6"/>
    <w:rPr>
      <w:rFonts w:ascii="Tahoma" w:hAnsi="Tahoma" w:cs="Tahoma"/>
      <w:sz w:val="16"/>
      <w:szCs w:val="16"/>
    </w:rPr>
  </w:style>
  <w:style w:type="character" w:customStyle="1" w:styleId="BalloonTextChar">
    <w:name w:val="Balloon Text Char"/>
    <w:basedOn w:val="DefaultParagraphFont"/>
    <w:link w:val="BalloonText"/>
    <w:uiPriority w:val="99"/>
    <w:semiHidden/>
    <w:rsid w:val="00AA78A6"/>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846F1F"/>
    <w:rPr>
      <w:b/>
      <w:bCs/>
    </w:rPr>
  </w:style>
  <w:style w:type="character" w:customStyle="1" w:styleId="CommentSubjectChar">
    <w:name w:val="Comment Subject Char"/>
    <w:basedOn w:val="CommentTextChar"/>
    <w:link w:val="CommentSubject"/>
    <w:uiPriority w:val="99"/>
    <w:semiHidden/>
    <w:rsid w:val="00846F1F"/>
    <w:rPr>
      <w:rFonts w:ascii="Times New Roman" w:eastAsia="Times New Roman" w:hAnsi="Times New Roman" w:cs="Times New Roman"/>
      <w:b/>
      <w:bCs/>
      <w:sz w:val="20"/>
      <w:szCs w:val="20"/>
      <w:lang w:eastAsia="lv-LV"/>
    </w:rPr>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IFCL - List Paragraph"/>
    <w:basedOn w:val="Normal"/>
    <w:link w:val="ListParagraphChar"/>
    <w:uiPriority w:val="99"/>
    <w:qFormat/>
    <w:rsid w:val="00CA5F23"/>
    <w:pPr>
      <w:ind w:left="720"/>
      <w:contextualSpacing/>
    </w:pPr>
  </w:style>
  <w:style w:type="table" w:styleId="TableGrid">
    <w:name w:val="Table Grid"/>
    <w:basedOn w:val="TableNormal"/>
    <w:uiPriority w:val="39"/>
    <w:qFormat/>
    <w:rsid w:val="0050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99"/>
    <w:qFormat/>
    <w:rsid w:val="00505352"/>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rsid w:val="00505352"/>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505352"/>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FootnoteText">
    <w:name w:val="footnote text"/>
    <w:basedOn w:val="Normal"/>
    <w:link w:val="FootnoteTextChar"/>
    <w:uiPriority w:val="99"/>
    <w:semiHidden/>
    <w:unhideWhenUsed/>
    <w:rsid w:val="00505352"/>
  </w:style>
  <w:style w:type="character" w:customStyle="1" w:styleId="FootnoteTextChar">
    <w:name w:val="Footnote Text Char"/>
    <w:basedOn w:val="DefaultParagraphFont"/>
    <w:link w:val="FootnoteText"/>
    <w:uiPriority w:val="99"/>
    <w:semiHidden/>
    <w:rsid w:val="00505352"/>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72667">
      <w:bodyDiv w:val="1"/>
      <w:marLeft w:val="0"/>
      <w:marRight w:val="0"/>
      <w:marTop w:val="0"/>
      <w:marBottom w:val="0"/>
      <w:divBdr>
        <w:top w:val="none" w:sz="0" w:space="0" w:color="auto"/>
        <w:left w:val="none" w:sz="0" w:space="0" w:color="auto"/>
        <w:bottom w:val="none" w:sz="0" w:space="0" w:color="auto"/>
        <w:right w:val="none" w:sz="0" w:space="0" w:color="auto"/>
      </w:divBdr>
    </w:div>
    <w:div w:id="14163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6801</Words>
  <Characters>3877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Helēna Brinkmane</dc:creator>
  <cp:lastModifiedBy>Maija Slanka</cp:lastModifiedBy>
  <cp:revision>6</cp:revision>
  <cp:lastPrinted>2013-07-18T13:09:00Z</cp:lastPrinted>
  <dcterms:created xsi:type="dcterms:W3CDTF">2023-05-09T06:51:00Z</dcterms:created>
  <dcterms:modified xsi:type="dcterms:W3CDTF">2026-06-01T13:26:00Z</dcterms:modified>
</cp:coreProperties>
</file>