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189D9" w14:textId="35898642" w:rsidR="001F59E2" w:rsidRPr="00CA6E08" w:rsidRDefault="001F59E2" w:rsidP="001F59E2">
      <w:pPr>
        <w:spacing w:line="240" w:lineRule="auto"/>
        <w:jc w:val="right"/>
        <w:rPr>
          <w:color w:val="000000" w:themeColor="text1"/>
        </w:rPr>
      </w:pPr>
      <w:r w:rsidRPr="00CA6E08">
        <w:rPr>
          <w:color w:val="000000" w:themeColor="text1"/>
        </w:rPr>
        <w:t xml:space="preserve">Annex </w:t>
      </w:r>
      <w:r w:rsidR="00226FF2">
        <w:rPr>
          <w:color w:val="000000" w:themeColor="text1"/>
        </w:rPr>
        <w:t>4</w:t>
      </w:r>
      <w:r w:rsidRPr="00CA6E08">
        <w:rPr>
          <w:color w:val="000000" w:themeColor="text1"/>
        </w:rPr>
        <w:t xml:space="preserve"> to the Agreement</w:t>
      </w:r>
    </w:p>
    <w:p w14:paraId="0CC23150" w14:textId="77777777" w:rsidR="001F59E2" w:rsidRPr="00CA6E08" w:rsidRDefault="001F59E2" w:rsidP="001F59E2">
      <w:pPr>
        <w:pStyle w:val="NoSpacing"/>
        <w:rPr>
          <w:lang w:bidi="en-GB"/>
        </w:rPr>
      </w:pPr>
    </w:p>
    <w:p w14:paraId="10EA779F" w14:textId="6E77B0B9" w:rsidR="001F59E2" w:rsidRPr="00CA6E08" w:rsidRDefault="001F59E2" w:rsidP="001F59E2">
      <w:pPr>
        <w:spacing w:line="240" w:lineRule="auto"/>
        <w:jc w:val="center"/>
        <w:rPr>
          <w:rFonts w:eastAsia="Calibri"/>
          <w:b/>
          <w:bCs/>
          <w:caps/>
          <w:color w:val="000000" w:themeColor="text1"/>
          <w:sz w:val="24"/>
          <w:lang w:bidi="en-GB"/>
        </w:rPr>
      </w:pPr>
      <w:r w:rsidRPr="00CA6E08">
        <w:rPr>
          <w:rFonts w:eastAsia="Calibri"/>
          <w:b/>
          <w:bCs/>
          <w:caps/>
          <w:color w:val="000000" w:themeColor="text1"/>
          <w:sz w:val="24"/>
          <w:lang w:bidi="en-GB"/>
        </w:rPr>
        <w:t xml:space="preserve">Requirements for Attracting Funding from the European </w:t>
      </w:r>
      <w:proofErr w:type="gramStart"/>
      <w:r w:rsidRPr="00CA6E08">
        <w:rPr>
          <w:rFonts w:eastAsia="Calibri"/>
          <w:b/>
          <w:bCs/>
          <w:caps/>
          <w:color w:val="000000" w:themeColor="text1"/>
          <w:sz w:val="24"/>
          <w:lang w:bidi="en-GB"/>
        </w:rPr>
        <w:t xml:space="preserve">Union </w:t>
      </w:r>
      <w:r w:rsidR="00EC48AB" w:rsidRPr="00EC48AB">
        <w:rPr>
          <w:rFonts w:eastAsia="Calibri"/>
          <w:b/>
          <w:bCs/>
          <w:caps/>
          <w:color w:val="000000" w:themeColor="text1"/>
          <w:sz w:val="24"/>
          <w:lang w:bidi="en-GB"/>
        </w:rPr>
        <w:t xml:space="preserve"> FUND</w:t>
      </w:r>
      <w:proofErr w:type="gramEnd"/>
    </w:p>
    <w:p w14:paraId="0DFBD306" w14:textId="77777777" w:rsidR="001F59E2" w:rsidRPr="00CA6E08" w:rsidRDefault="001F59E2" w:rsidP="001F59E2">
      <w:pPr>
        <w:pStyle w:val="NoSpacing"/>
        <w:jc w:val="right"/>
        <w:rPr>
          <w:b/>
          <w:bCs/>
          <w:color w:val="000000" w:themeColor="text1"/>
        </w:rPr>
      </w:pPr>
    </w:p>
    <w:p w14:paraId="10DB52DE" w14:textId="529A3D86" w:rsidR="001F59E2" w:rsidRPr="00CA6E08" w:rsidRDefault="001F59E2" w:rsidP="001F59E2">
      <w:pPr>
        <w:pStyle w:val="Level1"/>
        <w:ind w:left="0" w:firstLine="0"/>
        <w:jc w:val="right"/>
        <w:rPr>
          <w:i/>
          <w:iCs/>
          <w:color w:val="000000" w:themeColor="text1"/>
        </w:rPr>
      </w:pPr>
      <w:r w:rsidRPr="00CA6E08">
        <w:rPr>
          <w:i/>
          <w:color w:val="000000" w:themeColor="text1"/>
          <w:lang w:bidi="en-GB"/>
        </w:rPr>
        <w:t xml:space="preserve">If there is a conflict in the General Terms and Conditions of the Agreement or the Special Terms and Conditions of the Agreement, including any annexes to the Special Terms and Conditions of the Agreement in connection with the provisions of the laws and regulations within the scope of the </w:t>
      </w:r>
      <w:r w:rsidR="00232658" w:rsidRPr="00232658">
        <w:rPr>
          <w:i/>
          <w:color w:val="000000" w:themeColor="text1"/>
          <w:lang w:bidi="en-GB"/>
        </w:rPr>
        <w:t>European Union</w:t>
      </w:r>
      <w:r w:rsidR="00232658" w:rsidRPr="00232658">
        <w:rPr>
          <w:i/>
          <w:color w:val="000000" w:themeColor="text1"/>
          <w:lang w:bidi="en-GB"/>
        </w:rPr>
        <w:t xml:space="preserve"> </w:t>
      </w:r>
      <w:r w:rsidR="00EC48AB">
        <w:rPr>
          <w:i/>
          <w:color w:val="000000" w:themeColor="text1"/>
          <w:lang w:bidi="en-GB"/>
        </w:rPr>
        <w:t>fund</w:t>
      </w:r>
      <w:r w:rsidR="00232658">
        <w:rPr>
          <w:i/>
          <w:color w:val="000000" w:themeColor="text1"/>
          <w:lang w:bidi="en-GB"/>
        </w:rPr>
        <w:t>/s</w:t>
      </w:r>
      <w:r w:rsidR="00EC48AB" w:rsidRPr="00EC48AB" w:rsidDel="00EC48AB">
        <w:rPr>
          <w:i/>
          <w:color w:val="000000" w:themeColor="text1"/>
          <w:lang w:bidi="en-GB"/>
        </w:rPr>
        <w:t xml:space="preserve"> </w:t>
      </w:r>
      <w:r w:rsidRPr="00CA6E08">
        <w:rPr>
          <w:i/>
          <w:color w:val="000000" w:themeColor="text1"/>
          <w:lang w:bidi="en-GB"/>
        </w:rPr>
        <w:t xml:space="preserve">(hereinafter </w:t>
      </w:r>
      <w:r w:rsidR="00232658">
        <w:rPr>
          <w:i/>
          <w:color w:val="000000" w:themeColor="text1"/>
          <w:lang w:bidi="en-GB"/>
        </w:rPr>
        <w:t>–</w:t>
      </w:r>
      <w:r w:rsidRPr="00CA6E08">
        <w:rPr>
          <w:i/>
          <w:color w:val="000000" w:themeColor="text1"/>
          <w:lang w:bidi="en-GB"/>
        </w:rPr>
        <w:t xml:space="preserve"> </w:t>
      </w:r>
      <w:r w:rsidR="00232658">
        <w:rPr>
          <w:i/>
          <w:color w:val="000000" w:themeColor="text1"/>
          <w:lang w:bidi="en-GB"/>
        </w:rPr>
        <w:t>EU FUND</w:t>
      </w:r>
      <w:r w:rsidRPr="00CA6E08">
        <w:rPr>
          <w:i/>
          <w:color w:val="000000" w:themeColor="text1"/>
          <w:lang w:bidi="en-GB"/>
        </w:rPr>
        <w:t>), the provisions of the Annex to this Agreement shall prevail over the above terms and conditions and annexes of the Agreement.</w:t>
      </w:r>
    </w:p>
    <w:p w14:paraId="4906BF47" w14:textId="77777777" w:rsidR="001F59E2" w:rsidRPr="00CA6E08" w:rsidRDefault="001F59E2" w:rsidP="001F59E2">
      <w:pPr>
        <w:pStyle w:val="Level1"/>
        <w:ind w:left="0" w:firstLine="0"/>
        <w:jc w:val="right"/>
        <w:rPr>
          <w:i/>
          <w:iCs/>
          <w:color w:val="000000" w:themeColor="text1"/>
        </w:rPr>
      </w:pPr>
    </w:p>
    <w:p w14:paraId="22E4DC37" w14:textId="77777777" w:rsidR="001F59E2" w:rsidRPr="00CA6E08" w:rsidRDefault="001F59E2" w:rsidP="001F59E2">
      <w:pPr>
        <w:pStyle w:val="NoSpacing"/>
        <w:ind w:firstLine="283"/>
        <w:rPr>
          <w:color w:val="000000" w:themeColor="text1"/>
          <w:szCs w:val="20"/>
        </w:rPr>
      </w:pPr>
      <w:r w:rsidRPr="00CA6E08">
        <w:rPr>
          <w:rFonts w:eastAsia="Times New Roman"/>
          <w:color w:val="000000" w:themeColor="text1"/>
          <w:szCs w:val="20"/>
          <w:lang w:bidi="en-GB"/>
        </w:rPr>
        <w:t>If RSM funding is attracted for the performance of the Agreement, the Parties agree on the following additional terms:</w:t>
      </w:r>
    </w:p>
    <w:p w14:paraId="40E0E027" w14:textId="77777777" w:rsidR="001F59E2" w:rsidRPr="00CA6E08" w:rsidRDefault="001F59E2" w:rsidP="001F59E2">
      <w:pPr>
        <w:pStyle w:val="Level1"/>
        <w:numPr>
          <w:ilvl w:val="1"/>
          <w:numId w:val="1"/>
        </w:numPr>
        <w:ind w:left="0"/>
        <w:rPr>
          <w:color w:val="000000" w:themeColor="text1"/>
          <w:szCs w:val="20"/>
          <w:u w:val="single"/>
        </w:rPr>
      </w:pPr>
      <w:r w:rsidRPr="00CA6E08">
        <w:rPr>
          <w:color w:val="000000" w:themeColor="text1"/>
          <w:szCs w:val="20"/>
          <w:u w:val="single"/>
          <w:lang w:bidi="en-GB"/>
        </w:rPr>
        <w:t>The Contractor shall:</w:t>
      </w:r>
    </w:p>
    <w:p w14:paraId="0E041E86" w14:textId="29576BA6" w:rsidR="001F59E2" w:rsidRPr="00CA6E08" w:rsidRDefault="00281591" w:rsidP="001F59E2">
      <w:pPr>
        <w:pStyle w:val="Level1"/>
        <w:numPr>
          <w:ilvl w:val="2"/>
          <w:numId w:val="1"/>
        </w:numPr>
        <w:ind w:left="0" w:hanging="567"/>
        <w:rPr>
          <w:color w:val="000000" w:themeColor="text1"/>
          <w:szCs w:val="20"/>
        </w:rPr>
      </w:pPr>
      <w:r w:rsidRPr="00281591">
        <w:rPr>
          <w:color w:val="000000" w:themeColor="text1"/>
          <w:szCs w:val="20"/>
          <w:lang w:bidi="en-GB"/>
        </w:rPr>
        <w:t xml:space="preserve">Comply with the requirements of the applicable laws and regulations in the performance of the obligations under the Agreement, ensure access to information related to the </w:t>
      </w:r>
      <w:r w:rsidR="00232658">
        <w:rPr>
          <w:color w:val="000000" w:themeColor="text1"/>
          <w:szCs w:val="20"/>
          <w:lang w:bidi="en-GB"/>
        </w:rPr>
        <w:t>EU FUND</w:t>
      </w:r>
      <w:r w:rsidRPr="00281591">
        <w:rPr>
          <w:color w:val="000000" w:themeColor="text1"/>
          <w:szCs w:val="20"/>
          <w:lang w:bidi="en-GB"/>
        </w:rPr>
        <w:t>, and provide such access to the authorities referred to in the applicable laws and regulations</w:t>
      </w:r>
      <w:r w:rsidR="000D2104">
        <w:rPr>
          <w:color w:val="000000" w:themeColor="text1"/>
          <w:szCs w:val="20"/>
          <w:lang w:bidi="en-GB"/>
        </w:rPr>
        <w:t xml:space="preserve">, </w:t>
      </w:r>
      <w:r w:rsidRPr="00281591">
        <w:rPr>
          <w:color w:val="000000" w:themeColor="text1"/>
          <w:szCs w:val="20"/>
          <w:lang w:bidi="en-GB"/>
        </w:rPr>
        <w:t xml:space="preserve">as well as to other institutions involved in the management of the </w:t>
      </w:r>
      <w:r w:rsidR="00232658">
        <w:rPr>
          <w:color w:val="000000" w:themeColor="text1"/>
          <w:szCs w:val="20"/>
          <w:lang w:bidi="en-GB"/>
        </w:rPr>
        <w:t>EU FUND</w:t>
      </w:r>
      <w:r w:rsidRPr="00281591">
        <w:rPr>
          <w:color w:val="000000" w:themeColor="text1"/>
          <w:szCs w:val="20"/>
          <w:lang w:bidi="en-GB"/>
        </w:rPr>
        <w:t xml:space="preserve"> in accordance with the legal acts and decisions of the European Union, including the European Commission</w:t>
      </w:r>
      <w:r>
        <w:rPr>
          <w:color w:val="000000" w:themeColor="text1"/>
          <w:szCs w:val="20"/>
          <w:lang w:bidi="en-GB"/>
        </w:rPr>
        <w:t xml:space="preserve"> </w:t>
      </w:r>
      <w:r w:rsidR="00941251" w:rsidRPr="00941251">
        <w:rPr>
          <w:color w:val="000000" w:themeColor="text1"/>
          <w:szCs w:val="20"/>
          <w:lang w:bidi="en-GB"/>
        </w:rPr>
        <w:t>(hereinafter – Statutory Authorities and Competent Institutions)</w:t>
      </w:r>
      <w:r w:rsidR="001F59E2" w:rsidRPr="00CA6E08">
        <w:rPr>
          <w:color w:val="000000" w:themeColor="text1"/>
          <w:szCs w:val="20"/>
          <w:lang w:bidi="en-GB"/>
        </w:rPr>
        <w:t>;</w:t>
      </w:r>
    </w:p>
    <w:p w14:paraId="4F13B2CD" w14:textId="77777777" w:rsidR="001F59E2" w:rsidRPr="00CA6E08" w:rsidRDefault="001F59E2" w:rsidP="001F59E2">
      <w:pPr>
        <w:pStyle w:val="Level1"/>
        <w:numPr>
          <w:ilvl w:val="2"/>
          <w:numId w:val="1"/>
        </w:numPr>
        <w:ind w:left="0" w:hanging="567"/>
        <w:rPr>
          <w:color w:val="000000" w:themeColor="text1"/>
          <w:szCs w:val="20"/>
        </w:rPr>
      </w:pPr>
      <w:r w:rsidRPr="00CA6E08">
        <w:rPr>
          <w:color w:val="000000" w:themeColor="text1"/>
          <w:szCs w:val="20"/>
          <w:lang w:bidi="en-GB"/>
        </w:rPr>
        <w:t>immediately inform the European Union institutions and competent authorities if there is a credible allegation, complaint or information concerning criminal offences relating to the performance of the Agreement.</w:t>
      </w:r>
      <w:r w:rsidRPr="00CA6E08">
        <w:rPr>
          <w:rFonts w:eastAsia="Calibri"/>
          <w:color w:val="000000" w:themeColor="text1"/>
          <w:szCs w:val="20"/>
          <w:lang w:bidi="en-GB"/>
        </w:rPr>
        <w:t xml:space="preserve"> A criminal offence for the purpose of this paragraph shall mean any of the following criminal offences insofar as they are determined by relevant laws and regulations: fraud, corruption (including, but not limited to bribery, bribing, mediation in bribery, commercial buying-up, acceptance of prohibited benefits, etc.), blackmail, forbidden agreements, omission (including not informing about a criminal offence), laundering of illegally obtained means, financing of terrorism);</w:t>
      </w:r>
    </w:p>
    <w:p w14:paraId="41BF3E2F" w14:textId="77777777" w:rsidR="001F59E2" w:rsidRPr="00CA6E08" w:rsidRDefault="001F59E2" w:rsidP="001F59E2">
      <w:pPr>
        <w:pStyle w:val="Level1"/>
        <w:numPr>
          <w:ilvl w:val="2"/>
          <w:numId w:val="1"/>
        </w:numPr>
        <w:ind w:left="0" w:hanging="567"/>
        <w:rPr>
          <w:color w:val="000000" w:themeColor="text1"/>
          <w:szCs w:val="20"/>
        </w:rPr>
      </w:pPr>
      <w:r w:rsidRPr="00CA6E08">
        <w:rPr>
          <w:color w:val="000000" w:themeColor="text1"/>
          <w:szCs w:val="20"/>
          <w:lang w:bidi="en-GB"/>
        </w:rPr>
        <w:t xml:space="preserve">provide the European Union institutions and competent authorities with the opportunity to initiate proceedings regarding a crime, audit the Contractor's cooperation partners, contractors, their subcontractors' accounting and bookkeeping records in connection with the performance of the Agreement, and make copies of the documents to the extent permitted by </w:t>
      </w:r>
      <w:proofErr w:type="gramStart"/>
      <w:r w:rsidRPr="00CA6E08">
        <w:rPr>
          <w:color w:val="000000" w:themeColor="text1"/>
          <w:szCs w:val="20"/>
          <w:lang w:bidi="en-GB"/>
        </w:rPr>
        <w:t>law;</w:t>
      </w:r>
      <w:proofErr w:type="gramEnd"/>
    </w:p>
    <w:p w14:paraId="60C17780" w14:textId="6119EAC2" w:rsidR="001F59E2" w:rsidRPr="00CA6E08" w:rsidRDefault="001F59E2" w:rsidP="001F59E2">
      <w:pPr>
        <w:pStyle w:val="NoSpacing"/>
        <w:numPr>
          <w:ilvl w:val="2"/>
          <w:numId w:val="1"/>
        </w:numPr>
        <w:ind w:left="0" w:hanging="567"/>
        <w:rPr>
          <w:color w:val="000000" w:themeColor="text1"/>
          <w:szCs w:val="20"/>
        </w:rPr>
      </w:pPr>
      <w:r w:rsidRPr="00CA6E08">
        <w:rPr>
          <w:rFonts w:eastAsia="Times New Roman"/>
          <w:color w:val="000000" w:themeColor="text1"/>
          <w:szCs w:val="20"/>
          <w:lang w:bidi="en-GB"/>
        </w:rPr>
        <w:t xml:space="preserve">provide the Customer, as well as the statutory authorities and competent institutions, when performing inspections or audits in connection with the funding granted by the </w:t>
      </w:r>
      <w:r w:rsidR="00232658">
        <w:rPr>
          <w:rFonts w:eastAsia="Times New Roman"/>
          <w:color w:val="000000" w:themeColor="text1"/>
          <w:szCs w:val="20"/>
          <w:lang w:bidi="en-GB"/>
        </w:rPr>
        <w:t>EU FUND</w:t>
      </w:r>
      <w:r w:rsidRPr="00CA6E08">
        <w:rPr>
          <w:rFonts w:eastAsia="Times New Roman"/>
          <w:color w:val="000000" w:themeColor="text1"/>
          <w:szCs w:val="20"/>
          <w:lang w:bidi="en-GB"/>
        </w:rPr>
        <w:t xml:space="preserve"> with free access to the documentation related to the Agreement and procurement, including the documentation of submitted bids or other information and documentation related to the performance of the Agreement, as well as upon the request of the above-mentioned persons, issue the required information, including in electronic format within the term specified by the Customer, the aforementioned authorities and institutions;</w:t>
      </w:r>
    </w:p>
    <w:p w14:paraId="79124EF3" w14:textId="66A56F3C" w:rsidR="001F59E2" w:rsidRPr="00281591" w:rsidRDefault="001F59E2" w:rsidP="005101EF">
      <w:pPr>
        <w:pStyle w:val="NoSpacing"/>
        <w:numPr>
          <w:ilvl w:val="2"/>
          <w:numId w:val="1"/>
        </w:numPr>
        <w:ind w:left="0" w:hanging="567"/>
        <w:rPr>
          <w:rFonts w:eastAsia="Times New Roman"/>
          <w:color w:val="000000" w:themeColor="text1"/>
          <w:szCs w:val="20"/>
          <w:lang w:val="lv-LV" w:bidi="en-GB"/>
        </w:rPr>
      </w:pPr>
      <w:r w:rsidRPr="00CA6E08">
        <w:rPr>
          <w:rFonts w:eastAsia="Times New Roman"/>
          <w:color w:val="000000" w:themeColor="text1"/>
          <w:szCs w:val="20"/>
          <w:lang w:bidi="en-GB"/>
        </w:rPr>
        <w:t>maintain accounting records and accounts of all financial transactions and expenses related to the performance of the Agreement, keep the originals of the documents related to the performance of the Agreement in its possession, in particular accounting and tax accounting documents, including original electronic documents, for the duration of the Agreement and 5 (five) years after the</w:t>
      </w:r>
      <w:r w:rsidR="005101EF" w:rsidRPr="005101EF">
        <w:rPr>
          <w:rFonts w:eastAsia="Times New Roman"/>
          <w:color w:val="000000" w:themeColor="text1"/>
          <w:szCs w:val="20"/>
          <w:lang w:val="lv-LV" w:bidi="en-GB"/>
        </w:rPr>
        <w:t xml:space="preserve"> </w:t>
      </w:r>
      <w:proofErr w:type="spellStart"/>
      <w:r w:rsidR="005101EF" w:rsidRPr="005101EF">
        <w:rPr>
          <w:rFonts w:eastAsia="Times New Roman"/>
          <w:color w:val="000000" w:themeColor="text1"/>
          <w:szCs w:val="20"/>
          <w:lang w:val="lv-LV" w:bidi="en-GB"/>
        </w:rPr>
        <w:t>end</w:t>
      </w:r>
      <w:proofErr w:type="spellEnd"/>
      <w:r w:rsidR="005101EF" w:rsidRPr="005101EF">
        <w:rPr>
          <w:rFonts w:eastAsia="Times New Roman"/>
          <w:color w:val="000000" w:themeColor="text1"/>
          <w:szCs w:val="20"/>
          <w:lang w:val="lv-LV" w:bidi="en-GB"/>
        </w:rPr>
        <w:t xml:space="preserve"> </w:t>
      </w:r>
      <w:proofErr w:type="spellStart"/>
      <w:r w:rsidR="005101EF" w:rsidRPr="005101EF">
        <w:rPr>
          <w:rFonts w:eastAsia="Times New Roman"/>
          <w:color w:val="000000" w:themeColor="text1"/>
          <w:szCs w:val="20"/>
          <w:lang w:val="lv-LV" w:bidi="en-GB"/>
        </w:rPr>
        <w:t>of</w:t>
      </w:r>
      <w:proofErr w:type="spellEnd"/>
      <w:r w:rsidR="005101EF" w:rsidRPr="005101EF">
        <w:rPr>
          <w:rFonts w:eastAsia="Times New Roman"/>
          <w:color w:val="000000" w:themeColor="text1"/>
          <w:szCs w:val="20"/>
          <w:lang w:val="lv-LV" w:bidi="en-GB"/>
        </w:rPr>
        <w:t xml:space="preserve"> </w:t>
      </w:r>
      <w:r w:rsidR="00232658">
        <w:rPr>
          <w:rFonts w:eastAsia="Times New Roman"/>
          <w:color w:val="000000" w:themeColor="text1"/>
          <w:szCs w:val="20"/>
          <w:lang w:val="lv-LV" w:bidi="en-GB"/>
        </w:rPr>
        <w:t>EU FUND</w:t>
      </w:r>
      <w:r w:rsidR="005101EF" w:rsidRPr="005101EF">
        <w:rPr>
          <w:rFonts w:eastAsia="Times New Roman"/>
          <w:color w:val="000000" w:themeColor="text1"/>
          <w:szCs w:val="20"/>
          <w:lang w:val="lv-LV" w:bidi="en-GB"/>
        </w:rPr>
        <w:t xml:space="preserve"> </w:t>
      </w:r>
      <w:proofErr w:type="spellStart"/>
      <w:r w:rsidR="005101EF" w:rsidRPr="005101EF">
        <w:rPr>
          <w:rFonts w:eastAsia="Times New Roman"/>
          <w:color w:val="000000" w:themeColor="text1"/>
          <w:szCs w:val="20"/>
          <w:lang w:val="lv-LV" w:bidi="en-GB"/>
        </w:rPr>
        <w:t>project</w:t>
      </w:r>
      <w:proofErr w:type="spellEnd"/>
      <w:r w:rsidR="005101EF" w:rsidRPr="005101EF">
        <w:rPr>
          <w:rFonts w:eastAsia="Times New Roman"/>
          <w:color w:val="000000" w:themeColor="text1"/>
          <w:szCs w:val="20"/>
          <w:lang w:val="lv-LV" w:bidi="en-GB"/>
        </w:rPr>
        <w:t xml:space="preserve"> </w:t>
      </w:r>
      <w:proofErr w:type="spellStart"/>
      <w:r w:rsidR="005101EF" w:rsidRPr="005101EF">
        <w:rPr>
          <w:rFonts w:eastAsia="Times New Roman"/>
          <w:color w:val="000000" w:themeColor="text1"/>
          <w:szCs w:val="20"/>
          <w:lang w:val="lv-LV" w:bidi="en-GB"/>
        </w:rPr>
        <w:t>implementation</w:t>
      </w:r>
      <w:proofErr w:type="spellEnd"/>
      <w:r w:rsidR="005101EF" w:rsidRPr="005101EF">
        <w:rPr>
          <w:rFonts w:eastAsia="Times New Roman"/>
          <w:color w:val="000000" w:themeColor="text1"/>
          <w:szCs w:val="20"/>
          <w:lang w:val="lv-LV" w:bidi="en-GB"/>
        </w:rPr>
        <w:t xml:space="preserve"> period</w:t>
      </w:r>
      <w:r w:rsidR="005101EF">
        <w:rPr>
          <w:rFonts w:eastAsia="Times New Roman"/>
          <w:color w:val="000000" w:themeColor="text1"/>
          <w:szCs w:val="20"/>
          <w:lang w:val="lv-LV" w:bidi="en-GB"/>
        </w:rPr>
        <w:t>.</w:t>
      </w:r>
      <w:r w:rsidR="00E85119">
        <w:rPr>
          <w:rFonts w:eastAsia="Times New Roman"/>
          <w:color w:val="000000" w:themeColor="text1"/>
          <w:szCs w:val="20"/>
          <w:lang w:bidi="en-GB"/>
        </w:rPr>
        <w:t xml:space="preserve"> </w:t>
      </w:r>
      <w:r w:rsidRPr="005101EF">
        <w:rPr>
          <w:rFonts w:eastAsia="Times New Roman"/>
          <w:color w:val="000000" w:themeColor="text1"/>
          <w:szCs w:val="20"/>
          <w:lang w:bidi="en-GB"/>
        </w:rPr>
        <w:t xml:space="preserve">If the audit, appeal process, legal proceedings, application to the court or other verification measures related to the funding granted by the </w:t>
      </w:r>
      <w:r w:rsidR="00232658">
        <w:rPr>
          <w:rFonts w:eastAsia="Times New Roman"/>
          <w:color w:val="000000" w:themeColor="text1"/>
          <w:szCs w:val="20"/>
          <w:lang w:bidi="en-GB"/>
        </w:rPr>
        <w:t>EU FUND</w:t>
      </w:r>
      <w:r w:rsidRPr="005101EF">
        <w:rPr>
          <w:rFonts w:eastAsia="Times New Roman"/>
          <w:color w:val="000000" w:themeColor="text1"/>
          <w:szCs w:val="20"/>
          <w:lang w:bidi="en-GB"/>
        </w:rPr>
        <w:t xml:space="preserve"> </w:t>
      </w:r>
      <w:proofErr w:type="gramStart"/>
      <w:r w:rsidRPr="005101EF">
        <w:rPr>
          <w:rFonts w:eastAsia="Times New Roman"/>
          <w:color w:val="000000" w:themeColor="text1"/>
          <w:szCs w:val="20"/>
          <w:lang w:bidi="en-GB"/>
        </w:rPr>
        <w:t>continue on</w:t>
      </w:r>
      <w:proofErr w:type="gramEnd"/>
      <w:r w:rsidRPr="005101EF">
        <w:rPr>
          <w:rFonts w:eastAsia="Times New Roman"/>
          <w:color w:val="000000" w:themeColor="text1"/>
          <w:szCs w:val="20"/>
          <w:lang w:bidi="en-GB"/>
        </w:rPr>
        <w:t xml:space="preserve"> the expiration date specified herein, the Contractor shall keep the documents until the completion of the above audits, legal proceedings or other verification </w:t>
      </w:r>
      <w:proofErr w:type="gramStart"/>
      <w:r w:rsidRPr="005101EF">
        <w:rPr>
          <w:rFonts w:eastAsia="Times New Roman"/>
          <w:color w:val="000000" w:themeColor="text1"/>
          <w:szCs w:val="20"/>
          <w:lang w:bidi="en-GB"/>
        </w:rPr>
        <w:t>measures;</w:t>
      </w:r>
      <w:proofErr w:type="gramEnd"/>
    </w:p>
    <w:p w14:paraId="4E6BBE3B" w14:textId="77777777" w:rsidR="001F59E2" w:rsidRPr="00941251" w:rsidRDefault="001F59E2" w:rsidP="001F59E2">
      <w:pPr>
        <w:pStyle w:val="NoSpacing"/>
        <w:numPr>
          <w:ilvl w:val="2"/>
          <w:numId w:val="1"/>
        </w:numPr>
        <w:ind w:left="0" w:hanging="567"/>
        <w:rPr>
          <w:color w:val="000000" w:themeColor="text1"/>
          <w:szCs w:val="20"/>
        </w:rPr>
      </w:pPr>
      <w:r w:rsidRPr="00CA6E08">
        <w:rPr>
          <w:rFonts w:eastAsia="Times New Roman"/>
          <w:color w:val="000000" w:themeColor="text1"/>
          <w:szCs w:val="20"/>
          <w:lang w:bidi="en-GB"/>
        </w:rPr>
        <w:t xml:space="preserve">the Contractor shall waive any rights and/or claims and/or complaints against the statutory authorities and competent institutions in relation to the requirements set out in the RSM Plan and shall ensure that such provision is included in the agreements with the </w:t>
      </w:r>
      <w:proofErr w:type="gramStart"/>
      <w:r w:rsidRPr="00CA6E08">
        <w:rPr>
          <w:rFonts w:eastAsia="Times New Roman"/>
          <w:color w:val="000000" w:themeColor="text1"/>
          <w:szCs w:val="20"/>
          <w:lang w:bidi="en-GB"/>
        </w:rPr>
        <w:t>subcontractors;</w:t>
      </w:r>
      <w:proofErr w:type="gramEnd"/>
    </w:p>
    <w:p w14:paraId="2B9211DC" w14:textId="73A56423" w:rsidR="00EC48AB" w:rsidRPr="00CA6E08" w:rsidRDefault="00F822DC" w:rsidP="001F59E2">
      <w:pPr>
        <w:pStyle w:val="NoSpacing"/>
        <w:numPr>
          <w:ilvl w:val="2"/>
          <w:numId w:val="1"/>
        </w:numPr>
        <w:ind w:left="0" w:hanging="567"/>
        <w:rPr>
          <w:color w:val="000000" w:themeColor="text1"/>
          <w:szCs w:val="20"/>
        </w:rPr>
      </w:pPr>
      <w:r w:rsidRPr="00F822DC">
        <w:rPr>
          <w:color w:val="000000" w:themeColor="text1"/>
          <w:szCs w:val="20"/>
        </w:rPr>
        <w:t xml:space="preserve">The Contractor shall ensure the fulfilment of the specified obligations related to the administration and control of the funding granted by the European Union, as well as compliance with the publicity requirements established within the framework of European Union funding under the </w:t>
      </w:r>
      <w:r w:rsidR="00232658">
        <w:rPr>
          <w:color w:val="000000" w:themeColor="text1"/>
          <w:szCs w:val="20"/>
        </w:rPr>
        <w:t>EU FUND</w:t>
      </w:r>
      <w:r w:rsidRPr="00F822DC">
        <w:rPr>
          <w:color w:val="000000" w:themeColor="text1"/>
          <w:szCs w:val="20"/>
        </w:rPr>
        <w:t xml:space="preserve"> (including the communication and design guidelines for the 2021–2027 European Union funds planning period and the Recovery Fund, published on the website of the Central Finance and Contracting Agency, regarding the use of </w:t>
      </w:r>
      <w:r w:rsidR="00232658">
        <w:rPr>
          <w:color w:val="000000" w:themeColor="text1"/>
          <w:szCs w:val="20"/>
        </w:rPr>
        <w:t>EU FUND</w:t>
      </w:r>
      <w:r w:rsidRPr="00F822DC">
        <w:rPr>
          <w:color w:val="000000" w:themeColor="text1"/>
          <w:szCs w:val="20"/>
        </w:rPr>
        <w:t xml:space="preserve"> visual identity), including the correct representation and use of the </w:t>
      </w:r>
      <w:r w:rsidR="00232658">
        <w:rPr>
          <w:color w:val="000000" w:themeColor="text1"/>
          <w:szCs w:val="20"/>
        </w:rPr>
        <w:t>EU FUND</w:t>
      </w:r>
      <w:r w:rsidRPr="00F822DC">
        <w:rPr>
          <w:color w:val="000000" w:themeColor="text1"/>
          <w:szCs w:val="20"/>
        </w:rPr>
        <w:t xml:space="preserve"> symbols in all communication materials related to the implementation of the Agreement, including on physical communication objects. This requirement shall also apply to subcontractors engaged by the Contractor.</w:t>
      </w:r>
    </w:p>
    <w:p w14:paraId="166DC450" w14:textId="2941184B" w:rsidR="001F59E2" w:rsidRPr="00CA6E08" w:rsidRDefault="001F59E2" w:rsidP="001F59E2">
      <w:pPr>
        <w:pStyle w:val="NoSpacing"/>
        <w:numPr>
          <w:ilvl w:val="2"/>
          <w:numId w:val="1"/>
        </w:numPr>
        <w:ind w:left="0" w:hanging="567"/>
        <w:rPr>
          <w:b/>
          <w:smallCaps/>
          <w:color w:val="000000" w:themeColor="text1"/>
          <w:szCs w:val="20"/>
        </w:rPr>
      </w:pPr>
      <w:r w:rsidRPr="00CA6E08">
        <w:rPr>
          <w:rFonts w:eastAsia="Times New Roman"/>
          <w:color w:val="000000" w:themeColor="text1"/>
          <w:szCs w:val="20"/>
          <w:lang w:bidi="en-GB"/>
        </w:rPr>
        <w:t xml:space="preserve">the Contractor shall ensure that the specified obligations related to the administration and control of the funding granted by the European Union, as well as compliance with the publicity requirements set within the framework of the European Union </w:t>
      </w:r>
      <w:r w:rsidR="00232658">
        <w:rPr>
          <w:rFonts w:eastAsia="Times New Roman"/>
          <w:color w:val="000000" w:themeColor="text1"/>
          <w:szCs w:val="20"/>
          <w:lang w:bidi="en-GB"/>
        </w:rPr>
        <w:t>EU FUND</w:t>
      </w:r>
      <w:r w:rsidRPr="00CA6E08">
        <w:rPr>
          <w:rFonts w:eastAsia="Times New Roman"/>
          <w:color w:val="000000" w:themeColor="text1"/>
          <w:szCs w:val="20"/>
          <w:lang w:bidi="en-GB"/>
        </w:rPr>
        <w:t xml:space="preserve">, also apply to the subcontractor engaged by the </w:t>
      </w:r>
      <w:proofErr w:type="gramStart"/>
      <w:r w:rsidRPr="00CA6E08">
        <w:rPr>
          <w:rFonts w:eastAsia="Times New Roman"/>
          <w:color w:val="000000" w:themeColor="text1"/>
          <w:szCs w:val="20"/>
          <w:lang w:bidi="en-GB"/>
        </w:rPr>
        <w:t>Contractor;</w:t>
      </w:r>
      <w:proofErr w:type="gramEnd"/>
    </w:p>
    <w:p w14:paraId="0C10F39A" w14:textId="5DFD93F8" w:rsidR="001F59E2" w:rsidRPr="00CA6E08" w:rsidRDefault="001F59E2" w:rsidP="001F59E2">
      <w:pPr>
        <w:pStyle w:val="NoSpacing"/>
        <w:numPr>
          <w:ilvl w:val="2"/>
          <w:numId w:val="1"/>
        </w:numPr>
        <w:ind w:left="0" w:hanging="567"/>
        <w:rPr>
          <w:b/>
          <w:smallCaps/>
          <w:color w:val="000000" w:themeColor="text1"/>
          <w:szCs w:val="20"/>
        </w:rPr>
      </w:pPr>
      <w:r w:rsidRPr="00CA6E08">
        <w:rPr>
          <w:rFonts w:eastAsia="Times New Roman"/>
          <w:color w:val="000000" w:themeColor="text1"/>
          <w:szCs w:val="20"/>
          <w:lang w:bidi="en-GB"/>
        </w:rPr>
        <w:t xml:space="preserve">in situations where the Customer has given written permission to the Contractor to use information about the Agreement in any conferences, seminars, publications or indicate it in other documents, provide references in procurements, the Contractor shall ensure that these documents or communication include an indication in accordance with the requirements of the </w:t>
      </w:r>
      <w:r w:rsidR="00232658">
        <w:rPr>
          <w:rFonts w:eastAsia="Times New Roman"/>
          <w:color w:val="000000" w:themeColor="text1"/>
          <w:szCs w:val="20"/>
          <w:lang w:bidi="en-GB"/>
        </w:rPr>
        <w:t>EU FUND</w:t>
      </w:r>
      <w:r w:rsidRPr="00CA6E08">
        <w:rPr>
          <w:rFonts w:eastAsia="Times New Roman"/>
          <w:color w:val="000000" w:themeColor="text1"/>
          <w:szCs w:val="20"/>
          <w:lang w:bidi="en-GB"/>
        </w:rPr>
        <w:t xml:space="preserve"> documentation that European Union funding has been attracted for the performance of the Agreement. </w:t>
      </w:r>
      <w:r w:rsidRPr="00CA6E08">
        <w:rPr>
          <w:rFonts w:eastAsia="Times New Roman"/>
          <w:color w:val="000000" w:themeColor="text1"/>
          <w:szCs w:val="20"/>
          <w:lang w:bidi="en-GB"/>
        </w:rPr>
        <w:lastRenderedPageBreak/>
        <w:t xml:space="preserve">The Contractor shall always be responsible for the content of such documents and communication. The statutory authorities and the competent institutions shall only be liable if they have given prior </w:t>
      </w:r>
      <w:proofErr w:type="gramStart"/>
      <w:r w:rsidRPr="00CA6E08">
        <w:rPr>
          <w:rFonts w:eastAsia="Times New Roman"/>
          <w:color w:val="000000" w:themeColor="text1"/>
          <w:szCs w:val="20"/>
          <w:lang w:bidi="en-GB"/>
        </w:rPr>
        <w:t>consent;</w:t>
      </w:r>
      <w:proofErr w:type="gramEnd"/>
    </w:p>
    <w:p w14:paraId="015E19D0" w14:textId="77777777" w:rsidR="001F59E2" w:rsidRPr="00CA6E08" w:rsidRDefault="001F59E2" w:rsidP="001F59E2">
      <w:pPr>
        <w:pStyle w:val="NoSpacing"/>
        <w:numPr>
          <w:ilvl w:val="2"/>
          <w:numId w:val="1"/>
        </w:numPr>
        <w:ind w:left="0" w:hanging="567"/>
        <w:rPr>
          <w:color w:val="000000" w:themeColor="text1"/>
          <w:szCs w:val="20"/>
        </w:rPr>
      </w:pPr>
      <w:r w:rsidRPr="00CA6E08">
        <w:rPr>
          <w:rFonts w:eastAsia="Times New Roman"/>
          <w:color w:val="000000" w:themeColor="text1"/>
          <w:szCs w:val="20"/>
          <w:lang w:bidi="en-GB"/>
        </w:rPr>
        <w:t xml:space="preserve">the Parties agree that the confidentiality clause in this Agreement regarding the use of information in the Agreement shall not apply if the information is requested by statutory authorities and competent institutions in connection with the administration or control of the funding granted by the European </w:t>
      </w:r>
      <w:proofErr w:type="gramStart"/>
      <w:r w:rsidRPr="00CA6E08">
        <w:rPr>
          <w:rFonts w:eastAsia="Times New Roman"/>
          <w:color w:val="000000" w:themeColor="text1"/>
          <w:szCs w:val="20"/>
          <w:lang w:bidi="en-GB"/>
        </w:rPr>
        <w:t>Union;</w:t>
      </w:r>
      <w:proofErr w:type="gramEnd"/>
      <w:r w:rsidRPr="00CA6E08">
        <w:rPr>
          <w:rFonts w:eastAsia="Times New Roman"/>
          <w:color w:val="000000" w:themeColor="text1"/>
          <w:szCs w:val="20"/>
          <w:lang w:bidi="en-GB"/>
        </w:rPr>
        <w:t xml:space="preserve"> </w:t>
      </w:r>
    </w:p>
    <w:p w14:paraId="12110340" w14:textId="77777777" w:rsidR="001F59E2" w:rsidRPr="00CA6E08" w:rsidRDefault="001F59E2" w:rsidP="001F59E2">
      <w:pPr>
        <w:pStyle w:val="NoSpacing"/>
        <w:numPr>
          <w:ilvl w:val="2"/>
          <w:numId w:val="1"/>
        </w:numPr>
        <w:ind w:left="0" w:hanging="567"/>
        <w:rPr>
          <w:color w:val="000000" w:themeColor="text1"/>
          <w:szCs w:val="20"/>
        </w:rPr>
      </w:pPr>
      <w:r w:rsidRPr="00CA6E08">
        <w:rPr>
          <w:rFonts w:eastAsia="Times New Roman"/>
          <w:color w:val="000000" w:themeColor="text1"/>
          <w:szCs w:val="20"/>
          <w:lang w:bidi="en-GB"/>
        </w:rPr>
        <w:t xml:space="preserve">the Parties shall not transfer the data of natural persons obtained from the other Party to third parties without prior consent, except for when required by the statutory authorities and competent institutions in connection with the administration or control of the funding granted by the European </w:t>
      </w:r>
      <w:proofErr w:type="gramStart"/>
      <w:r w:rsidRPr="00CA6E08">
        <w:rPr>
          <w:rFonts w:eastAsia="Times New Roman"/>
          <w:color w:val="000000" w:themeColor="text1"/>
          <w:szCs w:val="20"/>
          <w:lang w:bidi="en-GB"/>
        </w:rPr>
        <w:t>Union;</w:t>
      </w:r>
      <w:proofErr w:type="gramEnd"/>
    </w:p>
    <w:p w14:paraId="31B67B0E" w14:textId="77777777" w:rsidR="001F59E2" w:rsidRPr="00CA6E08" w:rsidRDefault="001F59E2" w:rsidP="001F59E2">
      <w:pPr>
        <w:pStyle w:val="NoSpacing"/>
        <w:numPr>
          <w:ilvl w:val="2"/>
          <w:numId w:val="1"/>
        </w:numPr>
        <w:ind w:left="0" w:hanging="567"/>
        <w:rPr>
          <w:color w:val="000000" w:themeColor="text1"/>
          <w:szCs w:val="20"/>
        </w:rPr>
      </w:pPr>
      <w:r w:rsidRPr="00CA6E08">
        <w:rPr>
          <w:rFonts w:eastAsia="Times New Roman"/>
          <w:color w:val="000000" w:themeColor="text1"/>
          <w:szCs w:val="20"/>
          <w:lang w:bidi="en-GB"/>
        </w:rPr>
        <w:t xml:space="preserve">ensure that the requirements set out in Paragraphs 1.1.1-1.1.10 are also included in the agreements that the candidate/tenderer </w:t>
      </w:r>
      <w:proofErr w:type="gramStart"/>
      <w:r w:rsidRPr="00CA6E08">
        <w:rPr>
          <w:rFonts w:eastAsia="Times New Roman"/>
          <w:color w:val="000000" w:themeColor="text1"/>
          <w:szCs w:val="20"/>
          <w:lang w:bidi="en-GB"/>
        </w:rPr>
        <w:t>enters into</w:t>
      </w:r>
      <w:proofErr w:type="gramEnd"/>
      <w:r w:rsidRPr="00CA6E08">
        <w:rPr>
          <w:rFonts w:eastAsia="Times New Roman"/>
          <w:color w:val="000000" w:themeColor="text1"/>
          <w:szCs w:val="20"/>
          <w:lang w:bidi="en-GB"/>
        </w:rPr>
        <w:t xml:space="preserve"> with subcontractors to ensure the performance of this </w:t>
      </w:r>
      <w:proofErr w:type="gramStart"/>
      <w:r w:rsidRPr="00CA6E08">
        <w:rPr>
          <w:rFonts w:eastAsia="Times New Roman"/>
          <w:color w:val="000000" w:themeColor="text1"/>
          <w:szCs w:val="20"/>
          <w:lang w:bidi="en-GB"/>
        </w:rPr>
        <w:t>Agreement;</w:t>
      </w:r>
      <w:proofErr w:type="gramEnd"/>
    </w:p>
    <w:p w14:paraId="2AA4A51B" w14:textId="185F7AEB" w:rsidR="001F59E2" w:rsidRPr="00E85119" w:rsidRDefault="001F59E2" w:rsidP="001F59E2">
      <w:pPr>
        <w:pStyle w:val="NoSpacing"/>
        <w:numPr>
          <w:ilvl w:val="2"/>
          <w:numId w:val="1"/>
        </w:numPr>
        <w:ind w:left="0" w:hanging="567"/>
        <w:rPr>
          <w:color w:val="000000" w:themeColor="text1"/>
          <w:szCs w:val="20"/>
        </w:rPr>
      </w:pPr>
      <w:r w:rsidRPr="00CA6E08">
        <w:rPr>
          <w:rFonts w:eastAsia="Times New Roman"/>
          <w:color w:val="000000" w:themeColor="text1"/>
          <w:szCs w:val="20"/>
          <w:lang w:bidi="en-GB"/>
        </w:rPr>
        <w:t xml:space="preserve">the Contractor shall indicate the reference to the </w:t>
      </w:r>
      <w:r w:rsidR="00232658">
        <w:rPr>
          <w:rFonts w:eastAsia="Times New Roman"/>
          <w:color w:val="000000" w:themeColor="text1"/>
          <w:szCs w:val="20"/>
          <w:lang w:bidi="en-GB"/>
        </w:rPr>
        <w:t>EU FUND</w:t>
      </w:r>
      <w:r w:rsidRPr="00CA6E08">
        <w:rPr>
          <w:rFonts w:eastAsia="Times New Roman"/>
          <w:color w:val="000000" w:themeColor="text1"/>
          <w:szCs w:val="20"/>
          <w:lang w:bidi="en-GB"/>
        </w:rPr>
        <w:t xml:space="preserve"> project in the deeds of acceptance and invoices in accordance with the Customer's instructions. The Contractor shall separate the deeds of acceptance and invoices for the activities carried out under the </w:t>
      </w:r>
      <w:r w:rsidR="00232658">
        <w:rPr>
          <w:rFonts w:eastAsia="Times New Roman"/>
          <w:color w:val="000000" w:themeColor="text1"/>
          <w:szCs w:val="20"/>
          <w:lang w:bidi="en-GB"/>
        </w:rPr>
        <w:t>EU FUND</w:t>
      </w:r>
      <w:r w:rsidRPr="00CA6E08">
        <w:rPr>
          <w:rFonts w:eastAsia="Times New Roman"/>
          <w:color w:val="000000" w:themeColor="text1"/>
          <w:szCs w:val="20"/>
          <w:lang w:bidi="en-GB"/>
        </w:rPr>
        <w:t xml:space="preserve"> project from other activities, if any.</w:t>
      </w:r>
    </w:p>
    <w:p w14:paraId="095ED707" w14:textId="77777777" w:rsidR="001F59E2" w:rsidRPr="00CA6E08" w:rsidRDefault="001F59E2" w:rsidP="001F59E2">
      <w:pPr>
        <w:pStyle w:val="Level1"/>
        <w:numPr>
          <w:ilvl w:val="1"/>
          <w:numId w:val="1"/>
        </w:numPr>
        <w:ind w:left="0"/>
        <w:rPr>
          <w:color w:val="000000" w:themeColor="text1"/>
          <w:szCs w:val="20"/>
          <w:u w:val="single"/>
        </w:rPr>
      </w:pPr>
      <w:r w:rsidRPr="00CA6E08">
        <w:rPr>
          <w:color w:val="000000" w:themeColor="text1"/>
          <w:szCs w:val="20"/>
          <w:u w:val="single"/>
          <w:lang w:bidi="en-GB"/>
        </w:rPr>
        <w:t>Rights of the Customer:</w:t>
      </w:r>
    </w:p>
    <w:p w14:paraId="166BCF55" w14:textId="231E74A2" w:rsidR="001F59E2" w:rsidRPr="00CA6E08" w:rsidRDefault="001F59E2" w:rsidP="001F59E2">
      <w:pPr>
        <w:pStyle w:val="Level1"/>
        <w:numPr>
          <w:ilvl w:val="2"/>
          <w:numId w:val="1"/>
        </w:numPr>
        <w:ind w:left="-17" w:hanging="550"/>
        <w:rPr>
          <w:color w:val="000000" w:themeColor="text1"/>
          <w:szCs w:val="20"/>
        </w:rPr>
      </w:pPr>
      <w:r w:rsidRPr="00CA6E08">
        <w:rPr>
          <w:color w:val="000000" w:themeColor="text1"/>
          <w:szCs w:val="20"/>
          <w:lang w:bidi="en-GB"/>
        </w:rPr>
        <w:t xml:space="preserve">Within the framework of the Agreement, to draw up the </w:t>
      </w:r>
      <w:r w:rsidR="00232658">
        <w:rPr>
          <w:color w:val="000000" w:themeColor="text1"/>
          <w:szCs w:val="20"/>
          <w:lang w:bidi="en-GB"/>
        </w:rPr>
        <w:t>EU FUND</w:t>
      </w:r>
      <w:r w:rsidRPr="00CA6E08">
        <w:rPr>
          <w:color w:val="000000" w:themeColor="text1"/>
          <w:szCs w:val="20"/>
          <w:lang w:bidi="en-GB"/>
        </w:rPr>
        <w:t xml:space="preserve"> payment and disbursement documents separately, making a reference to the </w:t>
      </w:r>
      <w:r w:rsidR="00232658">
        <w:rPr>
          <w:color w:val="000000" w:themeColor="text1"/>
          <w:szCs w:val="20"/>
          <w:lang w:bidi="en-GB"/>
        </w:rPr>
        <w:t>EU FUND</w:t>
      </w:r>
      <w:r w:rsidRPr="00CA6E08">
        <w:rPr>
          <w:color w:val="000000" w:themeColor="text1"/>
          <w:szCs w:val="20"/>
          <w:lang w:bidi="en-GB"/>
        </w:rPr>
        <w:t>.</w:t>
      </w:r>
    </w:p>
    <w:p w14:paraId="40FDB4AA" w14:textId="77777777" w:rsidR="001F59E2" w:rsidRPr="00CA6E08" w:rsidRDefault="001F59E2" w:rsidP="001F59E2">
      <w:pPr>
        <w:pStyle w:val="Level1"/>
        <w:numPr>
          <w:ilvl w:val="2"/>
          <w:numId w:val="1"/>
        </w:numPr>
        <w:ind w:left="-17" w:hanging="550"/>
        <w:rPr>
          <w:color w:val="000000" w:themeColor="text1"/>
          <w:szCs w:val="20"/>
        </w:rPr>
      </w:pPr>
      <w:r w:rsidRPr="00CA6E08">
        <w:rPr>
          <w:color w:val="000000" w:themeColor="text1"/>
          <w:szCs w:val="20"/>
          <w:lang w:bidi="en-GB"/>
        </w:rPr>
        <w:t>Upon finding violations of the laws and regulations by the Contractor (including a member of its board or council, a beneficial owner, a person entitled to represent or a procurator, or a person authorised to represent the Contractor in activities related to a branch, or a member of a partnership if the Contractor is a partnership) with a significant impact on funding, and/or default of the Agreement, including non-compliance by the Contractor with the provisions of the Agreement and this Annex due to the Contractor's fault (including delays in performance deadlines specified in the Agreement), the Customer may recover damages from the Contractor to compensate damage suffered by the institutions of the European Union, including lost profit and interest, from the date on which the loss occurred until the date on which compensation is paid.</w:t>
      </w:r>
    </w:p>
    <w:p w14:paraId="6008ADDB" w14:textId="77777777" w:rsidR="001F59E2" w:rsidRPr="00CA6E08" w:rsidRDefault="001F59E2" w:rsidP="001F59E2">
      <w:pPr>
        <w:pStyle w:val="Level1"/>
        <w:numPr>
          <w:ilvl w:val="2"/>
          <w:numId w:val="1"/>
        </w:numPr>
        <w:ind w:left="0" w:hanging="550"/>
        <w:rPr>
          <w:color w:val="000000" w:themeColor="text1"/>
          <w:szCs w:val="20"/>
        </w:rPr>
      </w:pPr>
      <w:r w:rsidRPr="00CA6E08">
        <w:rPr>
          <w:color w:val="000000" w:themeColor="text1"/>
          <w:szCs w:val="20"/>
          <w:lang w:bidi="en-GB"/>
        </w:rPr>
        <w:t xml:space="preserve">The Customer may, without </w:t>
      </w:r>
      <w:proofErr w:type="gramStart"/>
      <w:r w:rsidRPr="00CA6E08">
        <w:rPr>
          <w:color w:val="000000" w:themeColor="text1"/>
          <w:szCs w:val="20"/>
          <w:lang w:bidi="en-GB"/>
        </w:rPr>
        <w:t>prior warning</w:t>
      </w:r>
      <w:proofErr w:type="gramEnd"/>
      <w:r w:rsidRPr="00CA6E08">
        <w:rPr>
          <w:color w:val="000000" w:themeColor="text1"/>
          <w:szCs w:val="20"/>
          <w:lang w:bidi="en-GB"/>
        </w:rPr>
        <w:t>, unilaterally amend (including express in new wording) the provisions stipulated in this Annex, if the framework of the laws and regulations changes, in accordance with the framework of the laws and regulations in force. The Customer shall inform the Contractor about the amendments made no later than within 5 (five) working days by sending a notice of the amendments with a new annex to the Agreement to the address and/or e-mail specified in the details of the Agreement. The Customer's notice of amendments with a new annex to the Agreement shall be attached to the Agreement and become an integral part thereof.</w:t>
      </w:r>
    </w:p>
    <w:p w14:paraId="48028B11" w14:textId="77777777" w:rsidR="001F59E2" w:rsidRPr="00CA6E08" w:rsidRDefault="001F59E2" w:rsidP="001F59E2">
      <w:pPr>
        <w:pStyle w:val="Level1"/>
        <w:numPr>
          <w:ilvl w:val="1"/>
          <w:numId w:val="1"/>
        </w:numPr>
        <w:ind w:left="-37"/>
        <w:rPr>
          <w:color w:val="000000" w:themeColor="text1"/>
          <w:szCs w:val="20"/>
        </w:rPr>
      </w:pPr>
      <w:r w:rsidRPr="00CA6E08">
        <w:rPr>
          <w:color w:val="000000" w:themeColor="text1"/>
          <w:szCs w:val="20"/>
          <w:lang w:bidi="en-GB"/>
        </w:rPr>
        <w:t>Any provisions not expressly provided for in this Annex to the Agreement shall be dealt with in accordance with the laws and regulations.</w:t>
      </w:r>
    </w:p>
    <w:p w14:paraId="249DE338" w14:textId="77777777" w:rsidR="001F59E2" w:rsidRPr="00CA6E08" w:rsidRDefault="001F59E2" w:rsidP="001F59E2">
      <w:pPr>
        <w:pStyle w:val="NoSpacing"/>
        <w:numPr>
          <w:ilvl w:val="1"/>
          <w:numId w:val="1"/>
        </w:numPr>
        <w:ind w:left="-37"/>
        <w:rPr>
          <w:color w:val="000000" w:themeColor="text1"/>
          <w:szCs w:val="20"/>
        </w:rPr>
      </w:pPr>
      <w:r w:rsidRPr="00CA6E08">
        <w:rPr>
          <w:rFonts w:eastAsia="Times New Roman"/>
          <w:color w:val="000000" w:themeColor="text1"/>
          <w:szCs w:val="20"/>
          <w:lang w:bidi="en-GB"/>
        </w:rPr>
        <w:t>If one or more provisions of the Annex to this Agreement become invalid or illegal in any way, it shall in no way limit or affect the validity, legality or enforcement of the other provisions of the Annex to this Agreement. In this case, the Parties shall review all possible invalid liabilities in accordance with the laws and regulations.</w:t>
      </w:r>
    </w:p>
    <w:p w14:paraId="58229F3A" w14:textId="77777777" w:rsidR="001F59E2" w:rsidRPr="00CA6E08" w:rsidRDefault="001F59E2" w:rsidP="001F59E2">
      <w:pPr>
        <w:rPr>
          <w:color w:val="000000" w:themeColor="text1"/>
          <w:sz w:val="24"/>
        </w:rPr>
      </w:pPr>
    </w:p>
    <w:p w14:paraId="434363A3" w14:textId="77777777" w:rsidR="001F59E2" w:rsidRPr="00CA6E08" w:rsidRDefault="001F59E2" w:rsidP="001F59E2">
      <w:pPr>
        <w:spacing w:line="240" w:lineRule="auto"/>
        <w:rPr>
          <w:b/>
          <w:bCs/>
          <w:caps/>
          <w:color w:val="000000" w:themeColor="text1"/>
          <w:sz w:val="24"/>
        </w:rPr>
      </w:pPr>
    </w:p>
    <w:p w14:paraId="0B524FD1" w14:textId="77777777" w:rsidR="001F59E2" w:rsidRPr="00CA6E08" w:rsidRDefault="001F59E2" w:rsidP="001F59E2">
      <w:pPr>
        <w:spacing w:line="240" w:lineRule="auto"/>
        <w:jc w:val="right"/>
        <w:rPr>
          <w:color w:val="000000" w:themeColor="text1"/>
        </w:rPr>
      </w:pPr>
    </w:p>
    <w:p w14:paraId="6FCCB21B" w14:textId="77777777" w:rsidR="001F59E2" w:rsidRPr="00CA6E08" w:rsidRDefault="001F59E2" w:rsidP="001F59E2">
      <w:pPr>
        <w:spacing w:line="240" w:lineRule="auto"/>
        <w:rPr>
          <w:color w:val="000000" w:themeColor="text1"/>
        </w:rPr>
      </w:pPr>
    </w:p>
    <w:p w14:paraId="1AD9A3F5" w14:textId="77777777" w:rsidR="001F59E2" w:rsidRPr="00CA6E08" w:rsidRDefault="001F59E2" w:rsidP="001F59E2">
      <w:pPr>
        <w:spacing w:line="240" w:lineRule="auto"/>
        <w:rPr>
          <w:color w:val="000000" w:themeColor="text1"/>
        </w:rPr>
      </w:pPr>
    </w:p>
    <w:p w14:paraId="2F369577" w14:textId="77777777" w:rsidR="001F59E2" w:rsidRDefault="001F59E2"/>
    <w:sectPr w:rsidR="001F59E2" w:rsidSect="001F59E2">
      <w:pgSz w:w="11906" w:h="16838"/>
      <w:pgMar w:top="113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20537"/>
    <w:multiLevelType w:val="multilevel"/>
    <w:tmpl w:val="73E20B54"/>
    <w:lvl w:ilvl="0">
      <w:start w:val="1"/>
      <w:numFmt w:val="decimal"/>
      <w:lvlText w:val="%1."/>
      <w:lvlJc w:val="left"/>
      <w:pPr>
        <w:ind w:left="360" w:hanging="360"/>
      </w:pPr>
      <w:rPr>
        <w:rFonts w:hint="default"/>
        <w:color w:val="000000"/>
      </w:rPr>
    </w:lvl>
    <w:lvl w:ilvl="1">
      <w:start w:val="1"/>
      <w:numFmt w:val="decimal"/>
      <w:lvlText w:val="%1.%2."/>
      <w:lvlJc w:val="left"/>
      <w:pPr>
        <w:ind w:left="1210" w:hanging="360"/>
      </w:pPr>
      <w:rPr>
        <w:rFonts w:ascii="Times New Roman" w:hAnsi="Times New Roman" w:cs="Times New Roman" w:hint="default"/>
        <w:color w:val="000000"/>
        <w:sz w:val="20"/>
        <w:szCs w:val="20"/>
      </w:rPr>
    </w:lvl>
    <w:lvl w:ilvl="2">
      <w:start w:val="1"/>
      <w:numFmt w:val="decimal"/>
      <w:lvlText w:val="%1.%2.%3."/>
      <w:lvlJc w:val="left"/>
      <w:pPr>
        <w:ind w:left="1570" w:hanging="720"/>
      </w:pPr>
      <w:rPr>
        <w:rFonts w:hint="default"/>
        <w:b w:val="0"/>
        <w:bCs/>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2778" w:hanging="108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3704" w:hanging="1440"/>
      </w:pPr>
      <w:rPr>
        <w:rFonts w:hint="default"/>
        <w:color w:val="000000"/>
      </w:rPr>
    </w:lvl>
  </w:abstractNum>
  <w:num w:numId="1" w16cid:durableId="123043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9E2"/>
    <w:rsid w:val="00084316"/>
    <w:rsid w:val="000D2104"/>
    <w:rsid w:val="000F0DA4"/>
    <w:rsid w:val="000F42B7"/>
    <w:rsid w:val="00112908"/>
    <w:rsid w:val="001F59E2"/>
    <w:rsid w:val="00226FF2"/>
    <w:rsid w:val="00232658"/>
    <w:rsid w:val="0025403C"/>
    <w:rsid w:val="00281591"/>
    <w:rsid w:val="00363A4C"/>
    <w:rsid w:val="003A02B5"/>
    <w:rsid w:val="00400DD2"/>
    <w:rsid w:val="004230A3"/>
    <w:rsid w:val="005101EF"/>
    <w:rsid w:val="007D4872"/>
    <w:rsid w:val="00833DFF"/>
    <w:rsid w:val="00855F3D"/>
    <w:rsid w:val="008E6FFE"/>
    <w:rsid w:val="00941251"/>
    <w:rsid w:val="00A64FAF"/>
    <w:rsid w:val="00B15DF8"/>
    <w:rsid w:val="00B4528C"/>
    <w:rsid w:val="00B52E0F"/>
    <w:rsid w:val="00C16BB7"/>
    <w:rsid w:val="00C34487"/>
    <w:rsid w:val="00C77997"/>
    <w:rsid w:val="00C904B2"/>
    <w:rsid w:val="00D36BE5"/>
    <w:rsid w:val="00E85119"/>
    <w:rsid w:val="00EC48AB"/>
    <w:rsid w:val="00F3057D"/>
    <w:rsid w:val="00F822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0A740"/>
  <w15:chartTrackingRefBased/>
  <w15:docId w15:val="{B536E794-25EF-42A8-84C1-B25F46CAC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9E2"/>
    <w:pPr>
      <w:spacing w:after="120" w:line="276" w:lineRule="auto"/>
      <w:jc w:val="both"/>
    </w:pPr>
    <w:rPr>
      <w:rFonts w:ascii="Times New Roman" w:hAnsi="Times New Roman" w:cs="Times New Roman"/>
      <w:kern w:val="0"/>
      <w:sz w:val="20"/>
      <w:lang w:val="en-GB"/>
      <w14:ligatures w14:val="none"/>
    </w:rPr>
  </w:style>
  <w:style w:type="paragraph" w:styleId="Heading1">
    <w:name w:val="heading 1"/>
    <w:basedOn w:val="Normal"/>
    <w:next w:val="Normal"/>
    <w:link w:val="Heading1Char"/>
    <w:uiPriority w:val="9"/>
    <w:qFormat/>
    <w:rsid w:val="001F5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F5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5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5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5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59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9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9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9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5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5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5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5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5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9E2"/>
    <w:rPr>
      <w:rFonts w:eastAsiaTheme="majorEastAsia" w:cstheme="majorBidi"/>
      <w:color w:val="272727" w:themeColor="text1" w:themeTint="D8"/>
    </w:rPr>
  </w:style>
  <w:style w:type="paragraph" w:styleId="Title">
    <w:name w:val="Title"/>
    <w:basedOn w:val="Normal"/>
    <w:next w:val="Normal"/>
    <w:link w:val="TitleChar"/>
    <w:uiPriority w:val="10"/>
    <w:qFormat/>
    <w:rsid w:val="001F5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9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9E2"/>
    <w:pPr>
      <w:spacing w:before="160"/>
      <w:jc w:val="center"/>
    </w:pPr>
    <w:rPr>
      <w:i/>
      <w:iCs/>
      <w:color w:val="404040" w:themeColor="text1" w:themeTint="BF"/>
    </w:rPr>
  </w:style>
  <w:style w:type="character" w:customStyle="1" w:styleId="QuoteChar">
    <w:name w:val="Quote Char"/>
    <w:basedOn w:val="DefaultParagraphFont"/>
    <w:link w:val="Quote"/>
    <w:uiPriority w:val="29"/>
    <w:rsid w:val="001F59E2"/>
    <w:rPr>
      <w:i/>
      <w:iCs/>
      <w:color w:val="404040" w:themeColor="text1" w:themeTint="BF"/>
    </w:rPr>
  </w:style>
  <w:style w:type="paragraph" w:styleId="ListParagraph">
    <w:name w:val="List Paragraph"/>
    <w:basedOn w:val="Normal"/>
    <w:uiPriority w:val="34"/>
    <w:qFormat/>
    <w:rsid w:val="001F59E2"/>
    <w:pPr>
      <w:ind w:left="720"/>
      <w:contextualSpacing/>
    </w:pPr>
  </w:style>
  <w:style w:type="character" w:styleId="IntenseEmphasis">
    <w:name w:val="Intense Emphasis"/>
    <w:basedOn w:val="DefaultParagraphFont"/>
    <w:uiPriority w:val="21"/>
    <w:qFormat/>
    <w:rsid w:val="001F59E2"/>
    <w:rPr>
      <w:i/>
      <w:iCs/>
      <w:color w:val="0F4761" w:themeColor="accent1" w:themeShade="BF"/>
    </w:rPr>
  </w:style>
  <w:style w:type="paragraph" w:styleId="IntenseQuote">
    <w:name w:val="Intense Quote"/>
    <w:basedOn w:val="Normal"/>
    <w:next w:val="Normal"/>
    <w:link w:val="IntenseQuoteChar"/>
    <w:uiPriority w:val="30"/>
    <w:qFormat/>
    <w:rsid w:val="001F5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59E2"/>
    <w:rPr>
      <w:i/>
      <w:iCs/>
      <w:color w:val="0F4761" w:themeColor="accent1" w:themeShade="BF"/>
    </w:rPr>
  </w:style>
  <w:style w:type="character" w:styleId="IntenseReference">
    <w:name w:val="Intense Reference"/>
    <w:basedOn w:val="DefaultParagraphFont"/>
    <w:uiPriority w:val="32"/>
    <w:qFormat/>
    <w:rsid w:val="001F59E2"/>
    <w:rPr>
      <w:b/>
      <w:bCs/>
      <w:smallCaps/>
      <w:color w:val="0F4761" w:themeColor="accent1" w:themeShade="BF"/>
      <w:spacing w:val="5"/>
    </w:rPr>
  </w:style>
  <w:style w:type="paragraph" w:styleId="NoSpacing">
    <w:name w:val="No Spacing"/>
    <w:basedOn w:val="Normal"/>
    <w:uiPriority w:val="1"/>
    <w:qFormat/>
    <w:rsid w:val="001F59E2"/>
    <w:pPr>
      <w:spacing w:after="0" w:line="240" w:lineRule="auto"/>
    </w:pPr>
  </w:style>
  <w:style w:type="paragraph" w:customStyle="1" w:styleId="Level1">
    <w:name w:val="Level 1"/>
    <w:basedOn w:val="Normal"/>
    <w:qFormat/>
    <w:rsid w:val="001F59E2"/>
    <w:pPr>
      <w:spacing w:after="60" w:line="240" w:lineRule="auto"/>
      <w:ind w:left="709" w:hanging="709"/>
    </w:pPr>
  </w:style>
  <w:style w:type="paragraph" w:customStyle="1" w:styleId="Level2">
    <w:name w:val="Level 2"/>
    <w:basedOn w:val="Level1"/>
    <w:qFormat/>
    <w:rsid w:val="001F59E2"/>
    <w:pPr>
      <w:ind w:left="1418"/>
      <w:contextualSpacing/>
    </w:pPr>
  </w:style>
  <w:style w:type="paragraph" w:customStyle="1" w:styleId="Level3">
    <w:name w:val="Level 3"/>
    <w:basedOn w:val="Level2"/>
    <w:qFormat/>
    <w:rsid w:val="001F59E2"/>
    <w:pPr>
      <w:ind w:left="1843" w:hanging="425"/>
    </w:pPr>
    <w:rPr>
      <w:lang w:eastAsia="lv-LV"/>
    </w:rPr>
  </w:style>
  <w:style w:type="paragraph" w:styleId="Revision">
    <w:name w:val="Revision"/>
    <w:hidden/>
    <w:uiPriority w:val="99"/>
    <w:semiHidden/>
    <w:rsid w:val="00EC48AB"/>
    <w:pPr>
      <w:spacing w:after="0" w:line="240" w:lineRule="auto"/>
    </w:pPr>
    <w:rPr>
      <w:rFonts w:ascii="Times New Roman" w:hAnsi="Times New Roman" w:cs="Times New Roman"/>
      <w:kern w:val="0"/>
      <w:sz w:val="20"/>
      <w:lang w:val="en-GB"/>
      <w14:ligatures w14:val="none"/>
    </w:rPr>
  </w:style>
  <w:style w:type="character" w:styleId="CommentReference">
    <w:name w:val="annotation reference"/>
    <w:basedOn w:val="DefaultParagraphFont"/>
    <w:uiPriority w:val="99"/>
    <w:semiHidden/>
    <w:unhideWhenUsed/>
    <w:rsid w:val="005101EF"/>
    <w:rPr>
      <w:sz w:val="16"/>
      <w:szCs w:val="16"/>
    </w:rPr>
  </w:style>
  <w:style w:type="paragraph" w:styleId="CommentText">
    <w:name w:val="annotation text"/>
    <w:basedOn w:val="Normal"/>
    <w:link w:val="CommentTextChar"/>
    <w:uiPriority w:val="99"/>
    <w:unhideWhenUsed/>
    <w:rsid w:val="005101EF"/>
    <w:pPr>
      <w:spacing w:line="240" w:lineRule="auto"/>
    </w:pPr>
    <w:rPr>
      <w:szCs w:val="20"/>
    </w:rPr>
  </w:style>
  <w:style w:type="character" w:customStyle="1" w:styleId="CommentTextChar">
    <w:name w:val="Comment Text Char"/>
    <w:basedOn w:val="DefaultParagraphFont"/>
    <w:link w:val="CommentText"/>
    <w:uiPriority w:val="99"/>
    <w:rsid w:val="005101EF"/>
    <w:rPr>
      <w:rFonts w:ascii="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5101EF"/>
    <w:rPr>
      <w:b/>
      <w:bCs/>
    </w:rPr>
  </w:style>
  <w:style w:type="character" w:customStyle="1" w:styleId="CommentSubjectChar">
    <w:name w:val="Comment Subject Char"/>
    <w:basedOn w:val="CommentTextChar"/>
    <w:link w:val="CommentSubject"/>
    <w:uiPriority w:val="99"/>
    <w:semiHidden/>
    <w:rsid w:val="005101EF"/>
    <w:rPr>
      <w:rFonts w:ascii="Times New Roman" w:hAnsi="Times New Roman" w:cs="Times New Roman"/>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C4E36-C810-42E9-9C95-AE7E95F51C82}">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Normal.dotm</Template>
  <TotalTime>34</TotalTime>
  <Pages>2</Pages>
  <Words>5747</Words>
  <Characters>3277</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AS Latvenergo</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Krone</dc:creator>
  <cp:keywords/>
  <dc:description/>
  <cp:lastModifiedBy>Mārtiņš Leimanis</cp:lastModifiedBy>
  <cp:revision>11</cp:revision>
  <dcterms:created xsi:type="dcterms:W3CDTF">2026-03-17T09:44:00Z</dcterms:created>
  <dcterms:modified xsi:type="dcterms:W3CDTF">2026-04-30T14:11:00Z</dcterms:modified>
</cp:coreProperties>
</file>