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ADC" w:rsidRDefault="007B3E95" w:rsidP="007B3E95">
      <w:pPr>
        <w:jc w:val="center"/>
      </w:pPr>
      <w:r>
        <w:t>Atbildes uz jautājumiem</w:t>
      </w:r>
      <w:r w:rsidR="00C663C2">
        <w:t>_3</w:t>
      </w:r>
    </w:p>
    <w:p w:rsidR="007B3E95" w:rsidRDefault="007B3E95" w:rsidP="007B3E95">
      <w:pPr>
        <w:jc w:val="center"/>
      </w:pPr>
    </w:p>
    <w:p w:rsidR="007B3E95" w:rsidRDefault="007B3E95" w:rsidP="007B3E95">
      <w:pPr>
        <w:spacing w:line="276" w:lineRule="auto"/>
        <w:jc w:val="center"/>
        <w:rPr>
          <w:i/>
        </w:rPr>
      </w:pPr>
      <w:r>
        <w:rPr>
          <w:i/>
        </w:rPr>
        <w:t>“</w:t>
      </w:r>
      <w:r w:rsidRPr="008E2B3F">
        <w:rPr>
          <w:i/>
        </w:rPr>
        <w:t>Objekta “Mobilitātes un sabiedriskā transporta savienojumu punkta attīstība Pārbrauktuves ielā 2, Ikšķilē, Ogres novadā” projektēšana, autoruzraudzība un būvniecība</w:t>
      </w:r>
      <w:r w:rsidRPr="00D77D49">
        <w:rPr>
          <w:i/>
        </w:rPr>
        <w:t>"</w:t>
      </w:r>
    </w:p>
    <w:p w:rsidR="007B3E95" w:rsidRDefault="007B3E95" w:rsidP="007B3E95">
      <w:pPr>
        <w:spacing w:line="276" w:lineRule="auto"/>
        <w:jc w:val="center"/>
        <w:rPr>
          <w:i/>
        </w:rPr>
      </w:pPr>
      <w:r w:rsidRPr="00D77D49">
        <w:rPr>
          <w:i/>
        </w:rPr>
        <w:t xml:space="preserve"> (ID Nr</w:t>
      </w:r>
      <w:r>
        <w:rPr>
          <w:i/>
        </w:rPr>
        <w:t>.</w:t>
      </w:r>
      <w:r>
        <w:t xml:space="preserve"> </w:t>
      </w:r>
      <w:r w:rsidRPr="004D17DF">
        <w:rPr>
          <w:i/>
        </w:rPr>
        <w:t>ONP 2026/</w:t>
      </w:r>
      <w:r>
        <w:rPr>
          <w:i/>
        </w:rPr>
        <w:t>75</w:t>
      </w:r>
      <w:r w:rsidRPr="00D77D49">
        <w:rPr>
          <w:i/>
        </w:rPr>
        <w:t>)</w:t>
      </w:r>
    </w:p>
    <w:p w:rsidR="007B3E95" w:rsidRDefault="007B3E95" w:rsidP="007B3E95">
      <w:pPr>
        <w:spacing w:line="276" w:lineRule="auto"/>
        <w:jc w:val="center"/>
        <w:rPr>
          <w:i/>
        </w:rPr>
      </w:pPr>
    </w:p>
    <w:p w:rsidR="007B3E95" w:rsidRDefault="00225D81" w:rsidP="007B3E95">
      <w:pPr>
        <w:spacing w:line="276" w:lineRule="auto"/>
        <w:jc w:val="center"/>
        <w:rPr>
          <w:i/>
        </w:rPr>
      </w:pPr>
      <w:r>
        <w:rPr>
          <w:i/>
        </w:rPr>
        <w:t xml:space="preserve">Iepirkumu komisijas </w:t>
      </w:r>
      <w:r>
        <w:rPr>
          <w:i/>
        </w:rPr>
        <w:t>21.08.2026.</w:t>
      </w:r>
      <w:r>
        <w:rPr>
          <w:i/>
        </w:rPr>
        <w:t xml:space="preserve"> </w:t>
      </w:r>
      <w:r>
        <w:rPr>
          <w:i/>
        </w:rPr>
        <w:t>sēdes</w:t>
      </w:r>
      <w:r>
        <w:rPr>
          <w:i/>
        </w:rPr>
        <w:t xml:space="preserve"> </w:t>
      </w:r>
      <w:r w:rsidR="007B3E95">
        <w:rPr>
          <w:i/>
        </w:rPr>
        <w:t>Protokols</w:t>
      </w:r>
      <w:r>
        <w:rPr>
          <w:i/>
        </w:rPr>
        <w:t xml:space="preserve"> Nr.3</w:t>
      </w:r>
      <w:r w:rsidR="007B3E95">
        <w:rPr>
          <w:i/>
        </w:rPr>
        <w:t xml:space="preserve"> </w:t>
      </w:r>
      <w:bookmarkStart w:id="0" w:name="_GoBack"/>
      <w:bookmarkEnd w:id="0"/>
    </w:p>
    <w:p w:rsidR="007B3E95" w:rsidRDefault="007B3E95"/>
    <w:p w:rsidR="007B3E95" w:rsidRDefault="007B3E95" w:rsidP="007B3E95">
      <w:pPr>
        <w:spacing w:line="276" w:lineRule="auto"/>
        <w:jc w:val="both"/>
      </w:pPr>
      <w:r>
        <w:t>Jautājumi:</w:t>
      </w:r>
    </w:p>
    <w:p w:rsidR="007B3E95" w:rsidRDefault="007B3E95" w:rsidP="007B3E95">
      <w:pPr>
        <w:spacing w:after="90"/>
      </w:pPr>
    </w:p>
    <w:p w:rsidR="007B3E95" w:rsidRPr="00BB2C4B" w:rsidRDefault="007B3E95" w:rsidP="007B3E95">
      <w:pPr>
        <w:numPr>
          <w:ilvl w:val="0"/>
          <w:numId w:val="1"/>
        </w:numPr>
        <w:spacing w:line="300" w:lineRule="auto"/>
        <w:jc w:val="both"/>
      </w:pPr>
      <w:r w:rsidRPr="00BB2C4B">
        <w:t>Tehniskās specifikācijas 3. punkts paredz, ka piedāvājumā jāiekļauj “Pazemes un virszemes komunikāciju (caurules, skatakas, kabeļi, apgaismojuma elementi, videonovērošanas iekārtas u.c.) inženiertehniskie aprēķini un piedāvāto materiālu ražotāji un iespējamie modeļi”, tai skaitā attiecībā uz: iespējamu esošo apgaismojuma balstu pārcelšanu Ezera un Līvu ielā sakarā ar brauktuves paplašināšanu (3.a un 3.f apakšpunkts); esošo pazemes/virszemes komunikāciju pārbūvi un/vai aizsardzību, tai skaitā LDz komunikāciju kabeļa aizsardzību, kuru “noteiks tehnisko noteikumu izdevēji būvprojekta izstrādes laikā” (3.b apakšpunkts); videonovērošanas risinājumu (3.c apakšpunkts); ūdensvada izbūvi (3.d apakšpunkts); un sadzīves kanalizācijas pārbūvi, par kuru “detalizētākas norādes sniegs tehnisko noteikumu izdevējs” (3.e apakšpunkts).</w:t>
      </w:r>
    </w:p>
    <w:p w:rsidR="007B3E95" w:rsidRDefault="007B3E95" w:rsidP="007B3E95">
      <w:pPr>
        <w:spacing w:after="160" w:line="300" w:lineRule="auto"/>
        <w:ind w:left="720" w:firstLine="720"/>
        <w:jc w:val="both"/>
      </w:pPr>
      <w:r w:rsidRPr="00BB2C4B">
        <w:t>Lūdzam skaidrot, ko Pasūtītājs šī punkta izpratnē saprot ar jēdzienu “inženiertehniskie aprēķini” – ņemot vērā, ka minētie risinājumi lielākoties jebkurā gadījumā jāizvēlas atbilstoši Pasūtītāja prasībām, spēkā esošajiem būvnormatīviem un standartiem, nevis pretendenta brīvi izraudzītiem parametriem, un ka daļa no šiem risinājumiem (3.b un 3.e apakšpunkts) pēc paša Tehniskās specifikācijas teksta tiks galīgi noteikti tikai vēlāk, būvprojekta izstrādes laikā, saņemot tehniskos noteikumus no attiecīgajām institūcijām un tīklu īpašniekiem.</w:t>
      </w:r>
    </w:p>
    <w:p w:rsidR="001F1557" w:rsidRPr="001F1557" w:rsidRDefault="007B3E95" w:rsidP="001F1557">
      <w:pPr>
        <w:pStyle w:val="isselectedend"/>
        <w:jc w:val="both"/>
        <w:rPr>
          <w:color w:val="FF0000"/>
        </w:rPr>
      </w:pPr>
      <w:r w:rsidRPr="00E57A61">
        <w:rPr>
          <w:color w:val="FF0000"/>
          <w:u w:val="single"/>
        </w:rPr>
        <w:t>Atbilde</w:t>
      </w:r>
      <w:r w:rsidR="00E57A61" w:rsidRPr="00E57A61">
        <w:rPr>
          <w:color w:val="FF0000"/>
          <w:u w:val="single"/>
        </w:rPr>
        <w:t>:</w:t>
      </w:r>
      <w:r w:rsidR="00E57A61">
        <w:rPr>
          <w:color w:val="FF0000"/>
        </w:rPr>
        <w:t xml:space="preserve"> </w:t>
      </w:r>
      <w:r w:rsidR="001F1557" w:rsidRPr="001F1557">
        <w:rPr>
          <w:color w:val="FF0000"/>
        </w:rPr>
        <w:t>Piedāvājuma sastāvā pretendentam jāiesniedz inženiertehnisko risinājumu pamatojums un aprēķini tādā apjomā, lai būtu iespējams novērtēt piedāvātā risinājuma atbilstību Tehniskās specifikācijas prasībām, tā tehnisko iespējamību un galvenos tehniskos parametrus.</w:t>
      </w:r>
    </w:p>
    <w:p w:rsidR="001F1557" w:rsidRPr="001F1557" w:rsidRDefault="001F1557" w:rsidP="001F1557">
      <w:pPr>
        <w:pStyle w:val="isselectedend"/>
        <w:jc w:val="both"/>
        <w:rPr>
          <w:color w:val="FF0000"/>
        </w:rPr>
      </w:pPr>
      <w:r w:rsidRPr="001F1557">
        <w:rPr>
          <w:color w:val="FF0000"/>
        </w:rPr>
        <w:t>Piedāvājums sagatavojams, ņemot vērā Pasūtītāja sniegto informāciju, publiski pieejamo informāciju un objekta apsekošanas un esošās situācijas izvērtēšanas rezultātus.</w:t>
      </w:r>
    </w:p>
    <w:p w:rsidR="001F1557" w:rsidRPr="001F1557" w:rsidRDefault="001F1557" w:rsidP="001F1557">
      <w:pPr>
        <w:pStyle w:val="Paraststmeklis"/>
        <w:jc w:val="both"/>
        <w:rPr>
          <w:color w:val="FF0000"/>
        </w:rPr>
      </w:pPr>
      <w:r w:rsidRPr="001F1557">
        <w:rPr>
          <w:color w:val="FF0000"/>
        </w:rPr>
        <w:t>Piedāvājuma stadijā nav nepieciešams izstrādāt būvprojekta detalizācijas pakāpei atbilstošus gala aprēķinus. Risinājumi, kuru precīza noteikšana ir atkarīga no tehniskajiem noteikumiem, izpētes datiem vai citiem projektēšanas laikā iegūstamiem datiem, precizējami un galīgi izstrādājami būvprojekta izstrādes laikā</w:t>
      </w:r>
      <w:r>
        <w:rPr>
          <w:color w:val="FF0000"/>
        </w:rPr>
        <w:t>.</w:t>
      </w:r>
    </w:p>
    <w:p w:rsidR="007B3E95" w:rsidRPr="00BB2C4B" w:rsidRDefault="007B3E95" w:rsidP="001F1557">
      <w:pPr>
        <w:pStyle w:val="isselectedend"/>
        <w:jc w:val="both"/>
      </w:pPr>
    </w:p>
    <w:p w:rsidR="007B3E95" w:rsidRDefault="007B3E95" w:rsidP="007B3E95">
      <w:pPr>
        <w:numPr>
          <w:ilvl w:val="0"/>
          <w:numId w:val="1"/>
        </w:numPr>
        <w:spacing w:after="160" w:line="300" w:lineRule="auto"/>
        <w:jc w:val="both"/>
      </w:pPr>
      <w:r w:rsidRPr="00BB2C4B">
        <w:t xml:space="preserve">Tehniskās specifikācijas 4. punkts – “Līdzstrāvas uzlādes stacijas izvēlnes aprēķins un ražotājs” jau paredz vairākus noteicošos parametrus: viena uzlādes stacija ar paredzamo </w:t>
      </w:r>
      <w:r w:rsidRPr="00BB2C4B">
        <w:lastRenderedPageBreak/>
        <w:t>jaudu līdz 11 kW, paredzamais apsaimniekotājs (AS “Sadales tīkls” vai AS “Latvenergo”) un aptuvenā atrašanās vieta (pie esošā laukuma stāvvietām, pārveidojot divas esošās stāvvietas). Vienlaikus precīza pieslēguma vieta būs nosakāma tikai būvprojekta izstrādes laikā. Ņemot vērā, ka noteicošie parametri (jauda, apsaimniekotājs, aptuvenā atrašanās vieta) jau ir doti pašā Tehniskajā specifikācijā, lūdzam skaidrot, kāds papildu aprēķins (nevis tikai ražotāja un modeļa izvēle) šī punkta ietvaros tiek sagaidīts piedāvājuma stadijā?</w:t>
      </w:r>
    </w:p>
    <w:p w:rsidR="007B3E95" w:rsidRDefault="007B3E95" w:rsidP="007B3E95">
      <w:pPr>
        <w:spacing w:after="160" w:line="300" w:lineRule="auto"/>
        <w:ind w:left="720"/>
        <w:jc w:val="both"/>
      </w:pPr>
    </w:p>
    <w:p w:rsidR="001F1557" w:rsidRPr="001F1557" w:rsidRDefault="007B3E95" w:rsidP="001F1557">
      <w:pPr>
        <w:pStyle w:val="isselectedend"/>
        <w:jc w:val="both"/>
        <w:rPr>
          <w:color w:val="FF0000"/>
        </w:rPr>
      </w:pPr>
      <w:r w:rsidRPr="001F1557">
        <w:rPr>
          <w:color w:val="FF0000"/>
          <w:u w:val="single"/>
        </w:rPr>
        <w:t>Atbilde</w:t>
      </w:r>
      <w:r w:rsidR="007E3C16" w:rsidRPr="001F1557">
        <w:rPr>
          <w:u w:val="single"/>
        </w:rPr>
        <w:t xml:space="preserve">: </w:t>
      </w:r>
      <w:r w:rsidR="001F1557" w:rsidRPr="001F1557">
        <w:rPr>
          <w:color w:val="FF0000"/>
        </w:rPr>
        <w:t>Piedāvājuma sastāvā pretendentam jānorāda izvēlētās līdzstrāvas uzlādes stacijas ražotājs, modelis un galvenie tehniskie parametri, kā arī jāsniedz izvēlētā risinājuma tehniskais pamatojums, ņemot vērā Tehniskās specifikācijas prasības, Pasūtītāja sniegto un publiski pieejamo informāciju, kā arī objekta apsekošanas rezultātus.</w:t>
      </w:r>
    </w:p>
    <w:p w:rsidR="001F1557" w:rsidRPr="001F1557" w:rsidRDefault="001F1557" w:rsidP="001F1557">
      <w:pPr>
        <w:pStyle w:val="isselectedend"/>
        <w:jc w:val="both"/>
        <w:rPr>
          <w:color w:val="FF0000"/>
        </w:rPr>
      </w:pPr>
      <w:r w:rsidRPr="001F1557">
        <w:rPr>
          <w:color w:val="FF0000"/>
        </w:rPr>
        <w:t>Piedāvājuma stadijā nav nepieciešams noteikt precīzu elektrotīkla pieslēguma vietu vai izstrādāt gala elektropieslēguma risinājumu. Precīzs pieslēguma risinājums un nepieciešamie aprēķini precizējami būvprojekta izstrādes laikā atbilstoši faktiskajai situācijai, tehniskajiem noteikumiem un tīkla operatora prasībām.</w:t>
      </w:r>
    </w:p>
    <w:p w:rsidR="007B3E95" w:rsidRPr="00EC00D1" w:rsidRDefault="001F1557" w:rsidP="00EC00D1">
      <w:pPr>
        <w:pStyle w:val="Paraststmeklis"/>
        <w:jc w:val="both"/>
        <w:rPr>
          <w:color w:val="FF0000"/>
        </w:rPr>
      </w:pPr>
      <w:r w:rsidRPr="001F1557">
        <w:rPr>
          <w:color w:val="FF0000"/>
        </w:rPr>
        <w:t>Ar “izvēles aprēķinu” šī punkta izpratnē saprotams izvēlētās uzlādes stacijas tehniskais pamatojums un atbilstība Tehniskās specifikācijas noteiktajai jaudai un paredzētajai funkcijai.</w:t>
      </w:r>
    </w:p>
    <w:p w:rsidR="007B3E95" w:rsidRPr="00BB2C4B" w:rsidRDefault="007B3E95" w:rsidP="007B3E95">
      <w:pPr>
        <w:spacing w:after="160" w:line="300" w:lineRule="auto"/>
        <w:jc w:val="both"/>
      </w:pPr>
    </w:p>
    <w:p w:rsidR="007B3E95" w:rsidRPr="00BB2C4B" w:rsidRDefault="007B3E95" w:rsidP="007B3E95">
      <w:pPr>
        <w:numPr>
          <w:ilvl w:val="0"/>
          <w:numId w:val="1"/>
        </w:numPr>
        <w:spacing w:line="300" w:lineRule="auto"/>
        <w:jc w:val="both"/>
      </w:pPr>
      <w:r w:rsidRPr="00BB2C4B">
        <w:t>Tehniskās specifikācijas 5. punkta – “Ceļa (ielas) un laukumu izbūves inženiertehniskie aprēķini un vizualizācija topogrāfiskajā plānā” 5.b apakšpunktā tiešā tekstā norādīts, ka Pasūtītājam nav pieejami ģeoloģiskās izpētes dati un ka visas nepieciešamās izpētes veic Izpildītājs (pēc līguma noslēgšanas), bet 5.c apakšpunktā – ka arī topogrāfiskā izpēte ir Izpildītāja pienākums, kas jāveic būvprojekta izstrādes laikā, un ka piedāvājuma sagatavošanai Pasūtītājs vienīgi iesaka izmantot publiski pieejamo informāciju no vietnes topografija.lv.</w:t>
      </w:r>
    </w:p>
    <w:p w:rsidR="007B3E95" w:rsidRPr="00BB2C4B" w:rsidRDefault="007B3E95" w:rsidP="007B3E95">
      <w:pPr>
        <w:spacing w:line="300" w:lineRule="auto"/>
        <w:ind w:left="720"/>
        <w:jc w:val="both"/>
      </w:pPr>
      <w:r w:rsidRPr="00BB2C4B">
        <w:t xml:space="preserve">Ceļa seguma konstrukcijas (segas) kārtu un biezumu aprēķins pēc vispārpieņemtas inženierprakses un attiecīgajiem būvnormatīviem tiek balstīts uz diviem pamatparametriem: (i) zemes klātnes nestspēju un citiem ģeotehniskajiem rādītājiem un (ii) paredzamo satiksmes intensitāti un sastāvu (satiksmes noslogojuma kategoriju). Kā jau minēts, ģeoloģiskās izpētes dati piedāvājuma sagatavošanas brīdī nav pieejami nevienai no pusēm. Vienlaikus arī ticami dati par satiksmes intensitāti nav iegūstami – esošā (pirms-projekta) intensitāte neatspoguļo situāciju pēc Objekta izbūves, jo tieši šī Iepirkuma mērķis ir izveidot mobilitātes un sabiedriskā transporta savienojumu punktu, kas pats par sevi maina esošo satiksmes plūsmu. Savukārt nākotnes  plānoto satiksmes intensitāti Pasūtītājs nav sniedzis. Tādējādi piedāvājuma sagatavošanas brīdī pretendentam nav pieejams neviens no abiem segas konstrukcijas aprēķina pamatparametriem – ne ģeotehniskie dati, ne ticama plānotā satiksmes intensitāte. </w:t>
      </w:r>
    </w:p>
    <w:p w:rsidR="007B3E95" w:rsidRDefault="007B3E95" w:rsidP="007B3E95">
      <w:pPr>
        <w:spacing w:after="160" w:line="300" w:lineRule="auto"/>
        <w:ind w:left="720" w:firstLine="720"/>
        <w:jc w:val="both"/>
      </w:pPr>
      <w:r w:rsidRPr="00BB2C4B">
        <w:lastRenderedPageBreak/>
        <w:t xml:space="preserve">Līdz ar to, </w:t>
      </w:r>
      <w:r>
        <w:t xml:space="preserve">kādus inženiertehniskos aprēķinus Pasūtītājs tieši sagaida, un kā šādus aprēķinus vispār būtu iespējams objektīvi veikt un pēc tam izvērtēt, ņemot vērā trūkstošo informāciju. </w:t>
      </w:r>
    </w:p>
    <w:p w:rsidR="007B3E95" w:rsidRDefault="007B3E95" w:rsidP="007B3E95">
      <w:pPr>
        <w:spacing w:after="160" w:line="300" w:lineRule="auto"/>
        <w:ind w:left="720" w:firstLine="720"/>
        <w:jc w:val="both"/>
      </w:pPr>
    </w:p>
    <w:p w:rsidR="00EC2236" w:rsidRPr="00EC2236" w:rsidRDefault="007B3E95" w:rsidP="00EC2236">
      <w:pPr>
        <w:pStyle w:val="isselectedend"/>
        <w:jc w:val="both"/>
        <w:rPr>
          <w:color w:val="FF0000"/>
        </w:rPr>
      </w:pPr>
      <w:r w:rsidRPr="007B3E95">
        <w:rPr>
          <w:color w:val="FF0000"/>
        </w:rPr>
        <w:t>Atbilde</w:t>
      </w:r>
      <w:r w:rsidR="007E3C16">
        <w:rPr>
          <w:color w:val="FF0000"/>
        </w:rPr>
        <w:t xml:space="preserve">: </w:t>
      </w:r>
      <w:r w:rsidR="00EC2236" w:rsidRPr="00EC2236">
        <w:rPr>
          <w:color w:val="FF0000"/>
        </w:rPr>
        <w:t>Ņemot vērā, ka iepirkuma priekšmets ir “projektē un būvē”, piedāvājuma sastāvā pretendentam jāiesniedz ceļa, ielas un laukumu izbūves risinājums un tā tehniskais pamatojums, tostarp inženiertehniskie aprēķini tādā apjomā, lai būtu iespējams novērtēt piedāvātā risinājuma atbilstību Tehniskās specifikācijas prasībām.</w:t>
      </w:r>
    </w:p>
    <w:p w:rsidR="00EC2236" w:rsidRPr="00EC2236" w:rsidRDefault="00EC2236" w:rsidP="00EC2236">
      <w:pPr>
        <w:spacing w:before="100" w:beforeAutospacing="1" w:after="100" w:afterAutospacing="1"/>
        <w:jc w:val="both"/>
        <w:rPr>
          <w:color w:val="FF0000"/>
          <w:lang w:bidi="ar-SA"/>
        </w:rPr>
      </w:pPr>
      <w:r w:rsidRPr="00EC2236">
        <w:rPr>
          <w:color w:val="FF0000"/>
          <w:lang w:bidi="ar-SA"/>
        </w:rPr>
        <w:t>Piedāvājums sagatavojams, ņemot vērā Pasūtītāja sniegto informāciju, publiski pieejamo informāciju un pretendenta veiktās obligātās objekta apsekošanas rezultātus. Piedāvājuma stadijā nav nepieciešams veikt ģeoloģisko vai topogrāfisko izpēti un izstrādāt gala segas konstrukcijas aprēķinus, kuru veikšanai nepieciešami projektēšanas laikā iegūstami faktiskie izpētes dati.</w:t>
      </w:r>
    </w:p>
    <w:p w:rsidR="00EC2236" w:rsidRPr="00EC2236" w:rsidRDefault="00EC2236" w:rsidP="00EC2236">
      <w:pPr>
        <w:spacing w:before="100" w:beforeAutospacing="1" w:after="100" w:afterAutospacing="1"/>
        <w:jc w:val="both"/>
        <w:rPr>
          <w:color w:val="FF0000"/>
          <w:lang w:bidi="ar-SA"/>
        </w:rPr>
      </w:pPr>
      <w:r w:rsidRPr="00EC2236">
        <w:rPr>
          <w:color w:val="FF0000"/>
          <w:lang w:bidi="ar-SA"/>
        </w:rPr>
        <w:t xml:space="preserve">Piebraucamā ceļa </w:t>
      </w:r>
      <w:r w:rsidRPr="00EC2236">
        <w:rPr>
          <w:b/>
          <w:bCs/>
          <w:color w:val="FF0000"/>
          <w:lang w:bidi="ar-SA"/>
        </w:rPr>
        <w:t>brauktuves platums paredzams 5,5 m, papildus paredzot nomales</w:t>
      </w:r>
      <w:r w:rsidRPr="00EC2236">
        <w:rPr>
          <w:color w:val="FF0000"/>
          <w:lang w:bidi="ar-SA"/>
        </w:rPr>
        <w:t>.</w:t>
      </w:r>
    </w:p>
    <w:p w:rsidR="00EC2236" w:rsidRPr="00EC2236" w:rsidRDefault="00EC2236" w:rsidP="00EC2236">
      <w:pPr>
        <w:spacing w:before="100" w:beforeAutospacing="1" w:after="100" w:afterAutospacing="1"/>
        <w:jc w:val="both"/>
        <w:rPr>
          <w:color w:val="FF0000"/>
          <w:lang w:bidi="ar-SA"/>
        </w:rPr>
      </w:pPr>
      <w:r w:rsidRPr="00EC2236">
        <w:rPr>
          <w:color w:val="FF0000"/>
          <w:lang w:bidi="ar-SA"/>
        </w:rPr>
        <w:t>Precīzi ceļa, ielas un laukumu konstrukciju risinājumi un gala aprēķini izstrādājami un precizējami būvprojekta izstrādes laikā, veicot nepieciešamo izpēti un ņemot vērā faktiskos datus, tehniskos noteikumus un spēkā esošās normatīvo aktu prasības.</w:t>
      </w:r>
    </w:p>
    <w:p w:rsidR="00EC2236" w:rsidRPr="00EC2236" w:rsidRDefault="00EC2236" w:rsidP="00EC2236">
      <w:pPr>
        <w:spacing w:before="100" w:beforeAutospacing="1" w:after="100" w:afterAutospacing="1"/>
        <w:jc w:val="both"/>
        <w:rPr>
          <w:color w:val="FF0000"/>
          <w:lang w:bidi="ar-SA"/>
        </w:rPr>
      </w:pPr>
      <w:r w:rsidRPr="00EC2236">
        <w:rPr>
          <w:color w:val="FF0000"/>
          <w:lang w:bidi="ar-SA"/>
        </w:rPr>
        <w:t xml:space="preserve">Attiecībā uz stāvvietu kapacitāti piedāvājuma sagatavošanā aprēķini veicami, pieņemot kopējo kapacitāti aptuveni </w:t>
      </w:r>
      <w:r w:rsidRPr="00EC2236">
        <w:rPr>
          <w:b/>
          <w:bCs/>
          <w:color w:val="FF0000"/>
          <w:lang w:bidi="ar-SA"/>
        </w:rPr>
        <w:t>75 vieglajiem automobiļiem</w:t>
      </w:r>
      <w:r w:rsidRPr="00EC2236">
        <w:rPr>
          <w:color w:val="FF0000"/>
          <w:lang w:bidi="ar-SA"/>
        </w:rPr>
        <w:t>, papildus paredzot invalīdu un elektrotransportlīdzekļu uzlādes vietas. Būvprojekta izstrādes laikā stāvvietu skaits var tikt precizēts, ja tam ir objektīvs un tehniski pamatots iemesls, kas piedāvājuma sagatavošanas laikā nebija objektīvi nosakāms. Šādas izmaiņas precizējamas būvprojekta izstrādes un saskaņošanas procesā.</w:t>
      </w:r>
    </w:p>
    <w:p w:rsidR="00EC2236" w:rsidRPr="00C65CEF" w:rsidRDefault="00EC2236" w:rsidP="00EC2236">
      <w:pPr>
        <w:pStyle w:val="isselectedend"/>
        <w:jc w:val="both"/>
        <w:rPr>
          <w:color w:val="FF0000"/>
        </w:rPr>
      </w:pPr>
    </w:p>
    <w:p w:rsidR="007B3E95" w:rsidRDefault="007B3E95" w:rsidP="007B3E95">
      <w:pPr>
        <w:numPr>
          <w:ilvl w:val="0"/>
          <w:numId w:val="1"/>
        </w:numPr>
        <w:spacing w:line="360" w:lineRule="auto"/>
        <w:jc w:val="both"/>
      </w:pPr>
      <w:r>
        <w:t>Lūdzam skaidrot, v</w:t>
      </w:r>
      <w:r w:rsidRPr="008E6040">
        <w:t>ai esošos apgaismojuma balstus stāvlaukumā var izmantot</w:t>
      </w:r>
      <w:r>
        <w:t xml:space="preserve"> atkārtoti</w:t>
      </w:r>
      <w:r w:rsidRPr="008E6040">
        <w:t xml:space="preserve">, vai </w:t>
      </w:r>
      <w:r>
        <w:t xml:space="preserve">nepieciešams </w:t>
      </w:r>
      <w:r w:rsidRPr="008E6040">
        <w:t>paredzēt jaunus?</w:t>
      </w:r>
    </w:p>
    <w:p w:rsidR="00EC5F2F" w:rsidRPr="00EC5F2F" w:rsidRDefault="007B3E95" w:rsidP="00AE078F">
      <w:pPr>
        <w:pStyle w:val="isselectedend"/>
        <w:jc w:val="both"/>
        <w:rPr>
          <w:color w:val="FF0000"/>
        </w:rPr>
      </w:pPr>
      <w:r w:rsidRPr="007B3E95">
        <w:rPr>
          <w:color w:val="FF0000"/>
        </w:rPr>
        <w:t>Atbilde</w:t>
      </w:r>
      <w:r w:rsidR="00EC5F2F">
        <w:rPr>
          <w:color w:val="FF0000"/>
        </w:rPr>
        <w:t xml:space="preserve">: </w:t>
      </w:r>
      <w:r w:rsidR="00EC5F2F" w:rsidRPr="00EC5F2F">
        <w:rPr>
          <w:color w:val="FF0000"/>
        </w:rPr>
        <w:t>Tehniskās specifikācijas 3.a apakšpunktā noteikts, ka jauns apgaismojums jāparedz stāvlaukumam. Līdz ar to stāvlaukuma apgaismojumam piedāvājumā jāparedz jauns risinājums.</w:t>
      </w:r>
    </w:p>
    <w:p w:rsidR="00EC2236" w:rsidRPr="00EC2236" w:rsidRDefault="00EC2236" w:rsidP="00AE078F">
      <w:pPr>
        <w:pStyle w:val="isselectedend"/>
        <w:jc w:val="both"/>
        <w:rPr>
          <w:color w:val="FF0000"/>
        </w:rPr>
      </w:pPr>
      <w:r w:rsidRPr="00EC2236">
        <w:rPr>
          <w:color w:val="FF0000"/>
        </w:rPr>
        <w:t>Esošo Ezera un Līvu ielu apgaismojuma balstu novietojumu un nepieciešamību tos pārcelt pretendentam ir jāizvērtē objekta apsekošanas laikā, ņemot vērā esošo situāciju un paredzamo brauktuves paplašinājumu.</w:t>
      </w:r>
    </w:p>
    <w:p w:rsidR="00EC2236" w:rsidRPr="00EC2236" w:rsidRDefault="00EC2236" w:rsidP="00AE078F">
      <w:pPr>
        <w:pStyle w:val="Paraststmeklis"/>
        <w:jc w:val="both"/>
        <w:rPr>
          <w:color w:val="FF0000"/>
        </w:rPr>
      </w:pPr>
      <w:r w:rsidRPr="00EC2236">
        <w:rPr>
          <w:color w:val="FF0000"/>
        </w:rPr>
        <w:t>Ja apsekošanas un piedāvājuma sagatavošanas laikā ir iespējams noteikt nepieciešamību pēc balstu pārcelšanas, attiecīgais risinājums un izmaksas jāņem vērā piedāvājumā. Gala risinājums precizējams būvprojekta izstrādes laikā atbilstoši faktiskajiem datiem un normatīvo aktu prasībām.</w:t>
      </w:r>
    </w:p>
    <w:p w:rsidR="00EC5F2F" w:rsidRPr="00EC5F2F" w:rsidRDefault="00EC5F2F" w:rsidP="00AE078F">
      <w:pPr>
        <w:pStyle w:val="Paraststmeklis"/>
        <w:jc w:val="both"/>
        <w:rPr>
          <w:color w:val="FF0000"/>
        </w:rPr>
      </w:pPr>
      <w:r w:rsidRPr="00EC5F2F">
        <w:rPr>
          <w:color w:val="FF0000"/>
        </w:rPr>
        <w:t>Tādējādi esošo Ezera un Līvu ielu apgaismojuma balstu izmantošana attiecināma uz esošā ielu apgaismojuma saglabāšanu, savukārt stāvlaukumam jāparedz jauns apgaismojuma risinājums.</w:t>
      </w:r>
    </w:p>
    <w:p w:rsidR="007B3E95" w:rsidRPr="00EC5F2F" w:rsidRDefault="007B3E95" w:rsidP="00EC5F2F">
      <w:pPr>
        <w:spacing w:after="160" w:line="300" w:lineRule="auto"/>
        <w:jc w:val="both"/>
        <w:rPr>
          <w:color w:val="FF0000"/>
        </w:rPr>
      </w:pPr>
    </w:p>
    <w:p w:rsidR="007B3E95" w:rsidRDefault="007B3E95" w:rsidP="007B3E95">
      <w:pPr>
        <w:spacing w:line="360" w:lineRule="auto"/>
        <w:ind w:left="720"/>
        <w:jc w:val="both"/>
      </w:pPr>
    </w:p>
    <w:p w:rsidR="007B3E95" w:rsidRDefault="007B3E95"/>
    <w:sectPr w:rsidR="007B3E95" w:rsidSect="00881745">
      <w:pgSz w:w="11907" w:h="16840" w:code="9"/>
      <w:pgMar w:top="1134" w:right="1134" w:bottom="1418" w:left="1701"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AB483B"/>
    <w:multiLevelType w:val="hybridMultilevel"/>
    <w:tmpl w:val="448E82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E95"/>
    <w:rsid w:val="001F1557"/>
    <w:rsid w:val="00225D81"/>
    <w:rsid w:val="00420944"/>
    <w:rsid w:val="004F6ADC"/>
    <w:rsid w:val="007B3E95"/>
    <w:rsid w:val="007E3C16"/>
    <w:rsid w:val="00881745"/>
    <w:rsid w:val="00AE078F"/>
    <w:rsid w:val="00C65CEF"/>
    <w:rsid w:val="00C663C2"/>
    <w:rsid w:val="00E57A61"/>
    <w:rsid w:val="00EC00D1"/>
    <w:rsid w:val="00EC2236"/>
    <w:rsid w:val="00EC5F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C3929-DB1D-48CD-A03F-DFE70C34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B3E95"/>
    <w:pPr>
      <w:spacing w:after="0" w:line="240" w:lineRule="auto"/>
    </w:pPr>
    <w:rPr>
      <w:rFonts w:ascii="Times New Roman" w:eastAsia="Times New Roman" w:hAnsi="Times New Roman" w:cs="Times New Roman"/>
      <w:sz w:val="24"/>
      <w:szCs w:val="24"/>
      <w:lang w:eastAsia="lv-LV" w:bidi="ar-EG"/>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7B3E95"/>
    <w:pPr>
      <w:ind w:left="720"/>
      <w:contextualSpacing/>
    </w:pPr>
  </w:style>
  <w:style w:type="paragraph" w:customStyle="1" w:styleId="isselectedend">
    <w:name w:val="isselectedend"/>
    <w:basedOn w:val="Parasts"/>
    <w:rsid w:val="00E57A61"/>
    <w:pPr>
      <w:spacing w:before="100" w:beforeAutospacing="1" w:after="100" w:afterAutospacing="1"/>
    </w:pPr>
    <w:rPr>
      <w:lang w:bidi="ar-SA"/>
    </w:rPr>
  </w:style>
  <w:style w:type="paragraph" w:styleId="Paraststmeklis">
    <w:name w:val="Normal (Web)"/>
    <w:basedOn w:val="Parasts"/>
    <w:uiPriority w:val="99"/>
    <w:unhideWhenUsed/>
    <w:rsid w:val="00E57A61"/>
    <w:pPr>
      <w:spacing w:before="100" w:beforeAutospacing="1" w:after="100" w:afterAutospacing="1"/>
    </w:pPr>
    <w:rPr>
      <w:lang w:bidi="ar-SA"/>
    </w:rPr>
  </w:style>
  <w:style w:type="character" w:styleId="Izteiksmgs">
    <w:name w:val="Strong"/>
    <w:basedOn w:val="Noklusjumarindkopasfonts"/>
    <w:uiPriority w:val="22"/>
    <w:qFormat/>
    <w:rsid w:val="00E57A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122383">
      <w:bodyDiv w:val="1"/>
      <w:marLeft w:val="0"/>
      <w:marRight w:val="0"/>
      <w:marTop w:val="0"/>
      <w:marBottom w:val="0"/>
      <w:divBdr>
        <w:top w:val="none" w:sz="0" w:space="0" w:color="auto"/>
        <w:left w:val="none" w:sz="0" w:space="0" w:color="auto"/>
        <w:bottom w:val="none" w:sz="0" w:space="0" w:color="auto"/>
        <w:right w:val="none" w:sz="0" w:space="0" w:color="auto"/>
      </w:divBdr>
    </w:div>
    <w:div w:id="252520949">
      <w:bodyDiv w:val="1"/>
      <w:marLeft w:val="0"/>
      <w:marRight w:val="0"/>
      <w:marTop w:val="0"/>
      <w:marBottom w:val="0"/>
      <w:divBdr>
        <w:top w:val="none" w:sz="0" w:space="0" w:color="auto"/>
        <w:left w:val="none" w:sz="0" w:space="0" w:color="auto"/>
        <w:bottom w:val="none" w:sz="0" w:space="0" w:color="auto"/>
        <w:right w:val="none" w:sz="0" w:space="0" w:color="auto"/>
      </w:divBdr>
    </w:div>
    <w:div w:id="580679998">
      <w:bodyDiv w:val="1"/>
      <w:marLeft w:val="0"/>
      <w:marRight w:val="0"/>
      <w:marTop w:val="0"/>
      <w:marBottom w:val="0"/>
      <w:divBdr>
        <w:top w:val="none" w:sz="0" w:space="0" w:color="auto"/>
        <w:left w:val="none" w:sz="0" w:space="0" w:color="auto"/>
        <w:bottom w:val="none" w:sz="0" w:space="0" w:color="auto"/>
        <w:right w:val="none" w:sz="0" w:space="0" w:color="auto"/>
      </w:divBdr>
    </w:div>
    <w:div w:id="696855150">
      <w:bodyDiv w:val="1"/>
      <w:marLeft w:val="0"/>
      <w:marRight w:val="0"/>
      <w:marTop w:val="0"/>
      <w:marBottom w:val="0"/>
      <w:divBdr>
        <w:top w:val="none" w:sz="0" w:space="0" w:color="auto"/>
        <w:left w:val="none" w:sz="0" w:space="0" w:color="auto"/>
        <w:bottom w:val="none" w:sz="0" w:space="0" w:color="auto"/>
        <w:right w:val="none" w:sz="0" w:space="0" w:color="auto"/>
      </w:divBdr>
    </w:div>
    <w:div w:id="1140270939">
      <w:bodyDiv w:val="1"/>
      <w:marLeft w:val="0"/>
      <w:marRight w:val="0"/>
      <w:marTop w:val="0"/>
      <w:marBottom w:val="0"/>
      <w:divBdr>
        <w:top w:val="none" w:sz="0" w:space="0" w:color="auto"/>
        <w:left w:val="none" w:sz="0" w:space="0" w:color="auto"/>
        <w:bottom w:val="none" w:sz="0" w:space="0" w:color="auto"/>
        <w:right w:val="none" w:sz="0" w:space="0" w:color="auto"/>
      </w:divBdr>
    </w:div>
    <w:div w:id="1247766871">
      <w:bodyDiv w:val="1"/>
      <w:marLeft w:val="0"/>
      <w:marRight w:val="0"/>
      <w:marTop w:val="0"/>
      <w:marBottom w:val="0"/>
      <w:divBdr>
        <w:top w:val="none" w:sz="0" w:space="0" w:color="auto"/>
        <w:left w:val="none" w:sz="0" w:space="0" w:color="auto"/>
        <w:bottom w:val="none" w:sz="0" w:space="0" w:color="auto"/>
        <w:right w:val="none" w:sz="0" w:space="0" w:color="auto"/>
      </w:divBdr>
    </w:div>
    <w:div w:id="1323385652">
      <w:bodyDiv w:val="1"/>
      <w:marLeft w:val="0"/>
      <w:marRight w:val="0"/>
      <w:marTop w:val="0"/>
      <w:marBottom w:val="0"/>
      <w:divBdr>
        <w:top w:val="none" w:sz="0" w:space="0" w:color="auto"/>
        <w:left w:val="none" w:sz="0" w:space="0" w:color="auto"/>
        <w:bottom w:val="none" w:sz="0" w:space="0" w:color="auto"/>
        <w:right w:val="none" w:sz="0" w:space="0" w:color="auto"/>
      </w:divBdr>
    </w:div>
    <w:div w:id="1399400703">
      <w:bodyDiv w:val="1"/>
      <w:marLeft w:val="0"/>
      <w:marRight w:val="0"/>
      <w:marTop w:val="0"/>
      <w:marBottom w:val="0"/>
      <w:divBdr>
        <w:top w:val="none" w:sz="0" w:space="0" w:color="auto"/>
        <w:left w:val="none" w:sz="0" w:space="0" w:color="auto"/>
        <w:bottom w:val="none" w:sz="0" w:space="0" w:color="auto"/>
        <w:right w:val="none" w:sz="0" w:space="0" w:color="auto"/>
      </w:divBdr>
    </w:div>
    <w:div w:id="1745957697">
      <w:bodyDiv w:val="1"/>
      <w:marLeft w:val="0"/>
      <w:marRight w:val="0"/>
      <w:marTop w:val="0"/>
      <w:marBottom w:val="0"/>
      <w:divBdr>
        <w:top w:val="none" w:sz="0" w:space="0" w:color="auto"/>
        <w:left w:val="none" w:sz="0" w:space="0" w:color="auto"/>
        <w:bottom w:val="none" w:sz="0" w:space="0" w:color="auto"/>
        <w:right w:val="none" w:sz="0" w:space="0" w:color="auto"/>
      </w:divBdr>
    </w:div>
    <w:div w:id="1762024852">
      <w:bodyDiv w:val="1"/>
      <w:marLeft w:val="0"/>
      <w:marRight w:val="0"/>
      <w:marTop w:val="0"/>
      <w:marBottom w:val="0"/>
      <w:divBdr>
        <w:top w:val="none" w:sz="0" w:space="0" w:color="auto"/>
        <w:left w:val="none" w:sz="0" w:space="0" w:color="auto"/>
        <w:bottom w:val="none" w:sz="0" w:space="0" w:color="auto"/>
        <w:right w:val="none" w:sz="0" w:space="0" w:color="auto"/>
      </w:divBdr>
    </w:div>
    <w:div w:id="1891066727">
      <w:bodyDiv w:val="1"/>
      <w:marLeft w:val="0"/>
      <w:marRight w:val="0"/>
      <w:marTop w:val="0"/>
      <w:marBottom w:val="0"/>
      <w:divBdr>
        <w:top w:val="none" w:sz="0" w:space="0" w:color="auto"/>
        <w:left w:val="none" w:sz="0" w:space="0" w:color="auto"/>
        <w:bottom w:val="none" w:sz="0" w:space="0" w:color="auto"/>
        <w:right w:val="none" w:sz="0" w:space="0" w:color="auto"/>
      </w:divBdr>
    </w:div>
    <w:div w:id="210819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5191</Words>
  <Characters>2960</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Daira Siliņa</dc:creator>
  <cp:keywords/>
  <dc:description/>
  <cp:lastModifiedBy>Daira Siliņa</cp:lastModifiedBy>
  <cp:revision>7</cp:revision>
  <dcterms:created xsi:type="dcterms:W3CDTF">2026-08-21T08:12:00Z</dcterms:created>
  <dcterms:modified xsi:type="dcterms:W3CDTF">2026-08-21T12:42:00Z</dcterms:modified>
</cp:coreProperties>
</file>