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7B66" w:rsidRPr="00377B66" w:rsidRDefault="00377B66" w:rsidP="00377B66">
      <w:pPr>
        <w:jc w:val="center"/>
        <w:rPr>
          <w:bCs/>
          <w:sz w:val="24"/>
          <w:szCs w:val="24"/>
          <w:lang w:val="lv-LV"/>
        </w:rPr>
      </w:pPr>
      <w:r w:rsidRPr="00377B66">
        <w:rPr>
          <w:bCs/>
          <w:sz w:val="24"/>
          <w:szCs w:val="24"/>
          <w:lang w:val="lv-LV"/>
        </w:rPr>
        <w:t>ATKLĀTA KONKURSA</w:t>
      </w:r>
    </w:p>
    <w:p w:rsidR="00377B66" w:rsidRPr="00377B66" w:rsidRDefault="00377B66" w:rsidP="00377B66">
      <w:pPr>
        <w:jc w:val="center"/>
        <w:rPr>
          <w:bCs/>
          <w:sz w:val="24"/>
          <w:szCs w:val="24"/>
          <w:lang w:val="lv-LV"/>
        </w:rPr>
      </w:pPr>
      <w:r w:rsidRPr="00377B66">
        <w:rPr>
          <w:bCs/>
          <w:sz w:val="24"/>
          <w:szCs w:val="24"/>
          <w:lang w:val="lv-LV"/>
        </w:rPr>
        <w:t xml:space="preserve"> “</w:t>
      </w:r>
      <w:bookmarkStart w:id="0" w:name="_Hlk218512441"/>
      <w:r w:rsidRPr="000E2AB9">
        <w:rPr>
          <w:sz w:val="24"/>
          <w:szCs w:val="24"/>
          <w:lang w:val="lv-LV"/>
        </w:rPr>
        <w:t>Oftalmoloģijas iekārtu iegāde, piegāde un uzstādīšana</w:t>
      </w:r>
      <w:r w:rsidRPr="00377B66">
        <w:rPr>
          <w:bCs/>
          <w:sz w:val="24"/>
          <w:szCs w:val="24"/>
          <w:lang w:val="lv-LV"/>
        </w:rPr>
        <w:t>”</w:t>
      </w:r>
      <w:bookmarkEnd w:id="0"/>
    </w:p>
    <w:p w:rsidR="00377B66" w:rsidRPr="00377B66" w:rsidRDefault="00377B66" w:rsidP="00377B66">
      <w:pPr>
        <w:jc w:val="center"/>
        <w:rPr>
          <w:bCs/>
          <w:sz w:val="24"/>
          <w:szCs w:val="24"/>
          <w:lang w:val="lv-LV"/>
        </w:rPr>
      </w:pPr>
      <w:r w:rsidRPr="00377B66">
        <w:rPr>
          <w:bCs/>
          <w:sz w:val="24"/>
          <w:szCs w:val="24"/>
          <w:lang w:val="lv-LV"/>
        </w:rPr>
        <w:t xml:space="preserve">Iepirkuma identifikācijas Nr. </w:t>
      </w:r>
      <w:r>
        <w:rPr>
          <w:bCs/>
          <w:sz w:val="24"/>
          <w:szCs w:val="24"/>
          <w:lang w:val="lv-LV"/>
        </w:rPr>
        <w:t>RRS 2026/3</w:t>
      </w:r>
    </w:p>
    <w:p w:rsidR="00377B66" w:rsidRPr="00377B66" w:rsidRDefault="00377B66" w:rsidP="00377B66">
      <w:pPr>
        <w:jc w:val="center"/>
        <w:rPr>
          <w:bCs/>
          <w:sz w:val="24"/>
          <w:szCs w:val="24"/>
          <w:lang w:val="lv-LV"/>
        </w:rPr>
      </w:pPr>
    </w:p>
    <w:p w:rsidR="00377B66" w:rsidRPr="00377B66" w:rsidRDefault="00377B66" w:rsidP="00377B66">
      <w:pPr>
        <w:jc w:val="center"/>
        <w:rPr>
          <w:bCs/>
          <w:sz w:val="24"/>
          <w:szCs w:val="24"/>
          <w:lang w:val="lv-LV"/>
        </w:rPr>
      </w:pPr>
      <w:r w:rsidRPr="00377B66">
        <w:rPr>
          <w:bCs/>
          <w:sz w:val="24"/>
          <w:szCs w:val="24"/>
          <w:lang w:val="lv-LV"/>
        </w:rPr>
        <w:t>ATBILDES</w:t>
      </w:r>
    </w:p>
    <w:p w:rsidR="00377B66" w:rsidRPr="00377B66" w:rsidRDefault="00377B66" w:rsidP="00377B66">
      <w:pPr>
        <w:jc w:val="center"/>
        <w:rPr>
          <w:bCs/>
          <w:sz w:val="24"/>
          <w:szCs w:val="24"/>
          <w:lang w:val="lv-LV"/>
        </w:rPr>
      </w:pPr>
    </w:p>
    <w:p w:rsidR="00377B66" w:rsidRPr="00377B66" w:rsidRDefault="00377B66" w:rsidP="00377B66">
      <w:pPr>
        <w:rPr>
          <w:bCs/>
          <w:sz w:val="24"/>
          <w:szCs w:val="24"/>
          <w:lang w:val="lv-LV"/>
        </w:rPr>
      </w:pPr>
      <w:r w:rsidRPr="00377B66">
        <w:rPr>
          <w:bCs/>
          <w:sz w:val="24"/>
          <w:szCs w:val="24"/>
          <w:lang w:val="lv-LV"/>
        </w:rPr>
        <w:t xml:space="preserve">2026.gada </w:t>
      </w:r>
      <w:r>
        <w:rPr>
          <w:bCs/>
          <w:sz w:val="24"/>
          <w:szCs w:val="24"/>
          <w:lang w:val="lv-LV"/>
        </w:rPr>
        <w:t>12.augustā,</w:t>
      </w:r>
    </w:p>
    <w:p w:rsidR="00377B66" w:rsidRPr="00377B66" w:rsidRDefault="00377B66" w:rsidP="00377B66">
      <w:pPr>
        <w:rPr>
          <w:bCs/>
          <w:sz w:val="24"/>
          <w:szCs w:val="24"/>
          <w:lang w:val="lv-LV"/>
        </w:rPr>
      </w:pPr>
      <w:r>
        <w:rPr>
          <w:bCs/>
          <w:sz w:val="24"/>
          <w:szCs w:val="24"/>
          <w:lang w:val="lv-LV"/>
        </w:rPr>
        <w:t>Siguldā</w:t>
      </w:r>
    </w:p>
    <w:p w:rsidR="00246657" w:rsidRPr="000E2AB9" w:rsidRDefault="00246657" w:rsidP="000E2AB9">
      <w:pPr>
        <w:spacing w:after="120"/>
        <w:rPr>
          <w:lang w:val="lv-LV"/>
        </w:rPr>
      </w:pPr>
    </w:p>
    <w:p w:rsidR="00246657" w:rsidRDefault="000E2AB9" w:rsidP="000E2AB9">
      <w:pPr>
        <w:spacing w:after="120"/>
        <w:jc w:val="both"/>
        <w:rPr>
          <w:sz w:val="24"/>
          <w:szCs w:val="24"/>
          <w:lang w:val="lv-LV"/>
        </w:rPr>
      </w:pPr>
      <w:r w:rsidRPr="000E2AB9">
        <w:rPr>
          <w:sz w:val="24"/>
          <w:szCs w:val="24"/>
          <w:lang w:val="lv-LV"/>
        </w:rPr>
        <w:t xml:space="preserve">SIA „Siguldas slimnīca” iepirkuma komisija (turpmāk – Komisija) atklātā konkursā „Oftalmoloģijas iekārtu iegāde, piegāde un uzstādīšana” (ID Nr. RRS 2026/3) ir saņēmusi un izskatījusi </w:t>
      </w:r>
      <w:r w:rsidR="00377B66">
        <w:rPr>
          <w:sz w:val="24"/>
          <w:szCs w:val="24"/>
          <w:lang w:val="lv-LV"/>
        </w:rPr>
        <w:t>pretendenta priekšlikumus</w:t>
      </w:r>
      <w:r w:rsidRPr="000E2AB9">
        <w:rPr>
          <w:sz w:val="24"/>
          <w:szCs w:val="24"/>
          <w:lang w:val="lv-LV"/>
        </w:rPr>
        <w:t xml:space="preserve"> grozīt 3. iepirkuma daļas (OCT un funduskamera kombinācijā ar elektrisko galdiņu) tehniskās specifikācijas 3.2., 3.8. un 3.20. punktu. Komisija priekšlikumus ir izvērtējusi pēc būtības, tostarp pārbaudot tirgū pieejamo šīs klases iekārtu ražotāju publiski pieejamo tehnisko dokumentāciju (datu l</w:t>
      </w:r>
      <w:r w:rsidR="00D621B6">
        <w:rPr>
          <w:sz w:val="24"/>
          <w:szCs w:val="24"/>
          <w:lang w:val="lv-LV"/>
        </w:rPr>
        <w:t>apas), un sniedz šādas atbildes:</w:t>
      </w:r>
    </w:p>
    <w:p w:rsidR="00D621B6" w:rsidRPr="00D621B6" w:rsidRDefault="00D621B6" w:rsidP="000E2AB9">
      <w:pPr>
        <w:spacing w:after="120"/>
        <w:jc w:val="both"/>
        <w:rPr>
          <w:b/>
          <w:sz w:val="24"/>
          <w:szCs w:val="24"/>
          <w:lang w:val="lv-LV"/>
        </w:rPr>
      </w:pPr>
      <w:r w:rsidRPr="00D621B6">
        <w:rPr>
          <w:b/>
          <w:sz w:val="24"/>
          <w:szCs w:val="24"/>
          <w:lang w:val="lv-LV"/>
        </w:rPr>
        <w:t>Jautājums:</w:t>
      </w:r>
    </w:p>
    <w:p w:rsidR="00D621B6" w:rsidRPr="00D621B6" w:rsidRDefault="00D621B6" w:rsidP="00D621B6">
      <w:pPr>
        <w:spacing w:after="120"/>
        <w:jc w:val="both"/>
        <w:rPr>
          <w:sz w:val="24"/>
          <w:szCs w:val="24"/>
          <w:lang w:val="lv-LV"/>
        </w:rPr>
      </w:pPr>
      <w:r w:rsidRPr="00D621B6">
        <w:rPr>
          <w:sz w:val="24"/>
          <w:szCs w:val="24"/>
          <w:lang w:val="lv-LV"/>
        </w:rPr>
        <w:t>Prasība ievadā: "Nemidriātisks fotografēšanas režīms — bez obligātas zīlītes paplašināšanas; minimālais zīlītes izmērs ≤ 3,3 mm"</w:t>
      </w:r>
    </w:p>
    <w:p w:rsidR="00D621B6" w:rsidRPr="00D621B6" w:rsidRDefault="00D621B6" w:rsidP="00D621B6">
      <w:pPr>
        <w:spacing w:after="120"/>
        <w:jc w:val="both"/>
        <w:rPr>
          <w:sz w:val="24"/>
          <w:szCs w:val="24"/>
          <w:lang w:val="lv-LV"/>
        </w:rPr>
      </w:pPr>
      <w:r w:rsidRPr="00D621B6">
        <w:rPr>
          <w:sz w:val="24"/>
          <w:szCs w:val="24"/>
          <w:lang w:val="lv-LV"/>
        </w:rPr>
        <w:t>Lūdzam izteikt šādā redakcijā: "Nemidriātisks fotografēšanas režīms — bez obligātas zīlītes paplašināšanas; minimālais zīlītes izmērs ne lielāks kā 4,0 mm."</w:t>
      </w:r>
    </w:p>
    <w:p w:rsidR="00D621B6" w:rsidRPr="00D621B6" w:rsidRDefault="00D621B6" w:rsidP="00D621B6">
      <w:pPr>
        <w:spacing w:after="120"/>
        <w:jc w:val="both"/>
        <w:rPr>
          <w:sz w:val="24"/>
          <w:szCs w:val="24"/>
          <w:lang w:val="lv-LV"/>
        </w:rPr>
      </w:pPr>
      <w:r w:rsidRPr="00D621B6">
        <w:rPr>
          <w:sz w:val="24"/>
          <w:szCs w:val="24"/>
          <w:lang w:val="lv-LV"/>
        </w:rPr>
        <w:t>Pamatojums: Skaitlis 3,3 mm ir viena konkrēta ražotāja (Topcon) mehāniskās diafragmas konstrukcijas elements. Klīniskajā praksē oftalmoloģijā nemidriatiskajām funduskamerām zīlītes diametra robeža līdz 4,0 mm ir vispāratzīts nozares standarts, kas ļauj veikt pilnvērtīgu un kvalitatīvu acs dibena foto dokumentēšanu bez medikamentozas zīlīšu paplašināšanas. Pašreizējais formulējums kalpo kā mākslīgs šķērslis citu ražotāju dalībai.</w:t>
      </w:r>
    </w:p>
    <w:p w:rsidR="00D621B6" w:rsidRDefault="00D621B6" w:rsidP="000E2AB9">
      <w:pPr>
        <w:spacing w:after="120"/>
        <w:jc w:val="both"/>
        <w:rPr>
          <w:b/>
          <w:sz w:val="24"/>
          <w:szCs w:val="24"/>
          <w:lang w:val="lv-LV"/>
        </w:rPr>
      </w:pPr>
    </w:p>
    <w:p w:rsidR="00D621B6" w:rsidRPr="00D621B6" w:rsidRDefault="00D621B6" w:rsidP="000E2AB9">
      <w:pPr>
        <w:spacing w:after="120"/>
        <w:jc w:val="both"/>
        <w:rPr>
          <w:b/>
          <w:lang w:val="lv-LV"/>
        </w:rPr>
      </w:pPr>
      <w:r w:rsidRPr="00D621B6">
        <w:rPr>
          <w:b/>
          <w:sz w:val="24"/>
          <w:szCs w:val="24"/>
          <w:lang w:val="lv-LV"/>
        </w:rPr>
        <w:t>Atbilde:</w:t>
      </w:r>
    </w:p>
    <w:p w:rsidR="00246657" w:rsidRPr="000E2AB9" w:rsidRDefault="000E2AB9" w:rsidP="000E2AB9">
      <w:pPr>
        <w:spacing w:after="120"/>
        <w:rPr>
          <w:lang w:val="lv-LV"/>
        </w:rPr>
      </w:pPr>
      <w:r w:rsidRPr="000E2AB9">
        <w:rPr>
          <w:b/>
          <w:bCs/>
          <w:sz w:val="24"/>
          <w:szCs w:val="24"/>
          <w:lang w:val="lv-LV"/>
        </w:rPr>
        <w:t>Par Tehniskās specifikācijas 3.2. punktu (minimālais zīlītes izmērs ≤ 3,3 mm)</w:t>
      </w:r>
    </w:p>
    <w:p w:rsidR="00246657" w:rsidRPr="000E2AB9" w:rsidRDefault="000E2AB9" w:rsidP="000E2AB9">
      <w:pPr>
        <w:spacing w:after="120"/>
        <w:jc w:val="both"/>
        <w:rPr>
          <w:lang w:val="lv-LV"/>
        </w:rPr>
      </w:pPr>
      <w:r w:rsidRPr="000E2AB9">
        <w:rPr>
          <w:sz w:val="24"/>
          <w:szCs w:val="24"/>
          <w:lang w:val="lv-LV"/>
        </w:rPr>
        <w:t>Priekšlikums aizstāt prasību ar „ne lielāks kā 4,0 mm” tiek noraidīts.</w:t>
      </w:r>
    </w:p>
    <w:p w:rsidR="00246657" w:rsidRPr="000E2AB9" w:rsidRDefault="000E2AB9" w:rsidP="000E2AB9">
      <w:pPr>
        <w:spacing w:after="120"/>
        <w:jc w:val="both"/>
        <w:rPr>
          <w:lang w:val="lv-LV"/>
        </w:rPr>
      </w:pPr>
      <w:r w:rsidRPr="000E2AB9">
        <w:rPr>
          <w:sz w:val="24"/>
          <w:szCs w:val="24"/>
          <w:lang w:val="lv-LV"/>
        </w:rPr>
        <w:t>Pretendenta apgalvojums, ka 3,3 mm ir „viena konkrēta ražotāja mehāniskās diafragmas konstrukcijas elements”, neatbilst ražotāju publiski pieejamai tehniskajai dokumentācijai. Acs dibena attēlu uzņemšanu pie zīlītes diametra ø3,3 mm (mazas zīlītes jeb „small pupil” režīmā) atbilstoši ražotāju publicētajām specifikācijām nodrošina vismaz četru dažādu ražotāju šīs klases kombinētās OCT/funduskameras iekārtas, tostarp: Topcon 3D OCT-1 Maestro2 (ø3,3 mm), Nidek Retina Scan Duo 2 (ø3,3 mm), Huvitz HOCT-1/1F (ø3,3 mm) un Optopol REVO FC / FC 130 (ø3,3 mm). Nozarē vispārpieņemtā prakse ir norādīt divus režīmus – ø4,0 mm parasto un ø3,3 mm mazas zīlītes režīmu, tāpēc prasība ir tehnoloģiski neitrāla un to spēj izpildīt plašs piegādātāju loks.</w:t>
      </w:r>
    </w:p>
    <w:p w:rsidR="00246657" w:rsidRPr="000E2AB9" w:rsidRDefault="000E2AB9" w:rsidP="000E2AB9">
      <w:pPr>
        <w:spacing w:after="120"/>
        <w:jc w:val="both"/>
        <w:rPr>
          <w:lang w:val="lv-LV"/>
        </w:rPr>
      </w:pPr>
      <w:r w:rsidRPr="000E2AB9">
        <w:rPr>
          <w:sz w:val="24"/>
          <w:szCs w:val="24"/>
          <w:lang w:val="lv-LV"/>
        </w:rPr>
        <w:t>Prasībai ir tiešs klīnisks pamatojums, kas izriet no Pasūtītāja pacientu profila: gados vecāki pacienti ar vecuma izraisītu miozi, cukura diabēta pacienti ar autonomās neiropātijas izraisītu sašaurinātu zīlīti (viena no galvenajām diabētiskās retinopātijas uzraudzības grupām), kā arī glaukomas pacienti. Klīniskajā literatūrā mazs zīlītes diametrs ir dokumentēts kā būtisks nenovērtējamu acs dibena attēlu cēlonis (piemēram, Scanlon et al., Diabetes Care, 2005;28:2448–2453). Iekārtas spēja veikt izmeklējumu pie zīlītes ø3,3 mm būtiski samazina nepieciešamību pēc medikamentozas midriāzes, saīsina izmeklējuma laiku un mazina pacientu apgrūtinājumu.</w:t>
      </w:r>
    </w:p>
    <w:p w:rsidR="00246657" w:rsidRDefault="000E2AB9" w:rsidP="000E2AB9">
      <w:pPr>
        <w:spacing w:after="120"/>
        <w:jc w:val="both"/>
        <w:rPr>
          <w:sz w:val="24"/>
          <w:szCs w:val="24"/>
          <w:lang w:val="lv-LV"/>
        </w:rPr>
      </w:pPr>
      <w:r w:rsidRPr="000E2AB9">
        <w:rPr>
          <w:sz w:val="24"/>
          <w:szCs w:val="24"/>
          <w:lang w:val="lv-LV"/>
        </w:rPr>
        <w:lastRenderedPageBreak/>
        <w:t>Vienlaikus, lai izslēgtu interpretācijas šaubas, Komisija precizē 3.2. punkta redakciju, tieši norādot, ka prasības izpildei ir pieļaujams iekārtas mazas zīlītes („small pupil”) režīms (sk. publicētos grozījumus).</w:t>
      </w:r>
    </w:p>
    <w:p w:rsidR="00D621B6" w:rsidRPr="000E2AB9" w:rsidRDefault="00D621B6" w:rsidP="000E2AB9">
      <w:pPr>
        <w:spacing w:after="120"/>
        <w:jc w:val="both"/>
        <w:rPr>
          <w:lang w:val="lv-LV"/>
        </w:rPr>
      </w:pPr>
      <w:r>
        <w:rPr>
          <w:sz w:val="24"/>
          <w:szCs w:val="24"/>
          <w:lang w:val="lv-LV"/>
        </w:rPr>
        <w:t>________________________________________</w:t>
      </w:r>
    </w:p>
    <w:p w:rsidR="00D621B6" w:rsidRDefault="00D621B6" w:rsidP="000E2AB9">
      <w:pPr>
        <w:spacing w:after="120"/>
        <w:rPr>
          <w:b/>
          <w:bCs/>
          <w:sz w:val="24"/>
          <w:szCs w:val="24"/>
          <w:lang w:val="lv-LV"/>
        </w:rPr>
      </w:pPr>
    </w:p>
    <w:p w:rsidR="00D621B6" w:rsidRDefault="00D621B6" w:rsidP="00D621B6">
      <w:pPr>
        <w:spacing w:after="120"/>
        <w:jc w:val="both"/>
        <w:rPr>
          <w:b/>
          <w:sz w:val="24"/>
          <w:szCs w:val="24"/>
          <w:lang w:val="lv-LV"/>
        </w:rPr>
      </w:pPr>
      <w:r w:rsidRPr="00D621B6">
        <w:rPr>
          <w:b/>
          <w:sz w:val="24"/>
          <w:szCs w:val="24"/>
          <w:lang w:val="lv-LV"/>
        </w:rPr>
        <w:t>Jautājums:</w:t>
      </w:r>
    </w:p>
    <w:p w:rsidR="00D621B6" w:rsidRPr="00D621B6" w:rsidRDefault="00D621B6" w:rsidP="00D621B6">
      <w:pPr>
        <w:spacing w:after="120"/>
        <w:jc w:val="both"/>
        <w:rPr>
          <w:sz w:val="24"/>
          <w:szCs w:val="24"/>
          <w:lang w:val="lv-LV"/>
        </w:rPr>
      </w:pPr>
      <w:r w:rsidRPr="00D621B6">
        <w:rPr>
          <w:sz w:val="24"/>
          <w:szCs w:val="24"/>
          <w:lang w:val="lv-LV"/>
        </w:rPr>
        <w:t>Prasība 5. punktā: "Skenēšanas platums: ne mazāk kā 12 mm × 9 mm"</w:t>
      </w:r>
    </w:p>
    <w:p w:rsidR="00D621B6" w:rsidRPr="00D621B6" w:rsidRDefault="00D621B6" w:rsidP="00D621B6">
      <w:pPr>
        <w:spacing w:after="120"/>
        <w:jc w:val="both"/>
        <w:rPr>
          <w:sz w:val="24"/>
          <w:szCs w:val="24"/>
          <w:lang w:val="lv-LV"/>
        </w:rPr>
      </w:pPr>
      <w:r w:rsidRPr="00D621B6">
        <w:rPr>
          <w:sz w:val="24"/>
          <w:szCs w:val="24"/>
          <w:lang w:val="lv-LV"/>
        </w:rPr>
        <w:t>Lūdzam izteikt šādā redakcijā: "Skenēšanas platums nodrošina augstas izšķirtspējas makulas un redzes nerva diska vizualizāciju (piemēram, ne mazāk kā 9 mm × 9 mm vai ekvivalentu laukumu ar attēlu mozaīkas/apvienošanas funkciju)."</w:t>
      </w:r>
    </w:p>
    <w:p w:rsidR="00D621B6" w:rsidRPr="00D621B6" w:rsidRDefault="00D621B6" w:rsidP="00D621B6">
      <w:pPr>
        <w:spacing w:after="120"/>
        <w:jc w:val="both"/>
        <w:rPr>
          <w:sz w:val="24"/>
          <w:szCs w:val="24"/>
          <w:lang w:val="lv-LV"/>
        </w:rPr>
      </w:pPr>
      <w:r w:rsidRPr="00D621B6">
        <w:rPr>
          <w:sz w:val="24"/>
          <w:szCs w:val="24"/>
          <w:lang w:val="lv-LV"/>
        </w:rPr>
        <w:t>Pamatojums: Izmērs 12x9 mm detalizēti apraksta Topcon specifisko Widefield taisnstūra skenēšanas režīmu formātu. Citi vadošie ražotāji, piemēram, Crystalvue (Vision 700), nodrošina ievērojami augstāku skenēšanas ātrumu (80 000 A-skanu/sek pret specifikācijā prasītajiem 50 000) un augstas izšķirtspējas 9x9 mm kubveida skenēšanu tīklenes un glaukomas analīzei, kas sniedz pilnīgi ekvivalentu diagnostisko vērtību bez attēla kvalitātes kropļojumiem perifērijā. Jaunā redakcija nodrošinās iespēju izvērtēt tehnoloģiski progresīvākas un ātrākas sistēmas.</w:t>
      </w:r>
    </w:p>
    <w:p w:rsidR="00D621B6" w:rsidRPr="00D621B6" w:rsidRDefault="00D621B6" w:rsidP="00D621B6">
      <w:pPr>
        <w:spacing w:after="120"/>
        <w:jc w:val="both"/>
        <w:rPr>
          <w:b/>
          <w:sz w:val="24"/>
          <w:szCs w:val="24"/>
          <w:lang w:val="lv-LV"/>
        </w:rPr>
      </w:pPr>
    </w:p>
    <w:p w:rsidR="00D621B6" w:rsidRPr="000E2AB9" w:rsidRDefault="00D621B6" w:rsidP="00D621B6">
      <w:pPr>
        <w:spacing w:after="120"/>
        <w:jc w:val="both"/>
        <w:rPr>
          <w:lang w:val="lv-LV"/>
        </w:rPr>
      </w:pPr>
      <w:r w:rsidRPr="00D621B6">
        <w:rPr>
          <w:b/>
          <w:sz w:val="24"/>
          <w:szCs w:val="24"/>
          <w:lang w:val="lv-LV"/>
        </w:rPr>
        <w:t>Atbilde</w:t>
      </w:r>
      <w:r>
        <w:rPr>
          <w:sz w:val="24"/>
          <w:szCs w:val="24"/>
          <w:lang w:val="lv-LV"/>
        </w:rPr>
        <w:t>:</w:t>
      </w:r>
    </w:p>
    <w:p w:rsidR="00246657" w:rsidRPr="000E2AB9" w:rsidRDefault="000E2AB9" w:rsidP="000E2AB9">
      <w:pPr>
        <w:spacing w:after="120"/>
        <w:rPr>
          <w:lang w:val="lv-LV"/>
        </w:rPr>
      </w:pPr>
      <w:r w:rsidRPr="000E2AB9">
        <w:rPr>
          <w:b/>
          <w:bCs/>
          <w:sz w:val="24"/>
          <w:szCs w:val="24"/>
          <w:lang w:val="lv-LV"/>
        </w:rPr>
        <w:t>Par Tehniskās specifikācijas 3.8. punktu (skenēšanas platums ne mazāk kā 12 mm × 9 mm)</w:t>
      </w:r>
    </w:p>
    <w:p w:rsidR="00246657" w:rsidRPr="000E2AB9" w:rsidRDefault="000E2AB9" w:rsidP="000E2AB9">
      <w:pPr>
        <w:spacing w:after="120"/>
        <w:jc w:val="both"/>
        <w:rPr>
          <w:lang w:val="lv-LV"/>
        </w:rPr>
      </w:pPr>
      <w:r w:rsidRPr="000E2AB9">
        <w:rPr>
          <w:sz w:val="24"/>
          <w:szCs w:val="24"/>
          <w:lang w:val="lv-LV"/>
        </w:rPr>
        <w:t>Priekšlikums aizstāt prasību ar „9 × 9 mm vai ekvivalentu laukumu ar attēlu mozaīkas/apvienošanas funkciju” tiek noraidīts.</w:t>
      </w:r>
    </w:p>
    <w:p w:rsidR="00246657" w:rsidRPr="000E2AB9" w:rsidRDefault="000E2AB9" w:rsidP="000E2AB9">
      <w:pPr>
        <w:spacing w:after="120"/>
        <w:jc w:val="both"/>
        <w:rPr>
          <w:lang w:val="lv-LV"/>
        </w:rPr>
      </w:pPr>
      <w:r w:rsidRPr="000E2AB9">
        <w:rPr>
          <w:sz w:val="24"/>
          <w:szCs w:val="24"/>
          <w:lang w:val="lv-LV"/>
        </w:rPr>
        <w:t>Natīvu (viena tvēriena) skenēšanas lauku vismaz 12 × 9 mm atbilstoši ražotāju publicētajām specifikācijām nodrošina vairāku ražotāju iekārtas, tostarp: Topcon 3D OCT-1 Maestro2 (12 × 9 mm), Nidek Retina Scan Duo 2 (12 × 9 mm), Huvitz HOCT-1F (12 × 9 mm) un Canon Xephilio OCT-R1 (līdz 14,7 × 13,4 mm). Tādējādi prasība nav attiecināma tikai uz vienu ražotāju.</w:t>
      </w:r>
    </w:p>
    <w:p w:rsidR="00246657" w:rsidRPr="000E2AB9" w:rsidRDefault="000E2AB9" w:rsidP="000E2AB9">
      <w:pPr>
        <w:spacing w:after="120"/>
        <w:jc w:val="both"/>
        <w:rPr>
          <w:lang w:val="lv-LV"/>
        </w:rPr>
      </w:pPr>
      <w:r w:rsidRPr="000E2AB9">
        <w:rPr>
          <w:sz w:val="24"/>
          <w:szCs w:val="24"/>
          <w:lang w:val="lv-LV"/>
        </w:rPr>
        <w:t>Funkcionāli 12 × 9 mm ir mazākais skenēšanas lauks, kas vienā tvērienā aptver gan makulu, gan redzes nerva disku. Šāds viena plaša tvēriena protokols ir zinātniski pamatots agrīnas glaukomas diagnostikai (Hood et al., „A Single Wide-Field OCT Protocol Can Provide Compelling Information for the Diagnosis of Early Glaucoma”, Transl Vis Sci Technol, 2016), un plaša lauka skenēšana uzlabo glaukomas progresijas noteikšanu salīdzinājumā ar atsevišķiem šaurākiem tvērieniem (Invest Ophthalmol Vis Sci, 2024). Pasūtītāja funkcionālā vajadzība ir vienlaicīga glaukomas un tīklenes patoloģiju kvantitatīva ilgtermiņa uzraudzība ar minimālu tvērienu skaitu, kas ir īpaši būtiski gados vecākiem pacientiem ar apgrūtinātu fiksāciju.</w:t>
      </w:r>
    </w:p>
    <w:p w:rsidR="00246657" w:rsidRDefault="000E2AB9" w:rsidP="000E2AB9">
      <w:pPr>
        <w:spacing w:after="120"/>
        <w:jc w:val="both"/>
        <w:rPr>
          <w:sz w:val="24"/>
          <w:szCs w:val="24"/>
          <w:lang w:val="lv-LV"/>
        </w:rPr>
      </w:pPr>
      <w:r w:rsidRPr="000E2AB9">
        <w:rPr>
          <w:sz w:val="24"/>
          <w:szCs w:val="24"/>
          <w:lang w:val="lv-LV"/>
        </w:rPr>
        <w:t>Attēlu mozaīkas (montāžas) funkcija nav funkcionāli ekvivalenta: komerciālo OCT iekārtu kvantitatīvās analīzes – salīdzinājums ar normatīvajām datubāzēm un novērošanas (follow-up) progresijas analīze – darbojas ar natīviem, validētiem skenēšanas rakstiem, nevis ar vairāku tvērienu montāžas attēliem; montāžai ir zinātniskajā literatūrā dokumentēti ģeometriskās kropļošanas un attēlu reģistrācijas artefakti. Tāpēc piedāvātā redakcija nenodrošinātu Pasūtītājam nepieciešamo funkcionālo rezultātu. Papildus Komisija norāda, ka vēstulē minētais skenēšanas lauks „9 × 9 mm” neizriet arī no pretendenta vēstulē pieminētās iekārtas ražotāja publicētās specifikāciju tabulas.</w:t>
      </w:r>
    </w:p>
    <w:p w:rsidR="00D621B6" w:rsidRDefault="00D621B6" w:rsidP="000E2AB9">
      <w:pPr>
        <w:spacing w:after="120"/>
        <w:jc w:val="both"/>
        <w:rPr>
          <w:sz w:val="24"/>
          <w:szCs w:val="24"/>
          <w:lang w:val="lv-LV"/>
        </w:rPr>
      </w:pPr>
      <w:r>
        <w:rPr>
          <w:sz w:val="24"/>
          <w:szCs w:val="24"/>
          <w:lang w:val="lv-LV"/>
        </w:rPr>
        <w:t>__________________________________________</w:t>
      </w:r>
    </w:p>
    <w:p w:rsidR="00D621B6" w:rsidRDefault="00D621B6" w:rsidP="000E2AB9">
      <w:pPr>
        <w:spacing w:after="120"/>
        <w:jc w:val="both"/>
        <w:rPr>
          <w:sz w:val="24"/>
          <w:szCs w:val="24"/>
          <w:lang w:val="lv-LV"/>
        </w:rPr>
      </w:pPr>
    </w:p>
    <w:p w:rsidR="00D621B6" w:rsidRDefault="00D621B6" w:rsidP="00D621B6">
      <w:pPr>
        <w:spacing w:after="120"/>
        <w:jc w:val="both"/>
        <w:rPr>
          <w:b/>
          <w:sz w:val="24"/>
          <w:szCs w:val="24"/>
          <w:lang w:val="lv-LV"/>
        </w:rPr>
      </w:pPr>
      <w:r w:rsidRPr="00D621B6">
        <w:rPr>
          <w:b/>
          <w:sz w:val="24"/>
          <w:szCs w:val="24"/>
          <w:lang w:val="lv-LV"/>
        </w:rPr>
        <w:t>Jautājums:</w:t>
      </w:r>
    </w:p>
    <w:p w:rsidR="00D621B6" w:rsidRPr="00D621B6" w:rsidRDefault="00D621B6" w:rsidP="00D621B6">
      <w:pPr>
        <w:spacing w:after="120"/>
        <w:jc w:val="both"/>
        <w:rPr>
          <w:sz w:val="24"/>
          <w:szCs w:val="24"/>
          <w:lang w:val="lv-LV"/>
        </w:rPr>
      </w:pPr>
      <w:r w:rsidRPr="00D621B6">
        <w:rPr>
          <w:sz w:val="24"/>
          <w:szCs w:val="24"/>
          <w:lang w:val="lv-LV"/>
        </w:rPr>
        <w:t>Prasība 17. punktā: "Apgaismojums: balta LED (420–675 nm ± 35 nm) un infrasarkana LED (825–870 nm ± 35 nm)"</w:t>
      </w:r>
    </w:p>
    <w:p w:rsidR="00D621B6" w:rsidRPr="00D621B6" w:rsidRDefault="00D621B6" w:rsidP="00D621B6">
      <w:pPr>
        <w:spacing w:after="120"/>
        <w:jc w:val="both"/>
        <w:rPr>
          <w:sz w:val="24"/>
          <w:szCs w:val="24"/>
          <w:lang w:val="lv-LV"/>
        </w:rPr>
      </w:pPr>
      <w:r w:rsidRPr="00D621B6">
        <w:rPr>
          <w:sz w:val="24"/>
          <w:szCs w:val="24"/>
          <w:lang w:val="lv-LV"/>
        </w:rPr>
        <w:t>Lūdzam izteikt šādā redakcijā: "Apgaismojuma avots funduskamerai: integrēta balta LED un infrasarkana LED diožu sistēma acs dibena drošai izgaismošanai, pozicionēšanai un fokusēšanai."</w:t>
      </w:r>
    </w:p>
    <w:p w:rsidR="00D621B6" w:rsidRPr="00D621B6" w:rsidRDefault="00D621B6" w:rsidP="00D621B6">
      <w:pPr>
        <w:spacing w:after="120"/>
        <w:jc w:val="both"/>
        <w:rPr>
          <w:sz w:val="24"/>
          <w:szCs w:val="24"/>
          <w:lang w:val="lv-LV"/>
        </w:rPr>
      </w:pPr>
      <w:r w:rsidRPr="00D621B6">
        <w:rPr>
          <w:sz w:val="24"/>
          <w:szCs w:val="24"/>
          <w:lang w:val="lv-LV"/>
        </w:rPr>
        <w:t>Pamatojums: Precīzu nanometru diapazonu norādīšana ar specifiskām ±35 nm pielaidēm ir tiešs Topcon iekšējās optiskās shēmas un filtru rūpnieciskais apraksts. Klīniskajā un diagnostiskajā darbā svarīga ir pati gaismas diožu tehnoloģija un tās nodrošinātais rezultāts (24-bitu krāsu foto un IR vadība), nevis elektronisko komponentu nanometri, kas neietekmē ārsta uzstādīto diagnozi.</w:t>
      </w:r>
    </w:p>
    <w:p w:rsidR="00D621B6" w:rsidRPr="00D621B6" w:rsidRDefault="00D621B6" w:rsidP="00D621B6">
      <w:pPr>
        <w:spacing w:after="120"/>
        <w:jc w:val="both"/>
        <w:rPr>
          <w:b/>
          <w:sz w:val="24"/>
          <w:szCs w:val="24"/>
          <w:lang w:val="lv-LV"/>
        </w:rPr>
      </w:pPr>
    </w:p>
    <w:p w:rsidR="00D621B6" w:rsidRPr="00D621B6" w:rsidRDefault="00D621B6" w:rsidP="00D621B6">
      <w:pPr>
        <w:spacing w:after="120"/>
        <w:jc w:val="both"/>
        <w:rPr>
          <w:b/>
          <w:lang w:val="lv-LV"/>
        </w:rPr>
      </w:pPr>
      <w:r w:rsidRPr="00D621B6">
        <w:rPr>
          <w:b/>
          <w:sz w:val="24"/>
          <w:szCs w:val="24"/>
          <w:lang w:val="lv-LV"/>
        </w:rPr>
        <w:t>Atbilde:</w:t>
      </w:r>
    </w:p>
    <w:p w:rsidR="00246657" w:rsidRPr="000E2AB9" w:rsidRDefault="000E2AB9" w:rsidP="000E2AB9">
      <w:pPr>
        <w:spacing w:after="120"/>
        <w:rPr>
          <w:lang w:val="lv-LV"/>
        </w:rPr>
      </w:pPr>
      <w:r w:rsidRPr="000E2AB9">
        <w:rPr>
          <w:b/>
          <w:bCs/>
          <w:sz w:val="24"/>
          <w:szCs w:val="24"/>
          <w:lang w:val="lv-LV"/>
        </w:rPr>
        <w:t>Par Tehniskās specifikācijas 3.20. punktu (apgaismojuma viļņu garumu diapazoni)</w:t>
      </w:r>
    </w:p>
    <w:p w:rsidR="00246657" w:rsidRPr="000E2AB9" w:rsidRDefault="000E2AB9" w:rsidP="000E2AB9">
      <w:pPr>
        <w:spacing w:after="120"/>
        <w:jc w:val="both"/>
        <w:rPr>
          <w:lang w:val="lv-LV"/>
        </w:rPr>
      </w:pPr>
      <w:r w:rsidRPr="000E2AB9">
        <w:rPr>
          <w:sz w:val="24"/>
          <w:szCs w:val="24"/>
          <w:lang w:val="lv-LV"/>
        </w:rPr>
        <w:t>Priekšlikums tiek atbalstīts daļēji.</w:t>
      </w:r>
    </w:p>
    <w:p w:rsidR="00246657" w:rsidRPr="000E2AB9" w:rsidRDefault="000E2AB9" w:rsidP="000E2AB9">
      <w:pPr>
        <w:spacing w:after="120"/>
        <w:jc w:val="both"/>
        <w:rPr>
          <w:lang w:val="lv-LV"/>
        </w:rPr>
      </w:pPr>
      <w:r w:rsidRPr="000E2AB9">
        <w:rPr>
          <w:sz w:val="24"/>
          <w:szCs w:val="24"/>
          <w:lang w:val="lv-LV"/>
        </w:rPr>
        <w:t>Vispirms Komisija norāda, ka pretendenta apgalvojums, ka 3.20. punktā norādītie diapazoni ir „tiešs Topcon iekšējās optiskās shēmas un filtru rūpnieciskais apraksts”, ir nekorekts: prasības definēšanā par pamatu izmantoti starptautisko standartu noteiktie gaismas joslu diapazoni (ISO 10940 — funduskameru redzamās gaismas un tuvās infrasarkanās (790–890 nm) pārbaudes joslas; ISO 15004-2 — fotobioloģiskā drošība), kuriem norādītie diapazoni atbilst.</w:t>
      </w:r>
    </w:p>
    <w:p w:rsidR="00246657" w:rsidRPr="000E2AB9" w:rsidRDefault="000E2AB9" w:rsidP="000E2AB9">
      <w:pPr>
        <w:spacing w:after="120"/>
        <w:jc w:val="both"/>
        <w:rPr>
          <w:lang w:val="lv-LV"/>
        </w:rPr>
      </w:pPr>
      <w:r w:rsidRPr="000E2AB9">
        <w:rPr>
          <w:sz w:val="24"/>
          <w:szCs w:val="24"/>
          <w:lang w:val="lv-LV"/>
        </w:rPr>
        <w:t>Vienlaikus Komisija piekrīt, ka precīzu viļņu garumu diapazonu ar pielaidēm (± 35 nm) norādīšana nav nepieciešama klīniski sasniedzamā rezultāta aprakstam un var nepamatoti ierobežot tehnoloģiski atšķirīgus, bet klīniski līdzvērtīgus risinājumus (tostarp, piemēram, ksenona zibspuldzes gaismas avotu), turklāt ražotāji šādus diapazonus savās datu lapās parasti nepublicē, kas apgrūtinātu atbilstības apliecināšanu. Savukārt pretendenta piedāvātā pilnīgi vispārīgā redakcija nav pieņemama, jo tā neļautu Pasūtītājam objektīvi pārliecināties par iegūstamo attēlu klīnisko kvalitāti (krāsu ticamība, bezsarkanā attēlveidošana, nemidriātiskā režīma nodrošināšana).</w:t>
      </w:r>
    </w:p>
    <w:p w:rsidR="00246657" w:rsidRPr="000E2AB9" w:rsidRDefault="000E2AB9" w:rsidP="000E2AB9">
      <w:pPr>
        <w:spacing w:after="120"/>
        <w:jc w:val="both"/>
        <w:rPr>
          <w:lang w:val="lv-LV"/>
        </w:rPr>
      </w:pPr>
      <w:r w:rsidRPr="000E2AB9">
        <w:rPr>
          <w:sz w:val="24"/>
          <w:szCs w:val="24"/>
          <w:lang w:val="lv-LV"/>
        </w:rPr>
        <w:t>Tāpēc Komisija pēc savas iniciatīvas groza 3.20. punktu, izsakot to funkcionālā, tehnoloģiski un ražotājneitrālā redakcijā:</w:t>
      </w:r>
    </w:p>
    <w:p w:rsidR="00246657" w:rsidRPr="000E2AB9" w:rsidRDefault="000E2AB9" w:rsidP="000E2AB9">
      <w:pPr>
        <w:spacing w:after="120"/>
        <w:jc w:val="both"/>
        <w:rPr>
          <w:lang w:val="lv-LV"/>
        </w:rPr>
      </w:pPr>
      <w:r w:rsidRPr="000E2AB9">
        <w:rPr>
          <w:i/>
          <w:iCs/>
          <w:sz w:val="24"/>
          <w:szCs w:val="24"/>
          <w:lang w:val="lv-LV"/>
        </w:rPr>
        <w:t>„Apgaismojums/attēlveidošana: pilna redzamā spektra baltās gaismas avots īstas krāsas (true color) acs dibena fotogrāfijai; bezsarkanās (red-free) attēlveidošanas režīms; infrasarkanās gaismas novērošanas/pozicionēšanas režīms, kas nodrošina pacienta pozicionēšanu un fokusēšanu, neizraisot zīlītes sašaurināšanos (nemidriātiskais režīms). Funduskameras funkcionalitāte atbilst standarta ISO 10940 prasībām, un iekārtas fotobioloģiskā drošība atbilst standarta ISO 15004-2 prasībām; atbilstību apliecina ar ražotāja tehnisko dokumentāciju.”</w:t>
      </w:r>
    </w:p>
    <w:p w:rsidR="00246657" w:rsidRDefault="000E2AB9" w:rsidP="000E2AB9">
      <w:pPr>
        <w:spacing w:after="120"/>
        <w:jc w:val="both"/>
        <w:rPr>
          <w:sz w:val="24"/>
          <w:szCs w:val="24"/>
          <w:lang w:val="lv-LV"/>
        </w:rPr>
      </w:pPr>
      <w:r w:rsidRPr="000E2AB9">
        <w:rPr>
          <w:sz w:val="24"/>
          <w:szCs w:val="24"/>
          <w:lang w:val="lv-LV"/>
        </w:rPr>
        <w:t>Grozītā redakcija paplašina potenciālo piegādātāju loku vairāk, nekā to paredzēja pretendenta priekšlikums, vienlaikus saglabājot Pasūtītājam klīniski nepieciešamās funkcijas.</w:t>
      </w:r>
    </w:p>
    <w:p w:rsidR="00D621B6" w:rsidRPr="000E2AB9" w:rsidRDefault="00D621B6" w:rsidP="000E2AB9">
      <w:pPr>
        <w:spacing w:after="120"/>
        <w:jc w:val="both"/>
        <w:rPr>
          <w:lang w:val="lv-LV"/>
        </w:rPr>
      </w:pPr>
      <w:r>
        <w:rPr>
          <w:sz w:val="24"/>
          <w:szCs w:val="24"/>
          <w:lang w:val="lv-LV"/>
        </w:rPr>
        <w:t>________________________________________________</w:t>
      </w:r>
    </w:p>
    <w:p w:rsidR="00D621B6" w:rsidRDefault="00D621B6" w:rsidP="000E2AB9">
      <w:pPr>
        <w:spacing w:after="120"/>
        <w:jc w:val="both"/>
        <w:rPr>
          <w:sz w:val="24"/>
          <w:szCs w:val="24"/>
          <w:lang w:val="lv-LV"/>
        </w:rPr>
      </w:pPr>
    </w:p>
    <w:p w:rsidR="00D621B6" w:rsidRDefault="00D621B6" w:rsidP="000E2AB9">
      <w:pPr>
        <w:spacing w:after="120"/>
        <w:jc w:val="both"/>
        <w:rPr>
          <w:sz w:val="24"/>
          <w:szCs w:val="24"/>
          <w:lang w:val="lv-LV"/>
        </w:rPr>
      </w:pPr>
    </w:p>
    <w:p w:rsidR="00D621B6" w:rsidRDefault="00D621B6" w:rsidP="000E2AB9">
      <w:pPr>
        <w:spacing w:after="120"/>
        <w:jc w:val="both"/>
        <w:rPr>
          <w:sz w:val="24"/>
          <w:szCs w:val="24"/>
          <w:lang w:val="lv-LV"/>
        </w:rPr>
      </w:pPr>
    </w:p>
    <w:p w:rsidR="00246657" w:rsidRPr="000E2AB9" w:rsidRDefault="000E2AB9" w:rsidP="00D621B6">
      <w:pPr>
        <w:spacing w:after="120"/>
        <w:ind w:firstLine="709"/>
        <w:jc w:val="both"/>
        <w:rPr>
          <w:lang w:val="lv-LV"/>
        </w:rPr>
      </w:pPr>
      <w:r w:rsidRPr="000E2AB9">
        <w:rPr>
          <w:sz w:val="24"/>
          <w:szCs w:val="24"/>
          <w:lang w:val="lv-LV"/>
        </w:rPr>
        <w:t xml:space="preserve">Tehniskās specifikācijas grozījumi (tostarp šajā atbildē minētie precizējumi) tiek publicēti EIS e-konkursu apakšsistēmā pie iepirkuma dokumentācijas normatīvajos aktos noteiktajā kārtībā. Piedāvājumu iesniegšanas termiņš: tiek </w:t>
      </w:r>
      <w:r w:rsidRPr="00D621B6">
        <w:rPr>
          <w:b/>
          <w:sz w:val="24"/>
          <w:szCs w:val="24"/>
          <w:lang w:val="lv-LV"/>
        </w:rPr>
        <w:t xml:space="preserve">pagarināts līdz </w:t>
      </w:r>
      <w:r w:rsidR="00404FE5" w:rsidRPr="00D621B6">
        <w:rPr>
          <w:b/>
          <w:sz w:val="24"/>
          <w:szCs w:val="24"/>
          <w:lang w:val="lv-LV"/>
        </w:rPr>
        <w:t>03.09.2026. plkst.10.00</w:t>
      </w:r>
      <w:r w:rsidR="00D621B6">
        <w:rPr>
          <w:b/>
          <w:sz w:val="24"/>
          <w:szCs w:val="24"/>
          <w:lang w:val="lv-LV"/>
        </w:rPr>
        <w:t>.</w:t>
      </w:r>
    </w:p>
    <w:p w:rsidR="00246657" w:rsidRPr="000E2AB9" w:rsidRDefault="000E2AB9" w:rsidP="00D621B6">
      <w:pPr>
        <w:spacing w:after="120"/>
        <w:ind w:firstLine="709"/>
        <w:jc w:val="both"/>
        <w:rPr>
          <w:lang w:val="lv-LV"/>
        </w:rPr>
      </w:pPr>
      <w:r w:rsidRPr="000E2AB9">
        <w:rPr>
          <w:sz w:val="24"/>
          <w:szCs w:val="24"/>
          <w:lang w:val="lv-LV"/>
        </w:rPr>
        <w:t xml:space="preserve">Komisija atgādina, ka saskaņā ar Nolikuma 1. pielikuma </w:t>
      </w:r>
      <w:r w:rsidRPr="00D621B6">
        <w:rPr>
          <w:sz w:val="24"/>
          <w:szCs w:val="24"/>
          <w:lang w:val="lv-LV"/>
        </w:rPr>
        <w:t>piezīmi pretendentiem ir tiesības piedāvāt ekvivalentas iekārtas; prasību izpilde tiek vērtēta pēc funkcionālā rezultāta, pamatojoties uz ražotāja tehnisko dokumentāciju.</w:t>
      </w:r>
      <w:r w:rsidR="00D621B6" w:rsidRPr="00D621B6">
        <w:rPr>
          <w:sz w:val="24"/>
          <w:szCs w:val="24"/>
          <w:lang w:val="lv-LV"/>
        </w:rPr>
        <w:t xml:space="preserve"> Kā arī Komisija papildus norāda, ka iepirkuma nolikuma 1.7.2.punkts nosaka, ka: „</w:t>
      </w:r>
      <w:r w:rsidR="00D621B6" w:rsidRPr="00D621B6">
        <w:rPr>
          <w:i/>
          <w:sz w:val="24"/>
          <w:szCs w:val="24"/>
          <w:lang w:val="lv-LV"/>
        </w:rPr>
        <w:t>1.7.2.</w:t>
      </w:r>
      <w:r w:rsidR="00D621B6" w:rsidRPr="00D621B6">
        <w:rPr>
          <w:i/>
          <w:sz w:val="24"/>
          <w:szCs w:val="24"/>
          <w:lang w:val="lv-LV"/>
        </w:rPr>
        <w:tab/>
        <w:t>Informācijas apmaiņa starp iepirkuma komisiju un piegādātājiem un pretendentiem notiek rakstveidā – Elektronisko iepirkumu sistēmā www.eis.gov.lv (turpmāk – EIS). Pamācība jautājumu iesniegšanai pieejama: http://paligs.eis.gov.lv/piegadatajiem/N_3_7.html. Atbildes uz attiecīgā piegādātāja informācijas pieprasījumu tiek sniegtas EIS e-konkursu apakšsistēmā, kā arī ievietotas EIS e-konkursu apakšsistēmas attiecīgā Konkursa sadaļā. Atbildes uz jautājumiem, kas tiks uzdoti ārpus Elektronisko iepirkumu sistēmas www.eis.gov.lv, netiks sniegtas</w:t>
      </w:r>
      <w:r w:rsidR="00D621B6" w:rsidRPr="00D621B6">
        <w:rPr>
          <w:sz w:val="24"/>
          <w:szCs w:val="24"/>
          <w:lang w:val="lv-LV"/>
        </w:rPr>
        <w:t>.</w:t>
      </w:r>
      <w:r w:rsidR="00D621B6">
        <w:rPr>
          <w:sz w:val="24"/>
          <w:szCs w:val="24"/>
          <w:lang w:val="lv-LV"/>
        </w:rPr>
        <w:t>”, un lūdz turpmāk jautājumus iesūtīt EIS e-konkursu sistēmā, kur a</w:t>
      </w:r>
      <w:bookmarkStart w:id="1" w:name="_GoBack"/>
      <w:bookmarkEnd w:id="1"/>
      <w:r w:rsidR="00D621B6">
        <w:rPr>
          <w:sz w:val="24"/>
          <w:szCs w:val="24"/>
          <w:lang w:val="lv-LV"/>
        </w:rPr>
        <w:t>rī attiecīgi Komisija publicē visu informāciju, tostarp visas atbildes uz uzdotajiem jautājumiem.</w:t>
      </w:r>
    </w:p>
    <w:p w:rsidR="00246657" w:rsidRPr="000E2AB9" w:rsidRDefault="00246657" w:rsidP="000E2AB9">
      <w:pPr>
        <w:spacing w:after="120"/>
        <w:rPr>
          <w:lang w:val="lv-LV"/>
        </w:rPr>
      </w:pPr>
    </w:p>
    <w:sectPr w:rsidR="00246657" w:rsidRPr="000E2AB9" w:rsidSect="00D621B6">
      <w:footerReference w:type="default" r:id="rId8"/>
      <w:pgSz w:w="11906" w:h="16838"/>
      <w:pgMar w:top="1134" w:right="991" w:bottom="1276" w:left="1701" w:header="708" w:footer="70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379B" w:rsidRDefault="003F379B" w:rsidP="00D621B6">
      <w:r>
        <w:separator/>
      </w:r>
    </w:p>
  </w:endnote>
  <w:endnote w:type="continuationSeparator" w:id="0">
    <w:p w:rsidR="003F379B" w:rsidRDefault="003F379B" w:rsidP="00D62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7170550"/>
      <w:docPartObj>
        <w:docPartGallery w:val="Page Numbers (Bottom of Page)"/>
        <w:docPartUnique/>
      </w:docPartObj>
    </w:sdtPr>
    <w:sdtEndPr>
      <w:rPr>
        <w:noProof/>
      </w:rPr>
    </w:sdtEndPr>
    <w:sdtContent>
      <w:p w:rsidR="00D621B6" w:rsidRDefault="00D621B6">
        <w:pPr>
          <w:pStyle w:val="Footer"/>
          <w:jc w:val="right"/>
        </w:pPr>
        <w:r>
          <w:fldChar w:fldCharType="begin"/>
        </w:r>
        <w:r>
          <w:instrText xml:space="preserve"> PAGE   \* MERGEFORMAT </w:instrText>
        </w:r>
        <w:r>
          <w:fldChar w:fldCharType="separate"/>
        </w:r>
        <w:r w:rsidR="0039414B">
          <w:rPr>
            <w:noProof/>
          </w:rPr>
          <w:t>4</w:t>
        </w:r>
        <w:r>
          <w:rPr>
            <w:noProof/>
          </w:rPr>
          <w:fldChar w:fldCharType="end"/>
        </w:r>
      </w:p>
    </w:sdtContent>
  </w:sdt>
  <w:p w:rsidR="00D621B6" w:rsidRDefault="00D621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379B" w:rsidRDefault="003F379B" w:rsidP="00D621B6">
      <w:r>
        <w:separator/>
      </w:r>
    </w:p>
  </w:footnote>
  <w:footnote w:type="continuationSeparator" w:id="0">
    <w:p w:rsidR="003F379B" w:rsidRDefault="003F379B" w:rsidP="00D621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E75AE"/>
    <w:multiLevelType w:val="hybridMultilevel"/>
    <w:tmpl w:val="C83424A8"/>
    <w:lvl w:ilvl="0" w:tplc="83F820F2">
      <w:start w:val="1"/>
      <w:numFmt w:val="bullet"/>
      <w:lvlText w:val="–"/>
      <w:lvlJc w:val="left"/>
      <w:pPr>
        <w:ind w:left="400" w:hanging="200"/>
      </w:pPr>
    </w:lvl>
    <w:lvl w:ilvl="1" w:tplc="3F7A9EE0">
      <w:numFmt w:val="decimal"/>
      <w:lvlText w:val=""/>
      <w:lvlJc w:val="left"/>
    </w:lvl>
    <w:lvl w:ilvl="2" w:tplc="9D508294">
      <w:numFmt w:val="decimal"/>
      <w:lvlText w:val=""/>
      <w:lvlJc w:val="left"/>
    </w:lvl>
    <w:lvl w:ilvl="3" w:tplc="C6961594">
      <w:numFmt w:val="decimal"/>
      <w:lvlText w:val=""/>
      <w:lvlJc w:val="left"/>
    </w:lvl>
    <w:lvl w:ilvl="4" w:tplc="4BB85D1E">
      <w:numFmt w:val="decimal"/>
      <w:lvlText w:val=""/>
      <w:lvlJc w:val="left"/>
    </w:lvl>
    <w:lvl w:ilvl="5" w:tplc="DF72B798">
      <w:numFmt w:val="decimal"/>
      <w:lvlText w:val=""/>
      <w:lvlJc w:val="left"/>
    </w:lvl>
    <w:lvl w:ilvl="6" w:tplc="DADA73EC">
      <w:numFmt w:val="decimal"/>
      <w:lvlText w:val=""/>
      <w:lvlJc w:val="left"/>
    </w:lvl>
    <w:lvl w:ilvl="7" w:tplc="B5D65BCA">
      <w:numFmt w:val="decimal"/>
      <w:lvlText w:val=""/>
      <w:lvlJc w:val="left"/>
    </w:lvl>
    <w:lvl w:ilvl="8" w:tplc="CBF4EF0C">
      <w:numFmt w:val="decimal"/>
      <w:lvlText w:val=""/>
      <w:lvlJc w:val="left"/>
    </w:lvl>
  </w:abstractNum>
  <w:abstractNum w:abstractNumId="1">
    <w:nsid w:val="65233E38"/>
    <w:multiLevelType w:val="hybridMultilevel"/>
    <w:tmpl w:val="6BB45B02"/>
    <w:lvl w:ilvl="0" w:tplc="B204F57E">
      <w:start w:val="1"/>
      <w:numFmt w:val="bullet"/>
      <w:lvlText w:val="●"/>
      <w:lvlJc w:val="left"/>
      <w:pPr>
        <w:ind w:left="720" w:hanging="360"/>
      </w:pPr>
    </w:lvl>
    <w:lvl w:ilvl="1" w:tplc="639A7062">
      <w:start w:val="1"/>
      <w:numFmt w:val="bullet"/>
      <w:lvlText w:val="○"/>
      <w:lvlJc w:val="left"/>
      <w:pPr>
        <w:ind w:left="1440" w:hanging="360"/>
      </w:pPr>
    </w:lvl>
    <w:lvl w:ilvl="2" w:tplc="0156BA4E">
      <w:start w:val="1"/>
      <w:numFmt w:val="bullet"/>
      <w:lvlText w:val="■"/>
      <w:lvlJc w:val="left"/>
      <w:pPr>
        <w:ind w:left="2160" w:hanging="360"/>
      </w:pPr>
    </w:lvl>
    <w:lvl w:ilvl="3" w:tplc="D24E9C72">
      <w:start w:val="1"/>
      <w:numFmt w:val="bullet"/>
      <w:lvlText w:val="●"/>
      <w:lvlJc w:val="left"/>
      <w:pPr>
        <w:ind w:left="2880" w:hanging="360"/>
      </w:pPr>
    </w:lvl>
    <w:lvl w:ilvl="4" w:tplc="429A8A1E">
      <w:start w:val="1"/>
      <w:numFmt w:val="bullet"/>
      <w:lvlText w:val="○"/>
      <w:lvlJc w:val="left"/>
      <w:pPr>
        <w:ind w:left="3600" w:hanging="360"/>
      </w:pPr>
    </w:lvl>
    <w:lvl w:ilvl="5" w:tplc="49BAF71C">
      <w:start w:val="1"/>
      <w:numFmt w:val="bullet"/>
      <w:lvlText w:val="■"/>
      <w:lvlJc w:val="left"/>
      <w:pPr>
        <w:ind w:left="4320" w:hanging="360"/>
      </w:pPr>
    </w:lvl>
    <w:lvl w:ilvl="6" w:tplc="7338BE7C">
      <w:start w:val="1"/>
      <w:numFmt w:val="bullet"/>
      <w:lvlText w:val="●"/>
      <w:lvlJc w:val="left"/>
      <w:pPr>
        <w:ind w:left="5040" w:hanging="360"/>
      </w:pPr>
    </w:lvl>
    <w:lvl w:ilvl="7" w:tplc="16F86AC6">
      <w:start w:val="1"/>
      <w:numFmt w:val="bullet"/>
      <w:lvlText w:val="●"/>
      <w:lvlJc w:val="left"/>
      <w:pPr>
        <w:ind w:left="5760" w:hanging="360"/>
      </w:pPr>
    </w:lvl>
    <w:lvl w:ilvl="8" w:tplc="9C643DC0">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
  <w:rsids>
    <w:rsidRoot w:val="00246657"/>
    <w:rsid w:val="000E2AB9"/>
    <w:rsid w:val="00102F64"/>
    <w:rsid w:val="002003E8"/>
    <w:rsid w:val="00246657"/>
    <w:rsid w:val="00377B66"/>
    <w:rsid w:val="0039414B"/>
    <w:rsid w:val="003F379B"/>
    <w:rsid w:val="00404FE5"/>
    <w:rsid w:val="006B64D1"/>
    <w:rsid w:val="00D621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D621B6"/>
    <w:pPr>
      <w:tabs>
        <w:tab w:val="center" w:pos="4680"/>
        <w:tab w:val="right" w:pos="9360"/>
      </w:tabs>
    </w:pPr>
  </w:style>
  <w:style w:type="character" w:customStyle="1" w:styleId="HeaderChar">
    <w:name w:val="Header Char"/>
    <w:basedOn w:val="DefaultParagraphFont"/>
    <w:link w:val="Header"/>
    <w:uiPriority w:val="99"/>
    <w:rsid w:val="00D621B6"/>
  </w:style>
  <w:style w:type="paragraph" w:styleId="Footer">
    <w:name w:val="footer"/>
    <w:basedOn w:val="Normal"/>
    <w:link w:val="FooterChar"/>
    <w:uiPriority w:val="99"/>
    <w:unhideWhenUsed/>
    <w:rsid w:val="00D621B6"/>
    <w:pPr>
      <w:tabs>
        <w:tab w:val="center" w:pos="4680"/>
        <w:tab w:val="right" w:pos="9360"/>
      </w:tabs>
    </w:pPr>
  </w:style>
  <w:style w:type="character" w:customStyle="1" w:styleId="FooterChar">
    <w:name w:val="Footer Char"/>
    <w:basedOn w:val="DefaultParagraphFont"/>
    <w:link w:val="Footer"/>
    <w:uiPriority w:val="99"/>
    <w:rsid w:val="00D621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D621B6"/>
    <w:pPr>
      <w:tabs>
        <w:tab w:val="center" w:pos="4680"/>
        <w:tab w:val="right" w:pos="9360"/>
      </w:tabs>
    </w:pPr>
  </w:style>
  <w:style w:type="character" w:customStyle="1" w:styleId="HeaderChar">
    <w:name w:val="Header Char"/>
    <w:basedOn w:val="DefaultParagraphFont"/>
    <w:link w:val="Header"/>
    <w:uiPriority w:val="99"/>
    <w:rsid w:val="00D621B6"/>
  </w:style>
  <w:style w:type="paragraph" w:styleId="Footer">
    <w:name w:val="footer"/>
    <w:basedOn w:val="Normal"/>
    <w:link w:val="FooterChar"/>
    <w:uiPriority w:val="99"/>
    <w:unhideWhenUsed/>
    <w:rsid w:val="00D621B6"/>
    <w:pPr>
      <w:tabs>
        <w:tab w:val="center" w:pos="4680"/>
        <w:tab w:val="right" w:pos="9360"/>
      </w:tabs>
    </w:pPr>
  </w:style>
  <w:style w:type="character" w:customStyle="1" w:styleId="FooterChar">
    <w:name w:val="Footer Char"/>
    <w:basedOn w:val="DefaultParagraphFont"/>
    <w:link w:val="Footer"/>
    <w:uiPriority w:val="99"/>
    <w:rsid w:val="00D621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1526</Words>
  <Characters>8701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2026-08-12T09:34:00Z</dcterms:created>
  <dcterms:modified xsi:type="dcterms:W3CDTF">2026-08-12T10:13:00Z</dcterms:modified>
</cp:coreProperties>
</file>